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png" ContentType="image/png"/>
  <Default Extension="wmf" ContentType="image/x-wmf"/>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10.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9749BF3">
      <w:pPr>
        <w:widowControl/>
        <w:topLinePunct/>
        <w:adjustRightInd w:val="0"/>
        <w:snapToGrid w:val="0"/>
        <w:spacing w:line="288" w:lineRule="auto"/>
        <w:ind w:left="0" w:leftChars="0" w:firstLine="0" w:firstLineChars="0"/>
        <w:jc w:val="both"/>
        <w:textAlignment w:val="center"/>
        <w:rPr>
          <w:rFonts w:hint="eastAsia" w:hAnsi="Times New Roman" w:eastAsia="仿宋_GB2312" w:cs="Times New Roman"/>
          <w:bCs w:val="0"/>
          <w:kern w:val="0"/>
          <w:sz w:val="44"/>
          <w:szCs w:val="44"/>
          <w:lang w:eastAsia="zh-CN"/>
        </w:rPr>
      </w:pPr>
      <w:r>
        <w:rPr>
          <w:rFonts w:hint="eastAsia" w:hAnsi="Times New Roman" w:eastAsia="仿宋_GB2312" w:cs="Times New Roman"/>
          <w:bCs w:val="0"/>
          <w:kern w:val="0"/>
          <w:sz w:val="44"/>
          <w:szCs w:val="44"/>
          <w:lang w:eastAsia="zh-CN"/>
        </w:rPr>
        <w:drawing>
          <wp:inline distT="0" distB="0" distL="114300" distR="114300">
            <wp:extent cx="5266690" cy="7418705"/>
            <wp:effectExtent l="0" t="0" r="10160" b="10795"/>
            <wp:docPr id="16" name="图片 16" descr="1a94b2a49da5817d2b579ead2c09fb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1a94b2a49da5817d2b579ead2c09fbb3"/>
                    <pic:cNvPicPr>
                      <a:picLocks noChangeAspect="1"/>
                    </pic:cNvPicPr>
                  </pic:nvPicPr>
                  <pic:blipFill>
                    <a:blip r:embed="rId26"/>
                    <a:stretch>
                      <a:fillRect/>
                    </a:stretch>
                  </pic:blipFill>
                  <pic:spPr>
                    <a:xfrm>
                      <a:off x="0" y="0"/>
                      <a:ext cx="5266690" cy="7418705"/>
                    </a:xfrm>
                    <a:prstGeom prst="rect">
                      <a:avLst/>
                    </a:prstGeom>
                  </pic:spPr>
                </pic:pic>
              </a:graphicData>
            </a:graphic>
          </wp:inline>
        </w:drawing>
      </w:r>
    </w:p>
    <w:p w14:paraId="1CF83828">
      <w:pPr>
        <w:ind w:firstLine="480"/>
        <w:rPr>
          <w:rFonts w:hAnsi="Times New Roman" w:cs="Times New Roman"/>
          <w:kern w:val="0"/>
        </w:rPr>
      </w:pPr>
    </w:p>
    <w:p w14:paraId="237B0E83">
      <w:pPr>
        <w:ind w:firstLine="480"/>
        <w:rPr>
          <w:rFonts w:hAnsi="Times New Roman" w:cs="Times New Roman"/>
          <w:kern w:val="0"/>
        </w:rPr>
      </w:pPr>
    </w:p>
    <w:p w14:paraId="16DA5622">
      <w:pPr>
        <w:ind w:firstLine="0" w:firstLineChars="0"/>
        <w:jc w:val="center"/>
        <w:rPr>
          <w:rFonts w:hAnsi="Times New Roman" w:eastAsia="方正小标宋_GBK" w:cs="Times New Roman"/>
          <w:sz w:val="48"/>
          <w:szCs w:val="48"/>
        </w:rPr>
      </w:pPr>
    </w:p>
    <w:p w14:paraId="3518B80D">
      <w:pPr>
        <w:ind w:firstLine="0" w:firstLineChars="0"/>
        <w:jc w:val="center"/>
        <w:rPr>
          <w:rFonts w:hAnsi="Times New Roman" w:eastAsia="方正小标宋_GBK" w:cs="Times New Roman"/>
          <w:sz w:val="48"/>
          <w:szCs w:val="48"/>
        </w:rPr>
      </w:pPr>
    </w:p>
    <w:p w14:paraId="3A456740">
      <w:pPr>
        <w:ind w:firstLine="0" w:firstLineChars="0"/>
        <w:jc w:val="center"/>
        <w:rPr>
          <w:rFonts w:hAnsi="Times New Roman" w:eastAsia="方正小标宋_GBK" w:cs="Times New Roman"/>
          <w:sz w:val="48"/>
          <w:szCs w:val="48"/>
        </w:rPr>
      </w:pPr>
    </w:p>
    <w:p w14:paraId="08B0173E">
      <w:pPr>
        <w:ind w:firstLine="0" w:firstLineChars="0"/>
        <w:jc w:val="center"/>
        <w:rPr>
          <w:rFonts w:hAnsi="Times New Roman" w:eastAsia="方正小标宋_GBK" w:cs="Times New Roman"/>
          <w:sz w:val="48"/>
          <w:szCs w:val="48"/>
        </w:rPr>
      </w:pPr>
      <w:r>
        <w:rPr>
          <w:rFonts w:hAnsi="Times New Roman" w:eastAsia="方正小标宋_GBK" w:cs="Times New Roman"/>
          <w:sz w:val="48"/>
          <w:szCs w:val="48"/>
        </w:rPr>
        <w:t>黑龙江省嫩江市塔溪乡马厂河采石场建筑用凝灰岩矿</w:t>
      </w:r>
    </w:p>
    <w:p w14:paraId="3570CE9F">
      <w:pPr>
        <w:widowControl/>
        <w:topLinePunct/>
        <w:adjustRightInd w:val="0"/>
        <w:snapToGrid w:val="0"/>
        <w:spacing w:line="288" w:lineRule="auto"/>
        <w:ind w:firstLine="880"/>
        <w:textAlignment w:val="center"/>
        <w:rPr>
          <w:rFonts w:hAnsi="Times New Roman" w:cs="Times New Roman"/>
          <w:bCs w:val="0"/>
          <w:kern w:val="0"/>
          <w:sz w:val="44"/>
          <w:szCs w:val="44"/>
        </w:rPr>
      </w:pPr>
    </w:p>
    <w:p w14:paraId="486BFD0C">
      <w:pPr>
        <w:widowControl/>
        <w:topLinePunct/>
        <w:adjustRightInd w:val="0"/>
        <w:snapToGrid w:val="0"/>
        <w:spacing w:line="288" w:lineRule="auto"/>
        <w:ind w:firstLine="0" w:firstLineChars="0"/>
        <w:jc w:val="center"/>
        <w:textAlignment w:val="center"/>
        <w:rPr>
          <w:rFonts w:hAnsi="Times New Roman" w:eastAsia="方正小标宋_GBK" w:cs="Times New Roman"/>
          <w:bCs w:val="0"/>
          <w:spacing w:val="60"/>
          <w:kern w:val="0"/>
          <w:sz w:val="84"/>
          <w:szCs w:val="84"/>
        </w:rPr>
      </w:pPr>
      <w:r>
        <w:rPr>
          <w:rFonts w:hAnsi="Times New Roman" w:eastAsia="方正小标宋_GBK" w:cs="Times New Roman"/>
          <w:spacing w:val="60"/>
          <w:kern w:val="0"/>
          <w:sz w:val="84"/>
          <w:szCs w:val="84"/>
        </w:rPr>
        <w:t>环境影响报告书</w:t>
      </w:r>
    </w:p>
    <w:p w14:paraId="0B7A62CF">
      <w:pPr>
        <w:widowControl/>
        <w:topLinePunct/>
        <w:adjustRightInd w:val="0"/>
        <w:snapToGrid w:val="0"/>
        <w:spacing w:line="288" w:lineRule="auto"/>
        <w:ind w:firstLine="880"/>
        <w:textAlignment w:val="center"/>
        <w:rPr>
          <w:rFonts w:hAnsi="Times New Roman" w:cs="Times New Roman"/>
          <w:bCs w:val="0"/>
          <w:kern w:val="0"/>
          <w:sz w:val="44"/>
          <w:szCs w:val="44"/>
        </w:rPr>
      </w:pPr>
    </w:p>
    <w:p w14:paraId="31B821CC">
      <w:pPr>
        <w:widowControl/>
        <w:topLinePunct/>
        <w:adjustRightInd w:val="0"/>
        <w:snapToGrid w:val="0"/>
        <w:spacing w:line="288" w:lineRule="auto"/>
        <w:ind w:firstLine="880"/>
        <w:textAlignment w:val="center"/>
        <w:rPr>
          <w:rFonts w:hAnsi="Times New Roman" w:cs="Times New Roman"/>
          <w:bCs w:val="0"/>
          <w:kern w:val="0"/>
          <w:sz w:val="44"/>
          <w:szCs w:val="44"/>
        </w:rPr>
      </w:pPr>
    </w:p>
    <w:p w14:paraId="013CEC51">
      <w:pPr>
        <w:widowControl/>
        <w:topLinePunct/>
        <w:adjustRightInd w:val="0"/>
        <w:snapToGrid w:val="0"/>
        <w:spacing w:line="288" w:lineRule="auto"/>
        <w:ind w:firstLine="880"/>
        <w:textAlignment w:val="center"/>
        <w:rPr>
          <w:rFonts w:hAnsi="Times New Roman" w:cs="Times New Roman"/>
          <w:bCs w:val="0"/>
          <w:kern w:val="0"/>
          <w:sz w:val="44"/>
          <w:szCs w:val="44"/>
        </w:rPr>
      </w:pPr>
    </w:p>
    <w:p w14:paraId="63E8BCE9">
      <w:pPr>
        <w:widowControl/>
        <w:topLinePunct/>
        <w:adjustRightInd w:val="0"/>
        <w:snapToGrid w:val="0"/>
        <w:spacing w:line="288" w:lineRule="auto"/>
        <w:ind w:firstLine="880"/>
        <w:textAlignment w:val="center"/>
        <w:rPr>
          <w:rFonts w:hAnsi="Times New Roman" w:cs="Times New Roman"/>
          <w:bCs w:val="0"/>
          <w:kern w:val="0"/>
          <w:sz w:val="44"/>
          <w:szCs w:val="44"/>
        </w:rPr>
      </w:pPr>
    </w:p>
    <w:p w14:paraId="4A64806B">
      <w:pPr>
        <w:widowControl/>
        <w:topLinePunct/>
        <w:adjustRightInd w:val="0"/>
        <w:snapToGrid w:val="0"/>
        <w:spacing w:line="288" w:lineRule="auto"/>
        <w:ind w:firstLine="880"/>
        <w:textAlignment w:val="center"/>
        <w:rPr>
          <w:rFonts w:hAnsi="Times New Roman" w:cs="Times New Roman"/>
          <w:bCs w:val="0"/>
          <w:kern w:val="0"/>
          <w:sz w:val="44"/>
          <w:szCs w:val="44"/>
        </w:rPr>
      </w:pPr>
    </w:p>
    <w:p w14:paraId="6432DC1B">
      <w:pPr>
        <w:topLinePunct/>
        <w:adjustRightInd w:val="0"/>
        <w:snapToGrid w:val="0"/>
        <w:ind w:firstLine="643"/>
        <w:jc w:val="left"/>
        <w:rPr>
          <w:rFonts w:hAnsi="Times New Roman" w:cs="Times New Roman"/>
          <w:b/>
          <w:kern w:val="0"/>
          <w:sz w:val="32"/>
          <w:szCs w:val="36"/>
        </w:rPr>
      </w:pPr>
      <w:r>
        <w:rPr>
          <w:rFonts w:hAnsi="Times New Roman" w:eastAsia="宋体" w:cs="Times New Roman"/>
          <w:b/>
          <w:bCs w:val="0"/>
          <w:kern w:val="0"/>
          <w:sz w:val="32"/>
          <w:szCs w:val="36"/>
        </w:rPr>
        <w:t>建设单位：黑河市瑞峰建筑工程有限责任公司</w:t>
      </w:r>
    </w:p>
    <w:p w14:paraId="3DA5FB76">
      <w:pPr>
        <w:topLinePunct/>
        <w:adjustRightInd w:val="0"/>
        <w:snapToGrid w:val="0"/>
        <w:ind w:firstLine="643"/>
        <w:jc w:val="left"/>
        <w:rPr>
          <w:rFonts w:hAnsi="Times New Roman" w:cs="Times New Roman"/>
          <w:b/>
          <w:kern w:val="0"/>
          <w:sz w:val="32"/>
          <w:szCs w:val="36"/>
        </w:rPr>
      </w:pPr>
      <w:r>
        <w:rPr>
          <w:rFonts w:hAnsi="Times New Roman" w:eastAsia="宋体" w:cs="Times New Roman"/>
          <w:b/>
          <w:bCs w:val="0"/>
          <w:kern w:val="0"/>
          <w:sz w:val="32"/>
          <w:szCs w:val="36"/>
        </w:rPr>
        <w:t>评价单位：黑龙江辰瀚环境保护有限公司</w:t>
      </w:r>
    </w:p>
    <w:p w14:paraId="64F34ABA">
      <w:pPr>
        <w:widowControl/>
        <w:topLinePunct/>
        <w:adjustRightInd w:val="0"/>
        <w:snapToGrid w:val="0"/>
        <w:spacing w:line="288" w:lineRule="auto"/>
        <w:ind w:firstLine="723"/>
        <w:jc w:val="center"/>
        <w:textAlignment w:val="center"/>
        <w:rPr>
          <w:rFonts w:hAnsi="Times New Roman" w:cs="Times New Roman"/>
          <w:b/>
          <w:bCs w:val="0"/>
          <w:kern w:val="0"/>
          <w:sz w:val="36"/>
          <w:szCs w:val="36"/>
        </w:rPr>
      </w:pPr>
    </w:p>
    <w:p w14:paraId="4038E49E">
      <w:pPr>
        <w:widowControl/>
        <w:topLinePunct/>
        <w:adjustRightInd w:val="0"/>
        <w:snapToGrid w:val="0"/>
        <w:spacing w:line="288" w:lineRule="auto"/>
        <w:ind w:firstLine="723"/>
        <w:jc w:val="center"/>
        <w:textAlignment w:val="center"/>
        <w:rPr>
          <w:rFonts w:hAnsi="Times New Roman" w:cs="Times New Roman"/>
          <w:b/>
          <w:bCs w:val="0"/>
          <w:kern w:val="0"/>
          <w:sz w:val="36"/>
          <w:szCs w:val="36"/>
        </w:rPr>
      </w:pPr>
    </w:p>
    <w:p w14:paraId="356160B7">
      <w:pPr>
        <w:widowControl/>
        <w:topLinePunct/>
        <w:adjustRightInd w:val="0"/>
        <w:snapToGrid w:val="0"/>
        <w:spacing w:line="288" w:lineRule="auto"/>
        <w:ind w:firstLine="723"/>
        <w:jc w:val="center"/>
        <w:textAlignment w:val="center"/>
        <w:rPr>
          <w:rFonts w:hAnsi="Times New Roman" w:cs="Times New Roman"/>
          <w:b/>
          <w:bCs w:val="0"/>
          <w:kern w:val="0"/>
          <w:sz w:val="36"/>
          <w:szCs w:val="36"/>
        </w:rPr>
      </w:pPr>
    </w:p>
    <w:p w14:paraId="5DD7E6BC">
      <w:pPr>
        <w:widowControl/>
        <w:topLinePunct/>
        <w:adjustRightInd w:val="0"/>
        <w:snapToGrid w:val="0"/>
        <w:spacing w:line="288" w:lineRule="auto"/>
        <w:ind w:firstLine="723"/>
        <w:jc w:val="center"/>
        <w:textAlignment w:val="center"/>
        <w:rPr>
          <w:rFonts w:hAnsi="Times New Roman" w:cs="Times New Roman"/>
          <w:b/>
          <w:bCs w:val="0"/>
          <w:kern w:val="0"/>
          <w:sz w:val="36"/>
          <w:szCs w:val="36"/>
        </w:rPr>
      </w:pPr>
    </w:p>
    <w:p w14:paraId="16D56D02">
      <w:pPr>
        <w:widowControl/>
        <w:topLinePunct/>
        <w:adjustRightInd w:val="0"/>
        <w:snapToGrid w:val="0"/>
        <w:spacing w:line="288" w:lineRule="auto"/>
        <w:ind w:firstLine="0" w:firstLineChars="0"/>
        <w:jc w:val="center"/>
        <w:textAlignment w:val="center"/>
        <w:rPr>
          <w:rFonts w:hAnsi="Times New Roman" w:eastAsia="宋体" w:cs="Times New Roman"/>
          <w:b/>
          <w:bCs w:val="0"/>
          <w:kern w:val="0"/>
          <w:sz w:val="36"/>
          <w:szCs w:val="36"/>
        </w:rPr>
      </w:pPr>
      <w:r>
        <w:rPr>
          <w:rFonts w:hint="eastAsia" w:hAnsi="宋体" w:eastAsia="宋体" w:cs="Times New Roman"/>
          <w:b/>
          <w:kern w:val="0"/>
          <w:sz w:val="36"/>
          <w:szCs w:val="36"/>
        </w:rPr>
        <w:t>2026</w:t>
      </w:r>
      <w:r>
        <w:rPr>
          <w:rFonts w:hAnsi="宋体" w:eastAsia="宋体" w:cs="Times New Roman"/>
          <w:b/>
          <w:kern w:val="0"/>
          <w:sz w:val="36"/>
          <w:szCs w:val="36"/>
        </w:rPr>
        <w:t>年</w:t>
      </w:r>
      <w:r>
        <w:rPr>
          <w:rFonts w:hint="eastAsia" w:hAnsi="宋体" w:eastAsia="宋体" w:cs="Times New Roman"/>
          <w:b/>
          <w:kern w:val="0"/>
          <w:sz w:val="36"/>
          <w:szCs w:val="36"/>
        </w:rPr>
        <w:t>7</w:t>
      </w:r>
      <w:r>
        <w:rPr>
          <w:rFonts w:hAnsi="宋体" w:eastAsia="宋体" w:cs="Times New Roman"/>
          <w:b/>
          <w:kern w:val="0"/>
          <w:sz w:val="36"/>
          <w:szCs w:val="36"/>
        </w:rPr>
        <w:t>月</w:t>
      </w:r>
    </w:p>
    <w:p w14:paraId="3D7FB165">
      <w:pPr>
        <w:ind w:left="480" w:firstLine="0" w:firstLineChars="0"/>
        <w:rPr>
          <w:rFonts w:hAnsi="Times New Roman" w:cs="Times New Roman"/>
        </w:rPr>
        <w:sectPr>
          <w:headerReference r:id="rId7" w:type="first"/>
          <w:footerReference r:id="rId10" w:type="first"/>
          <w:headerReference r:id="rId5" w:type="default"/>
          <w:footerReference r:id="rId8" w:type="default"/>
          <w:headerReference r:id="rId6" w:type="even"/>
          <w:footerReference r:id="rId9" w:type="even"/>
          <w:pgSz w:w="11906" w:h="16838"/>
          <w:pgMar w:top="1440" w:right="1797" w:bottom="1440" w:left="1797" w:header="851" w:footer="992" w:gutter="0"/>
          <w:pgNumType w:fmt="upperRoman" w:start="1"/>
          <w:cols w:space="720" w:num="1"/>
          <w:titlePg/>
          <w:docGrid w:linePitch="312" w:charSpace="0"/>
        </w:sectPr>
      </w:pPr>
    </w:p>
    <w:p w14:paraId="0F0A11A9">
      <w:pPr>
        <w:ind w:left="0" w:leftChars="0" w:firstLine="0" w:firstLineChars="0"/>
        <w:rPr>
          <w:rFonts w:hint="eastAsia" w:hAnsi="Times New Roman" w:eastAsia="仿宋_GB2312" w:cs="Times New Roman"/>
          <w:lang w:eastAsia="zh-CN"/>
        </w:rPr>
      </w:pPr>
      <w:bookmarkStart w:id="0" w:name="_Toc521678703"/>
      <w:bookmarkStart w:id="878" w:name="_GoBack"/>
      <w:r>
        <w:rPr>
          <w:rFonts w:hint="eastAsia" w:hAnsi="Times New Roman" w:eastAsia="仿宋_GB2312" w:cs="Times New Roman"/>
          <w:lang w:eastAsia="zh-CN"/>
        </w:rPr>
        <w:drawing>
          <wp:inline distT="0" distB="0" distL="114300" distR="114300">
            <wp:extent cx="5318760" cy="7562850"/>
            <wp:effectExtent l="0" t="0" r="15240" b="0"/>
            <wp:docPr id="21" name="图片 21" descr="f3126e637b5f75e7ac027d0cc7664f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f3126e637b5f75e7ac027d0cc7664f41"/>
                    <pic:cNvPicPr>
                      <a:picLocks noChangeAspect="1"/>
                    </pic:cNvPicPr>
                  </pic:nvPicPr>
                  <pic:blipFill>
                    <a:blip r:embed="rId27"/>
                    <a:stretch>
                      <a:fillRect/>
                    </a:stretch>
                  </pic:blipFill>
                  <pic:spPr>
                    <a:xfrm>
                      <a:off x="0" y="0"/>
                      <a:ext cx="5318760" cy="7562850"/>
                    </a:xfrm>
                    <a:prstGeom prst="rect">
                      <a:avLst/>
                    </a:prstGeom>
                  </pic:spPr>
                </pic:pic>
              </a:graphicData>
            </a:graphic>
          </wp:inline>
        </w:drawing>
      </w:r>
      <w:bookmarkEnd w:id="878"/>
    </w:p>
    <w:p w14:paraId="35C5EBC1">
      <w:pPr>
        <w:ind w:firstLine="480"/>
        <w:rPr>
          <w:rFonts w:hAnsi="Times New Roman" w:cs="Times New Roman"/>
        </w:rPr>
      </w:pPr>
    </w:p>
    <w:p w14:paraId="27B08DC7">
      <w:pPr>
        <w:pStyle w:val="60"/>
        <w:ind w:firstLine="480"/>
        <w:rPr>
          <w:rFonts w:ascii="Times New Roman" w:hAnsi="Times New Roman"/>
          <w:color w:val="auto"/>
        </w:rPr>
        <w:sectPr>
          <w:headerReference r:id="rId11" w:type="default"/>
          <w:footerReference r:id="rId12" w:type="default"/>
          <w:pgSz w:w="11906" w:h="16838"/>
          <w:pgMar w:top="1440" w:right="1797" w:bottom="1440" w:left="1797" w:header="851" w:footer="992" w:gutter="0"/>
          <w:pgNumType w:fmt="upperRoman" w:start="1"/>
          <w:cols w:space="720" w:num="1"/>
          <w:docGrid w:linePitch="312" w:charSpace="0"/>
        </w:sectPr>
      </w:pPr>
    </w:p>
    <w:p w14:paraId="376ED683">
      <w:pPr>
        <w:ind w:firstLine="0" w:firstLineChars="0"/>
        <w:jc w:val="center"/>
        <w:rPr>
          <w:rFonts w:hAnsi="Times New Roman" w:cs="Times New Roman"/>
          <w:b/>
        </w:rPr>
      </w:pPr>
      <w:r>
        <w:rPr>
          <w:rFonts w:hAnsi="Times New Roman" w:cs="Times New Roman"/>
          <w:b/>
          <w:lang w:val="zh-CN"/>
        </w:rPr>
        <w:t>目 录</w:t>
      </w:r>
    </w:p>
    <w:p w14:paraId="591485C3">
      <w:pPr>
        <w:pStyle w:val="15"/>
        <w:tabs>
          <w:tab w:val="right" w:leader="dot" w:pos="8302"/>
        </w:tabs>
        <w:ind w:firstLine="442"/>
        <w:rPr>
          <w:rFonts w:hAnsiTheme="minorHAnsi" w:eastAsiaTheme="minorEastAsia" w:cstheme="minorBidi"/>
          <w:b w:val="0"/>
          <w:bCs w:val="0"/>
          <w:caps w:val="0"/>
          <w:sz w:val="21"/>
          <w:szCs w:val="22"/>
        </w:rPr>
      </w:pPr>
      <w:r>
        <w:rPr>
          <w:rFonts w:ascii="Times New Roman" w:hAnsi="Times New Roman" w:cs="Times New Roman"/>
          <w:sz w:val="22"/>
          <w:szCs w:val="22"/>
        </w:rPr>
        <w:fldChar w:fldCharType="begin"/>
      </w:r>
      <w:r>
        <w:rPr>
          <w:rFonts w:ascii="Times New Roman" w:hAnsi="Times New Roman" w:cs="Times New Roman"/>
          <w:sz w:val="22"/>
          <w:szCs w:val="22"/>
        </w:rPr>
        <w:instrText xml:space="preserve"> TOC \o "1-2" \u </w:instrText>
      </w:r>
      <w:r>
        <w:rPr>
          <w:rFonts w:ascii="Times New Roman" w:hAnsi="Times New Roman" w:cs="Times New Roman"/>
          <w:sz w:val="22"/>
          <w:szCs w:val="22"/>
        </w:rPr>
        <w:fldChar w:fldCharType="separate"/>
      </w:r>
      <w:r>
        <w:rPr>
          <w:rFonts w:hint="eastAsia" w:cs="Times New Roman"/>
        </w:rPr>
        <w:t>第1章 概述</w:t>
      </w:r>
      <w:r>
        <w:tab/>
      </w:r>
      <w:r>
        <w:fldChar w:fldCharType="begin"/>
      </w:r>
      <w:r>
        <w:instrText xml:space="preserve"> PAGEREF _Toc234927674 \h </w:instrText>
      </w:r>
      <w:r>
        <w:fldChar w:fldCharType="separate"/>
      </w:r>
      <w:r>
        <w:t>1</w:t>
      </w:r>
      <w:r>
        <w:fldChar w:fldCharType="end"/>
      </w:r>
    </w:p>
    <w:p w14:paraId="19E49A3F">
      <w:pPr>
        <w:pStyle w:val="30"/>
        <w:tabs>
          <w:tab w:val="right" w:leader="dot" w:pos="8302"/>
        </w:tabs>
        <w:ind w:firstLine="400"/>
        <w:rPr>
          <w:rFonts w:hAnsiTheme="minorHAnsi" w:eastAsiaTheme="minorEastAsia" w:cstheme="minorBidi"/>
          <w:smallCaps w:val="0"/>
          <w:sz w:val="21"/>
          <w:szCs w:val="22"/>
        </w:rPr>
      </w:pPr>
      <w:r>
        <w:rPr>
          <w:rFonts w:cs="Times New Roman"/>
          <w:snapToGrid w:val="0"/>
          <w:w w:val="0"/>
          <w:kern w:val="0"/>
        </w:rPr>
        <w:t>1.1</w:t>
      </w:r>
      <w:r>
        <w:rPr>
          <w:rFonts w:hint="eastAsia" w:cs="Times New Roman"/>
        </w:rPr>
        <w:t xml:space="preserve"> 项目由来</w:t>
      </w:r>
      <w:r>
        <w:tab/>
      </w:r>
      <w:r>
        <w:fldChar w:fldCharType="begin"/>
      </w:r>
      <w:r>
        <w:instrText xml:space="preserve"> PAGEREF _Toc234927675 \h </w:instrText>
      </w:r>
      <w:r>
        <w:fldChar w:fldCharType="separate"/>
      </w:r>
      <w:r>
        <w:t>1</w:t>
      </w:r>
      <w:r>
        <w:fldChar w:fldCharType="end"/>
      </w:r>
    </w:p>
    <w:p w14:paraId="6BBFFCD8">
      <w:pPr>
        <w:pStyle w:val="30"/>
        <w:tabs>
          <w:tab w:val="right" w:leader="dot" w:pos="8302"/>
        </w:tabs>
        <w:ind w:firstLine="400"/>
        <w:rPr>
          <w:rFonts w:hAnsiTheme="minorHAnsi" w:eastAsiaTheme="minorEastAsia" w:cstheme="minorBidi"/>
          <w:smallCaps w:val="0"/>
          <w:sz w:val="21"/>
          <w:szCs w:val="22"/>
        </w:rPr>
      </w:pPr>
      <w:r>
        <w:rPr>
          <w:rFonts w:cs="Times New Roman"/>
          <w:snapToGrid w:val="0"/>
          <w:w w:val="0"/>
          <w:kern w:val="0"/>
        </w:rPr>
        <w:t>1.2</w:t>
      </w:r>
      <w:r>
        <w:rPr>
          <w:rFonts w:hint="eastAsia" w:cs="Times New Roman"/>
        </w:rPr>
        <w:t xml:space="preserve"> 项目特点</w:t>
      </w:r>
      <w:r>
        <w:tab/>
      </w:r>
      <w:r>
        <w:fldChar w:fldCharType="begin"/>
      </w:r>
      <w:r>
        <w:instrText xml:space="preserve"> PAGEREF _Toc234927676 \h </w:instrText>
      </w:r>
      <w:r>
        <w:fldChar w:fldCharType="separate"/>
      </w:r>
      <w:r>
        <w:t>2</w:t>
      </w:r>
      <w:r>
        <w:fldChar w:fldCharType="end"/>
      </w:r>
    </w:p>
    <w:p w14:paraId="1F80EF16">
      <w:pPr>
        <w:pStyle w:val="30"/>
        <w:tabs>
          <w:tab w:val="right" w:leader="dot" w:pos="8302"/>
        </w:tabs>
        <w:ind w:firstLine="400"/>
        <w:rPr>
          <w:rFonts w:hAnsiTheme="minorHAnsi" w:eastAsiaTheme="minorEastAsia" w:cstheme="minorBidi"/>
          <w:smallCaps w:val="0"/>
          <w:sz w:val="21"/>
          <w:szCs w:val="22"/>
        </w:rPr>
      </w:pPr>
      <w:r>
        <w:rPr>
          <w:rFonts w:cs="Times New Roman"/>
          <w:snapToGrid w:val="0"/>
          <w:w w:val="0"/>
          <w:kern w:val="0"/>
        </w:rPr>
        <w:t>1.3</w:t>
      </w:r>
      <w:r>
        <w:rPr>
          <w:rFonts w:hint="eastAsia" w:cs="Times New Roman"/>
        </w:rPr>
        <w:t xml:space="preserve"> 评价工作程序</w:t>
      </w:r>
      <w:r>
        <w:tab/>
      </w:r>
      <w:r>
        <w:fldChar w:fldCharType="begin"/>
      </w:r>
      <w:r>
        <w:instrText xml:space="preserve"> PAGEREF _Toc234927677 \h </w:instrText>
      </w:r>
      <w:r>
        <w:fldChar w:fldCharType="separate"/>
      </w:r>
      <w:r>
        <w:t>3</w:t>
      </w:r>
      <w:r>
        <w:fldChar w:fldCharType="end"/>
      </w:r>
    </w:p>
    <w:p w14:paraId="6344EA74">
      <w:pPr>
        <w:pStyle w:val="30"/>
        <w:tabs>
          <w:tab w:val="right" w:leader="dot" w:pos="8302"/>
        </w:tabs>
        <w:ind w:firstLine="400"/>
        <w:rPr>
          <w:rFonts w:hAnsiTheme="minorHAnsi" w:eastAsiaTheme="minorEastAsia" w:cstheme="minorBidi"/>
          <w:smallCaps w:val="0"/>
          <w:sz w:val="21"/>
          <w:szCs w:val="22"/>
        </w:rPr>
      </w:pPr>
      <w:r>
        <w:rPr>
          <w:rFonts w:cs="Times New Roman"/>
          <w:snapToGrid w:val="0"/>
          <w:w w:val="0"/>
          <w:kern w:val="0"/>
        </w:rPr>
        <w:t>1.4</w:t>
      </w:r>
      <w:r>
        <w:rPr>
          <w:rFonts w:hint="eastAsia" w:cs="Times New Roman"/>
        </w:rPr>
        <w:t xml:space="preserve"> 分析判定相关情况</w:t>
      </w:r>
      <w:r>
        <w:tab/>
      </w:r>
      <w:r>
        <w:fldChar w:fldCharType="begin"/>
      </w:r>
      <w:r>
        <w:instrText xml:space="preserve"> PAGEREF _Toc234927678 \h </w:instrText>
      </w:r>
      <w:r>
        <w:fldChar w:fldCharType="separate"/>
      </w:r>
      <w:r>
        <w:t>4</w:t>
      </w:r>
      <w:r>
        <w:fldChar w:fldCharType="end"/>
      </w:r>
    </w:p>
    <w:p w14:paraId="4EE8AE63">
      <w:pPr>
        <w:pStyle w:val="30"/>
        <w:tabs>
          <w:tab w:val="right" w:leader="dot" w:pos="8302"/>
        </w:tabs>
        <w:ind w:firstLine="400"/>
        <w:rPr>
          <w:rFonts w:hAnsiTheme="minorHAnsi" w:eastAsiaTheme="minorEastAsia" w:cstheme="minorBidi"/>
          <w:smallCaps w:val="0"/>
          <w:sz w:val="21"/>
          <w:szCs w:val="22"/>
        </w:rPr>
      </w:pPr>
      <w:r>
        <w:rPr>
          <w:rFonts w:cs="Times New Roman"/>
          <w:snapToGrid w:val="0"/>
          <w:w w:val="0"/>
          <w:kern w:val="0"/>
        </w:rPr>
        <w:t>1.5</w:t>
      </w:r>
      <w:r>
        <w:rPr>
          <w:rFonts w:hint="eastAsia" w:cs="Times New Roman"/>
        </w:rPr>
        <w:t xml:space="preserve"> 关注的主要环境问题及环境影响</w:t>
      </w:r>
      <w:r>
        <w:tab/>
      </w:r>
      <w:r>
        <w:fldChar w:fldCharType="begin"/>
      </w:r>
      <w:r>
        <w:instrText xml:space="preserve"> PAGEREF _Toc234927679 \h </w:instrText>
      </w:r>
      <w:r>
        <w:fldChar w:fldCharType="separate"/>
      </w:r>
      <w:r>
        <w:t>37</w:t>
      </w:r>
      <w:r>
        <w:fldChar w:fldCharType="end"/>
      </w:r>
    </w:p>
    <w:p w14:paraId="1D9176CB">
      <w:pPr>
        <w:pStyle w:val="30"/>
        <w:tabs>
          <w:tab w:val="right" w:leader="dot" w:pos="8302"/>
        </w:tabs>
        <w:ind w:firstLine="400"/>
        <w:rPr>
          <w:rFonts w:hAnsiTheme="minorHAnsi" w:eastAsiaTheme="minorEastAsia" w:cstheme="minorBidi"/>
          <w:smallCaps w:val="0"/>
          <w:sz w:val="21"/>
          <w:szCs w:val="22"/>
        </w:rPr>
      </w:pPr>
      <w:r>
        <w:rPr>
          <w:rFonts w:cs="Times New Roman"/>
          <w:snapToGrid w:val="0"/>
          <w:w w:val="0"/>
          <w:kern w:val="0"/>
        </w:rPr>
        <w:t>1.6</w:t>
      </w:r>
      <w:r>
        <w:rPr>
          <w:rFonts w:hint="eastAsia" w:cs="Times New Roman"/>
        </w:rPr>
        <w:t xml:space="preserve"> 环境影响评价的主要结论</w:t>
      </w:r>
      <w:r>
        <w:tab/>
      </w:r>
      <w:r>
        <w:fldChar w:fldCharType="begin"/>
      </w:r>
      <w:r>
        <w:instrText xml:space="preserve"> PAGEREF _Toc234927680 \h </w:instrText>
      </w:r>
      <w:r>
        <w:fldChar w:fldCharType="separate"/>
      </w:r>
      <w:r>
        <w:t>38</w:t>
      </w:r>
      <w:r>
        <w:fldChar w:fldCharType="end"/>
      </w:r>
    </w:p>
    <w:p w14:paraId="7B1E2B86">
      <w:pPr>
        <w:pStyle w:val="15"/>
        <w:tabs>
          <w:tab w:val="right" w:leader="dot" w:pos="8302"/>
        </w:tabs>
        <w:ind w:firstLine="402"/>
        <w:rPr>
          <w:rFonts w:hAnsiTheme="minorHAnsi" w:eastAsiaTheme="minorEastAsia" w:cstheme="minorBidi"/>
          <w:b w:val="0"/>
          <w:bCs w:val="0"/>
          <w:caps w:val="0"/>
          <w:sz w:val="21"/>
          <w:szCs w:val="22"/>
        </w:rPr>
      </w:pPr>
      <w:r>
        <w:rPr>
          <w:rFonts w:hint="eastAsia" w:cs="Times New Roman"/>
        </w:rPr>
        <w:t>第2章 总则</w:t>
      </w:r>
      <w:r>
        <w:tab/>
      </w:r>
      <w:r>
        <w:fldChar w:fldCharType="begin"/>
      </w:r>
      <w:r>
        <w:instrText xml:space="preserve"> PAGEREF _Toc234927681 \h </w:instrText>
      </w:r>
      <w:r>
        <w:fldChar w:fldCharType="separate"/>
      </w:r>
      <w:r>
        <w:t>39</w:t>
      </w:r>
      <w:r>
        <w:fldChar w:fldCharType="end"/>
      </w:r>
    </w:p>
    <w:p w14:paraId="5412AEFF">
      <w:pPr>
        <w:pStyle w:val="30"/>
        <w:tabs>
          <w:tab w:val="right" w:leader="dot" w:pos="8302"/>
        </w:tabs>
        <w:ind w:firstLine="400"/>
        <w:rPr>
          <w:rFonts w:hAnsiTheme="minorHAnsi" w:eastAsiaTheme="minorEastAsia" w:cstheme="minorBidi"/>
          <w:smallCaps w:val="0"/>
          <w:sz w:val="21"/>
          <w:szCs w:val="22"/>
        </w:rPr>
      </w:pPr>
      <w:r>
        <w:rPr>
          <w:rFonts w:cs="Times New Roman"/>
          <w:snapToGrid w:val="0"/>
          <w:w w:val="0"/>
          <w:kern w:val="0"/>
        </w:rPr>
        <w:t>2.1</w:t>
      </w:r>
      <w:r>
        <w:rPr>
          <w:rFonts w:hint="eastAsia" w:cs="Times New Roman"/>
          <w:bCs/>
        </w:rPr>
        <w:t xml:space="preserve"> 评价目的和原则</w:t>
      </w:r>
      <w:r>
        <w:tab/>
      </w:r>
      <w:r>
        <w:fldChar w:fldCharType="begin"/>
      </w:r>
      <w:r>
        <w:instrText xml:space="preserve"> PAGEREF _Toc234927682 \h </w:instrText>
      </w:r>
      <w:r>
        <w:fldChar w:fldCharType="separate"/>
      </w:r>
      <w:r>
        <w:t>39</w:t>
      </w:r>
      <w:r>
        <w:fldChar w:fldCharType="end"/>
      </w:r>
    </w:p>
    <w:p w14:paraId="21A6CAAF">
      <w:pPr>
        <w:pStyle w:val="30"/>
        <w:tabs>
          <w:tab w:val="right" w:leader="dot" w:pos="8302"/>
        </w:tabs>
        <w:ind w:firstLine="400"/>
        <w:rPr>
          <w:rFonts w:hAnsiTheme="minorHAnsi" w:eastAsiaTheme="minorEastAsia" w:cstheme="minorBidi"/>
          <w:smallCaps w:val="0"/>
          <w:sz w:val="21"/>
          <w:szCs w:val="22"/>
        </w:rPr>
      </w:pPr>
      <w:r>
        <w:rPr>
          <w:rFonts w:cs="Times New Roman"/>
          <w:snapToGrid w:val="0"/>
          <w:w w:val="0"/>
          <w:kern w:val="0"/>
        </w:rPr>
        <w:t>2.2</w:t>
      </w:r>
      <w:r>
        <w:rPr>
          <w:rFonts w:hint="eastAsia" w:cs="Times New Roman"/>
        </w:rPr>
        <w:t xml:space="preserve"> 编制依据</w:t>
      </w:r>
      <w:r>
        <w:tab/>
      </w:r>
      <w:r>
        <w:fldChar w:fldCharType="begin"/>
      </w:r>
      <w:r>
        <w:instrText xml:space="preserve"> PAGEREF _Toc234927683 \h </w:instrText>
      </w:r>
      <w:r>
        <w:fldChar w:fldCharType="separate"/>
      </w:r>
      <w:r>
        <w:t>39</w:t>
      </w:r>
      <w:r>
        <w:fldChar w:fldCharType="end"/>
      </w:r>
    </w:p>
    <w:p w14:paraId="5953B032">
      <w:pPr>
        <w:pStyle w:val="30"/>
        <w:tabs>
          <w:tab w:val="right" w:leader="dot" w:pos="8302"/>
        </w:tabs>
        <w:ind w:firstLine="400"/>
        <w:rPr>
          <w:rFonts w:hAnsiTheme="minorHAnsi" w:eastAsiaTheme="minorEastAsia" w:cstheme="minorBidi"/>
          <w:smallCaps w:val="0"/>
          <w:sz w:val="21"/>
          <w:szCs w:val="22"/>
        </w:rPr>
      </w:pPr>
      <w:r>
        <w:rPr>
          <w:rFonts w:cs="Times New Roman"/>
          <w:snapToGrid w:val="0"/>
          <w:w w:val="0"/>
          <w:kern w:val="0"/>
        </w:rPr>
        <w:t>2.3</w:t>
      </w:r>
      <w:r>
        <w:rPr>
          <w:rFonts w:hint="eastAsia" w:cs="Times New Roman"/>
        </w:rPr>
        <w:t xml:space="preserve"> 环境影响识别与评价因子确定</w:t>
      </w:r>
      <w:r>
        <w:tab/>
      </w:r>
      <w:r>
        <w:fldChar w:fldCharType="begin"/>
      </w:r>
      <w:r>
        <w:instrText xml:space="preserve"> PAGEREF _Toc234927684 \h </w:instrText>
      </w:r>
      <w:r>
        <w:fldChar w:fldCharType="separate"/>
      </w:r>
      <w:r>
        <w:t>44</w:t>
      </w:r>
      <w:r>
        <w:fldChar w:fldCharType="end"/>
      </w:r>
    </w:p>
    <w:p w14:paraId="20F2AC82">
      <w:pPr>
        <w:pStyle w:val="30"/>
        <w:tabs>
          <w:tab w:val="right" w:leader="dot" w:pos="8302"/>
        </w:tabs>
        <w:ind w:firstLine="400"/>
        <w:rPr>
          <w:rFonts w:hAnsiTheme="minorHAnsi" w:eastAsiaTheme="minorEastAsia" w:cstheme="minorBidi"/>
          <w:smallCaps w:val="0"/>
          <w:sz w:val="21"/>
          <w:szCs w:val="22"/>
        </w:rPr>
      </w:pPr>
      <w:r>
        <w:rPr>
          <w:rFonts w:cs="Times New Roman"/>
          <w:snapToGrid w:val="0"/>
          <w:w w:val="0"/>
          <w:kern w:val="0"/>
        </w:rPr>
        <w:t>2.4</w:t>
      </w:r>
      <w:r>
        <w:rPr>
          <w:rFonts w:hint="eastAsia" w:cs="Times New Roman"/>
          <w:bCs/>
        </w:rPr>
        <w:t xml:space="preserve"> 评价标准</w:t>
      </w:r>
      <w:r>
        <w:tab/>
      </w:r>
      <w:r>
        <w:fldChar w:fldCharType="begin"/>
      </w:r>
      <w:r>
        <w:instrText xml:space="preserve"> PAGEREF _Toc234927685 \h </w:instrText>
      </w:r>
      <w:r>
        <w:fldChar w:fldCharType="separate"/>
      </w:r>
      <w:r>
        <w:t>46</w:t>
      </w:r>
      <w:r>
        <w:fldChar w:fldCharType="end"/>
      </w:r>
    </w:p>
    <w:p w14:paraId="2C24BE21">
      <w:pPr>
        <w:pStyle w:val="30"/>
        <w:tabs>
          <w:tab w:val="right" w:leader="dot" w:pos="8302"/>
        </w:tabs>
        <w:ind w:firstLine="400"/>
        <w:rPr>
          <w:rFonts w:hAnsiTheme="minorHAnsi" w:eastAsiaTheme="minorEastAsia" w:cstheme="minorBidi"/>
          <w:smallCaps w:val="0"/>
          <w:sz w:val="21"/>
          <w:szCs w:val="22"/>
        </w:rPr>
      </w:pPr>
      <w:r>
        <w:rPr>
          <w:rFonts w:cs="Times New Roman"/>
          <w:snapToGrid w:val="0"/>
          <w:w w:val="0"/>
          <w:kern w:val="0"/>
        </w:rPr>
        <w:t>2.5</w:t>
      </w:r>
      <w:r>
        <w:rPr>
          <w:rFonts w:hint="eastAsia" w:cs="Times New Roman"/>
        </w:rPr>
        <w:t xml:space="preserve"> 评价等级</w:t>
      </w:r>
      <w:r>
        <w:tab/>
      </w:r>
      <w:r>
        <w:fldChar w:fldCharType="begin"/>
      </w:r>
      <w:r>
        <w:instrText xml:space="preserve"> PAGEREF _Toc234927686 \h </w:instrText>
      </w:r>
      <w:r>
        <w:fldChar w:fldCharType="separate"/>
      </w:r>
      <w:r>
        <w:t>51</w:t>
      </w:r>
      <w:r>
        <w:fldChar w:fldCharType="end"/>
      </w:r>
    </w:p>
    <w:p w14:paraId="424BC414">
      <w:pPr>
        <w:pStyle w:val="30"/>
        <w:tabs>
          <w:tab w:val="right" w:leader="dot" w:pos="8302"/>
        </w:tabs>
        <w:ind w:firstLine="400"/>
        <w:rPr>
          <w:rFonts w:hAnsiTheme="minorHAnsi" w:eastAsiaTheme="minorEastAsia" w:cstheme="minorBidi"/>
          <w:smallCaps w:val="0"/>
          <w:sz w:val="21"/>
          <w:szCs w:val="22"/>
        </w:rPr>
      </w:pPr>
      <w:r>
        <w:rPr>
          <w:rFonts w:cs="Times New Roman"/>
          <w:snapToGrid w:val="0"/>
          <w:w w:val="0"/>
          <w:kern w:val="0"/>
        </w:rPr>
        <w:t>2.6</w:t>
      </w:r>
      <w:r>
        <w:rPr>
          <w:rFonts w:hint="eastAsia" w:cs="Times New Roman"/>
        </w:rPr>
        <w:t xml:space="preserve"> 评价范围</w:t>
      </w:r>
      <w:r>
        <w:tab/>
      </w:r>
      <w:r>
        <w:fldChar w:fldCharType="begin"/>
      </w:r>
      <w:r>
        <w:instrText xml:space="preserve"> PAGEREF _Toc234927687 \h </w:instrText>
      </w:r>
      <w:r>
        <w:fldChar w:fldCharType="separate"/>
      </w:r>
      <w:r>
        <w:t>60</w:t>
      </w:r>
      <w:r>
        <w:fldChar w:fldCharType="end"/>
      </w:r>
    </w:p>
    <w:p w14:paraId="312A60FE">
      <w:pPr>
        <w:pStyle w:val="30"/>
        <w:tabs>
          <w:tab w:val="right" w:leader="dot" w:pos="8302"/>
        </w:tabs>
        <w:ind w:firstLine="400"/>
        <w:rPr>
          <w:rFonts w:hAnsiTheme="minorHAnsi" w:eastAsiaTheme="minorEastAsia" w:cstheme="minorBidi"/>
          <w:smallCaps w:val="0"/>
          <w:sz w:val="21"/>
          <w:szCs w:val="22"/>
        </w:rPr>
      </w:pPr>
      <w:r>
        <w:rPr>
          <w:rFonts w:cs="Times New Roman"/>
          <w:snapToGrid w:val="0"/>
          <w:w w:val="0"/>
          <w:kern w:val="0"/>
        </w:rPr>
        <w:t>2.7</w:t>
      </w:r>
      <w:r>
        <w:rPr>
          <w:rFonts w:hint="eastAsia" w:cs="Times New Roman"/>
        </w:rPr>
        <w:t xml:space="preserve"> 环境保护目标及厂区现状</w:t>
      </w:r>
      <w:r>
        <w:tab/>
      </w:r>
      <w:r>
        <w:fldChar w:fldCharType="begin"/>
      </w:r>
      <w:r>
        <w:instrText xml:space="preserve"> PAGEREF _Toc234927688 \h </w:instrText>
      </w:r>
      <w:r>
        <w:fldChar w:fldCharType="separate"/>
      </w:r>
      <w:r>
        <w:t>62</w:t>
      </w:r>
      <w:r>
        <w:fldChar w:fldCharType="end"/>
      </w:r>
    </w:p>
    <w:p w14:paraId="4FFC70A0">
      <w:pPr>
        <w:pStyle w:val="15"/>
        <w:tabs>
          <w:tab w:val="right" w:leader="dot" w:pos="8302"/>
        </w:tabs>
        <w:ind w:firstLine="402"/>
        <w:rPr>
          <w:rFonts w:hAnsiTheme="minorHAnsi" w:eastAsiaTheme="minorEastAsia" w:cstheme="minorBidi"/>
          <w:b w:val="0"/>
          <w:bCs w:val="0"/>
          <w:caps w:val="0"/>
          <w:sz w:val="21"/>
          <w:szCs w:val="22"/>
        </w:rPr>
      </w:pPr>
      <w:r>
        <w:rPr>
          <w:rFonts w:hint="eastAsia" w:cs="Times New Roman"/>
        </w:rPr>
        <w:t>第3章 建设项目工程分析</w:t>
      </w:r>
      <w:r>
        <w:tab/>
      </w:r>
      <w:r>
        <w:fldChar w:fldCharType="begin"/>
      </w:r>
      <w:r>
        <w:instrText xml:space="preserve"> PAGEREF _Toc234927689 \h </w:instrText>
      </w:r>
      <w:r>
        <w:fldChar w:fldCharType="separate"/>
      </w:r>
      <w:r>
        <w:t>67</w:t>
      </w:r>
      <w:r>
        <w:fldChar w:fldCharType="end"/>
      </w:r>
    </w:p>
    <w:p w14:paraId="678C9000">
      <w:pPr>
        <w:pStyle w:val="30"/>
        <w:tabs>
          <w:tab w:val="right" w:leader="dot" w:pos="8302"/>
        </w:tabs>
        <w:ind w:firstLine="400"/>
        <w:rPr>
          <w:rFonts w:hAnsiTheme="minorHAnsi" w:eastAsiaTheme="minorEastAsia" w:cstheme="minorBidi"/>
          <w:smallCaps w:val="0"/>
          <w:sz w:val="21"/>
          <w:szCs w:val="22"/>
        </w:rPr>
      </w:pPr>
      <w:r>
        <w:rPr>
          <w:rFonts w:cs="Times New Roman"/>
          <w:snapToGrid w:val="0"/>
          <w:w w:val="0"/>
          <w:kern w:val="0"/>
        </w:rPr>
        <w:t>3.1</w:t>
      </w:r>
      <w:r>
        <w:rPr>
          <w:rFonts w:hint="eastAsia" w:cs="Times New Roman"/>
        </w:rPr>
        <w:t xml:space="preserve"> 建设项目概况</w:t>
      </w:r>
      <w:r>
        <w:tab/>
      </w:r>
      <w:r>
        <w:fldChar w:fldCharType="begin"/>
      </w:r>
      <w:r>
        <w:instrText xml:space="preserve"> PAGEREF _Toc234927690 \h </w:instrText>
      </w:r>
      <w:r>
        <w:fldChar w:fldCharType="separate"/>
      </w:r>
      <w:r>
        <w:t>67</w:t>
      </w:r>
      <w:r>
        <w:fldChar w:fldCharType="end"/>
      </w:r>
    </w:p>
    <w:p w14:paraId="5B4C23EE">
      <w:pPr>
        <w:pStyle w:val="30"/>
        <w:tabs>
          <w:tab w:val="right" w:leader="dot" w:pos="8302"/>
        </w:tabs>
        <w:ind w:firstLine="400"/>
        <w:rPr>
          <w:rFonts w:hAnsiTheme="minorHAnsi" w:eastAsiaTheme="minorEastAsia" w:cstheme="minorBidi"/>
          <w:smallCaps w:val="0"/>
          <w:sz w:val="21"/>
          <w:szCs w:val="22"/>
        </w:rPr>
      </w:pPr>
      <w:r>
        <w:rPr>
          <w:rFonts w:cs="Times New Roman"/>
          <w:snapToGrid w:val="0"/>
          <w:w w:val="0"/>
          <w:kern w:val="0"/>
        </w:rPr>
        <w:t>3.2</w:t>
      </w:r>
      <w:r>
        <w:rPr>
          <w:rFonts w:hint="eastAsia"/>
          <w:bCs/>
        </w:rPr>
        <w:t xml:space="preserve"> 矿山开采方案</w:t>
      </w:r>
      <w:r>
        <w:tab/>
      </w:r>
      <w:r>
        <w:fldChar w:fldCharType="begin"/>
      </w:r>
      <w:r>
        <w:instrText xml:space="preserve"> PAGEREF _Toc234927691 \h </w:instrText>
      </w:r>
      <w:r>
        <w:fldChar w:fldCharType="separate"/>
      </w:r>
      <w:r>
        <w:t>71</w:t>
      </w:r>
      <w:r>
        <w:fldChar w:fldCharType="end"/>
      </w:r>
    </w:p>
    <w:p w14:paraId="40EC2408">
      <w:pPr>
        <w:pStyle w:val="30"/>
        <w:tabs>
          <w:tab w:val="right" w:leader="dot" w:pos="8302"/>
        </w:tabs>
        <w:ind w:firstLine="400"/>
        <w:rPr>
          <w:rFonts w:hAnsiTheme="minorHAnsi" w:eastAsiaTheme="minorEastAsia" w:cstheme="minorBidi"/>
          <w:smallCaps w:val="0"/>
          <w:sz w:val="21"/>
          <w:szCs w:val="22"/>
        </w:rPr>
      </w:pPr>
      <w:r>
        <w:rPr>
          <w:rFonts w:cs="Times New Roman"/>
          <w:snapToGrid w:val="0"/>
          <w:w w:val="0"/>
          <w:kern w:val="0"/>
        </w:rPr>
        <w:t>3.3</w:t>
      </w:r>
      <w:r>
        <w:rPr>
          <w:rFonts w:hint="eastAsia"/>
          <w:bCs/>
        </w:rPr>
        <w:t xml:space="preserve"> 公用工程</w:t>
      </w:r>
      <w:r>
        <w:tab/>
      </w:r>
      <w:r>
        <w:fldChar w:fldCharType="begin"/>
      </w:r>
      <w:r>
        <w:instrText xml:space="preserve"> PAGEREF _Toc234927692 \h </w:instrText>
      </w:r>
      <w:r>
        <w:fldChar w:fldCharType="separate"/>
      </w:r>
      <w:r>
        <w:t>80</w:t>
      </w:r>
      <w:r>
        <w:fldChar w:fldCharType="end"/>
      </w:r>
    </w:p>
    <w:p w14:paraId="4F6E2D4E">
      <w:pPr>
        <w:pStyle w:val="30"/>
        <w:tabs>
          <w:tab w:val="right" w:leader="dot" w:pos="8302"/>
        </w:tabs>
        <w:ind w:firstLine="400"/>
        <w:rPr>
          <w:rFonts w:hAnsiTheme="minorHAnsi" w:eastAsiaTheme="minorEastAsia" w:cstheme="minorBidi"/>
          <w:smallCaps w:val="0"/>
          <w:sz w:val="21"/>
          <w:szCs w:val="22"/>
        </w:rPr>
      </w:pPr>
      <w:r>
        <w:rPr>
          <w:rFonts w:cs="Times New Roman"/>
          <w:snapToGrid w:val="0"/>
          <w:w w:val="0"/>
          <w:kern w:val="0"/>
        </w:rPr>
        <w:t>3.4</w:t>
      </w:r>
      <w:r>
        <w:rPr>
          <w:rFonts w:hint="eastAsia"/>
        </w:rPr>
        <w:t xml:space="preserve"> 总图布置和占地</w:t>
      </w:r>
      <w:r>
        <w:tab/>
      </w:r>
      <w:r>
        <w:fldChar w:fldCharType="begin"/>
      </w:r>
      <w:r>
        <w:instrText xml:space="preserve"> PAGEREF _Toc234927693 \h </w:instrText>
      </w:r>
      <w:r>
        <w:fldChar w:fldCharType="separate"/>
      </w:r>
      <w:r>
        <w:t>82</w:t>
      </w:r>
      <w:r>
        <w:fldChar w:fldCharType="end"/>
      </w:r>
    </w:p>
    <w:p w14:paraId="00D25CAC">
      <w:pPr>
        <w:pStyle w:val="30"/>
        <w:tabs>
          <w:tab w:val="right" w:leader="dot" w:pos="8302"/>
        </w:tabs>
        <w:ind w:firstLine="400"/>
        <w:rPr>
          <w:rFonts w:hAnsiTheme="minorHAnsi" w:eastAsiaTheme="minorEastAsia" w:cstheme="minorBidi"/>
          <w:smallCaps w:val="0"/>
          <w:sz w:val="21"/>
          <w:szCs w:val="22"/>
        </w:rPr>
      </w:pPr>
      <w:r>
        <w:rPr>
          <w:rFonts w:cs="Times New Roman"/>
          <w:snapToGrid w:val="0"/>
          <w:w w:val="0"/>
          <w:kern w:val="0"/>
        </w:rPr>
        <w:t>3.5</w:t>
      </w:r>
      <w:r>
        <w:rPr>
          <w:rFonts w:hint="eastAsia" w:cs="Times New Roman"/>
        </w:rPr>
        <w:t xml:space="preserve"> 建设项目工程分析</w:t>
      </w:r>
      <w:r>
        <w:tab/>
      </w:r>
      <w:r>
        <w:fldChar w:fldCharType="begin"/>
      </w:r>
      <w:r>
        <w:instrText xml:space="preserve"> PAGEREF _Toc234927694 \h </w:instrText>
      </w:r>
      <w:r>
        <w:fldChar w:fldCharType="separate"/>
      </w:r>
      <w:r>
        <w:t>84</w:t>
      </w:r>
      <w:r>
        <w:fldChar w:fldCharType="end"/>
      </w:r>
    </w:p>
    <w:p w14:paraId="487C3ED2">
      <w:pPr>
        <w:pStyle w:val="30"/>
        <w:tabs>
          <w:tab w:val="right" w:leader="dot" w:pos="8302"/>
        </w:tabs>
        <w:ind w:firstLine="400"/>
        <w:rPr>
          <w:rFonts w:hAnsiTheme="minorHAnsi" w:eastAsiaTheme="minorEastAsia" w:cstheme="minorBidi"/>
          <w:smallCaps w:val="0"/>
          <w:sz w:val="21"/>
          <w:szCs w:val="22"/>
        </w:rPr>
      </w:pPr>
      <w:r>
        <w:rPr>
          <w:rFonts w:cs="Times New Roman"/>
          <w:snapToGrid w:val="0"/>
          <w:w w:val="0"/>
          <w:kern w:val="0"/>
        </w:rPr>
        <w:t>3.6</w:t>
      </w:r>
      <w:r>
        <w:rPr>
          <w:rFonts w:hint="eastAsia"/>
        </w:rPr>
        <w:t xml:space="preserve"> 清洁生产</w:t>
      </w:r>
      <w:r>
        <w:tab/>
      </w:r>
      <w:r>
        <w:fldChar w:fldCharType="begin"/>
      </w:r>
      <w:r>
        <w:instrText xml:space="preserve"> PAGEREF _Toc234927695 \h </w:instrText>
      </w:r>
      <w:r>
        <w:fldChar w:fldCharType="separate"/>
      </w:r>
      <w:r>
        <w:t>95</w:t>
      </w:r>
      <w:r>
        <w:fldChar w:fldCharType="end"/>
      </w:r>
    </w:p>
    <w:p w14:paraId="5ABD3485">
      <w:pPr>
        <w:pStyle w:val="15"/>
        <w:tabs>
          <w:tab w:val="right" w:leader="dot" w:pos="8302"/>
        </w:tabs>
        <w:ind w:firstLine="402"/>
        <w:rPr>
          <w:rFonts w:hAnsiTheme="minorHAnsi" w:eastAsiaTheme="minorEastAsia" w:cstheme="minorBidi"/>
          <w:b w:val="0"/>
          <w:bCs w:val="0"/>
          <w:caps w:val="0"/>
          <w:sz w:val="21"/>
          <w:szCs w:val="22"/>
        </w:rPr>
      </w:pPr>
      <w:r>
        <w:rPr>
          <w:rFonts w:hint="eastAsia" w:cs="Times New Roman"/>
        </w:rPr>
        <w:t>第4章 环境现状调查与评价</w:t>
      </w:r>
      <w:r>
        <w:tab/>
      </w:r>
      <w:r>
        <w:fldChar w:fldCharType="begin"/>
      </w:r>
      <w:r>
        <w:instrText xml:space="preserve"> PAGEREF _Toc234927696 \h </w:instrText>
      </w:r>
      <w:r>
        <w:fldChar w:fldCharType="separate"/>
      </w:r>
      <w:r>
        <w:t>98</w:t>
      </w:r>
      <w:r>
        <w:fldChar w:fldCharType="end"/>
      </w:r>
    </w:p>
    <w:p w14:paraId="4D52575D">
      <w:pPr>
        <w:pStyle w:val="30"/>
        <w:tabs>
          <w:tab w:val="right" w:leader="dot" w:pos="8302"/>
        </w:tabs>
        <w:ind w:firstLine="400"/>
        <w:rPr>
          <w:rFonts w:hAnsiTheme="minorHAnsi" w:eastAsiaTheme="minorEastAsia" w:cstheme="minorBidi"/>
          <w:smallCaps w:val="0"/>
          <w:sz w:val="21"/>
          <w:szCs w:val="22"/>
        </w:rPr>
      </w:pPr>
      <w:r>
        <w:rPr>
          <w:rFonts w:cs="Times New Roman"/>
          <w:snapToGrid w:val="0"/>
          <w:w w:val="0"/>
          <w:kern w:val="0"/>
        </w:rPr>
        <w:t>4.1</w:t>
      </w:r>
      <w:r>
        <w:rPr>
          <w:rFonts w:hint="eastAsia" w:cs="Times New Roman"/>
        </w:rPr>
        <w:t xml:space="preserve"> 自然环境</w:t>
      </w:r>
      <w:r>
        <w:tab/>
      </w:r>
      <w:r>
        <w:fldChar w:fldCharType="begin"/>
      </w:r>
      <w:r>
        <w:instrText xml:space="preserve"> PAGEREF _Toc234927697 \h </w:instrText>
      </w:r>
      <w:r>
        <w:fldChar w:fldCharType="separate"/>
      </w:r>
      <w:r>
        <w:t>98</w:t>
      </w:r>
      <w:r>
        <w:fldChar w:fldCharType="end"/>
      </w:r>
    </w:p>
    <w:p w14:paraId="3BBEB3D6">
      <w:pPr>
        <w:pStyle w:val="30"/>
        <w:tabs>
          <w:tab w:val="right" w:leader="dot" w:pos="8302"/>
        </w:tabs>
        <w:ind w:firstLine="400"/>
        <w:rPr>
          <w:rFonts w:hAnsiTheme="minorHAnsi" w:eastAsiaTheme="minorEastAsia" w:cstheme="minorBidi"/>
          <w:smallCaps w:val="0"/>
          <w:sz w:val="21"/>
          <w:szCs w:val="22"/>
        </w:rPr>
      </w:pPr>
      <w:r>
        <w:rPr>
          <w:rFonts w:cs="Times New Roman"/>
          <w:snapToGrid w:val="0"/>
          <w:w w:val="0"/>
          <w:kern w:val="0"/>
        </w:rPr>
        <w:t>4.2</w:t>
      </w:r>
      <w:r>
        <w:rPr>
          <w:rFonts w:hint="eastAsia"/>
          <w:bCs/>
        </w:rPr>
        <w:t xml:space="preserve"> 环境质量现状评价</w:t>
      </w:r>
      <w:r>
        <w:tab/>
      </w:r>
      <w:r>
        <w:fldChar w:fldCharType="begin"/>
      </w:r>
      <w:r>
        <w:instrText xml:space="preserve"> PAGEREF _Toc234927698 \h </w:instrText>
      </w:r>
      <w:r>
        <w:fldChar w:fldCharType="separate"/>
      </w:r>
      <w:r>
        <w:t>109</w:t>
      </w:r>
      <w:r>
        <w:fldChar w:fldCharType="end"/>
      </w:r>
    </w:p>
    <w:p w14:paraId="17B5FE56">
      <w:pPr>
        <w:pStyle w:val="30"/>
        <w:tabs>
          <w:tab w:val="right" w:leader="dot" w:pos="8302"/>
        </w:tabs>
        <w:ind w:firstLine="400"/>
        <w:rPr>
          <w:rFonts w:hAnsiTheme="minorHAnsi" w:eastAsiaTheme="minorEastAsia" w:cstheme="minorBidi"/>
          <w:smallCaps w:val="0"/>
          <w:sz w:val="21"/>
          <w:szCs w:val="22"/>
        </w:rPr>
      </w:pPr>
      <w:r>
        <w:rPr>
          <w:rFonts w:cs="Times New Roman"/>
          <w:snapToGrid w:val="0"/>
          <w:w w:val="0"/>
          <w:kern w:val="0"/>
        </w:rPr>
        <w:t>4.3</w:t>
      </w:r>
      <w:r>
        <w:rPr>
          <w:rFonts w:hint="eastAsia"/>
        </w:rPr>
        <w:t xml:space="preserve"> 陆生生态现状调查与评价</w:t>
      </w:r>
      <w:r>
        <w:tab/>
      </w:r>
      <w:r>
        <w:fldChar w:fldCharType="begin"/>
      </w:r>
      <w:r>
        <w:instrText xml:space="preserve"> PAGEREF _Toc234927699 \h </w:instrText>
      </w:r>
      <w:r>
        <w:fldChar w:fldCharType="separate"/>
      </w:r>
      <w:r>
        <w:t>114</w:t>
      </w:r>
      <w:r>
        <w:fldChar w:fldCharType="end"/>
      </w:r>
    </w:p>
    <w:p w14:paraId="1607842C">
      <w:pPr>
        <w:pStyle w:val="30"/>
        <w:tabs>
          <w:tab w:val="right" w:leader="dot" w:pos="8302"/>
        </w:tabs>
        <w:ind w:firstLine="400"/>
        <w:rPr>
          <w:rFonts w:hAnsiTheme="minorHAnsi" w:eastAsiaTheme="minorEastAsia" w:cstheme="minorBidi"/>
          <w:smallCaps w:val="0"/>
          <w:sz w:val="21"/>
          <w:szCs w:val="22"/>
        </w:rPr>
      </w:pPr>
      <w:r>
        <w:rPr>
          <w:rFonts w:cs="Times New Roman"/>
          <w:snapToGrid w:val="0"/>
          <w:w w:val="0"/>
          <w:kern w:val="0"/>
        </w:rPr>
        <w:t>4.4</w:t>
      </w:r>
      <w:r>
        <w:rPr>
          <w:rFonts w:hint="eastAsia"/>
        </w:rPr>
        <w:t xml:space="preserve"> 土壤环境质量现状评价</w:t>
      </w:r>
      <w:r>
        <w:tab/>
      </w:r>
      <w:r>
        <w:fldChar w:fldCharType="begin"/>
      </w:r>
      <w:r>
        <w:instrText xml:space="preserve"> PAGEREF _Toc234927700 \h </w:instrText>
      </w:r>
      <w:r>
        <w:fldChar w:fldCharType="separate"/>
      </w:r>
      <w:r>
        <w:t>160</w:t>
      </w:r>
      <w:r>
        <w:fldChar w:fldCharType="end"/>
      </w:r>
    </w:p>
    <w:p w14:paraId="5896FDB5">
      <w:pPr>
        <w:pStyle w:val="30"/>
        <w:tabs>
          <w:tab w:val="right" w:leader="dot" w:pos="8302"/>
        </w:tabs>
        <w:ind w:firstLine="400"/>
        <w:rPr>
          <w:rFonts w:hAnsiTheme="minorHAnsi" w:eastAsiaTheme="minorEastAsia" w:cstheme="minorBidi"/>
          <w:smallCaps w:val="0"/>
          <w:sz w:val="21"/>
          <w:szCs w:val="22"/>
        </w:rPr>
      </w:pPr>
      <w:r>
        <w:rPr>
          <w:rFonts w:cs="Times New Roman"/>
          <w:snapToGrid w:val="0"/>
          <w:w w:val="0"/>
          <w:kern w:val="0"/>
        </w:rPr>
        <w:t>4.5</w:t>
      </w:r>
      <w:r>
        <w:rPr>
          <w:rFonts w:hint="eastAsia" w:cs="Times New Roman"/>
        </w:rPr>
        <w:t xml:space="preserve"> 区域污染源调查</w:t>
      </w:r>
      <w:r>
        <w:tab/>
      </w:r>
      <w:r>
        <w:fldChar w:fldCharType="begin"/>
      </w:r>
      <w:r>
        <w:instrText xml:space="preserve"> PAGEREF _Toc234927701 \h </w:instrText>
      </w:r>
      <w:r>
        <w:fldChar w:fldCharType="separate"/>
      </w:r>
      <w:r>
        <w:t>164</w:t>
      </w:r>
      <w:r>
        <w:fldChar w:fldCharType="end"/>
      </w:r>
    </w:p>
    <w:p w14:paraId="234CD29D">
      <w:pPr>
        <w:pStyle w:val="15"/>
        <w:tabs>
          <w:tab w:val="right" w:leader="dot" w:pos="8302"/>
        </w:tabs>
        <w:ind w:firstLine="402"/>
        <w:rPr>
          <w:rFonts w:hAnsiTheme="minorHAnsi" w:eastAsiaTheme="minorEastAsia" w:cstheme="minorBidi"/>
          <w:b w:val="0"/>
          <w:bCs w:val="0"/>
          <w:caps w:val="0"/>
          <w:sz w:val="21"/>
          <w:szCs w:val="22"/>
        </w:rPr>
      </w:pPr>
      <w:r>
        <w:rPr>
          <w:rFonts w:hint="eastAsia" w:cs="Times New Roman"/>
        </w:rPr>
        <w:t>第5章 环境影响预测与评价</w:t>
      </w:r>
      <w:r>
        <w:tab/>
      </w:r>
      <w:r>
        <w:fldChar w:fldCharType="begin"/>
      </w:r>
      <w:r>
        <w:instrText xml:space="preserve"> PAGEREF _Toc234927702 \h </w:instrText>
      </w:r>
      <w:r>
        <w:fldChar w:fldCharType="separate"/>
      </w:r>
      <w:r>
        <w:t>165</w:t>
      </w:r>
      <w:r>
        <w:fldChar w:fldCharType="end"/>
      </w:r>
    </w:p>
    <w:p w14:paraId="6D19BA22">
      <w:pPr>
        <w:pStyle w:val="30"/>
        <w:tabs>
          <w:tab w:val="right" w:leader="dot" w:pos="8302"/>
        </w:tabs>
        <w:ind w:firstLine="400"/>
        <w:rPr>
          <w:rFonts w:hAnsiTheme="minorHAnsi" w:eastAsiaTheme="minorEastAsia" w:cstheme="minorBidi"/>
          <w:smallCaps w:val="0"/>
          <w:sz w:val="21"/>
          <w:szCs w:val="22"/>
        </w:rPr>
      </w:pPr>
      <w:r>
        <w:rPr>
          <w:rFonts w:cs="Times New Roman"/>
          <w:snapToGrid w:val="0"/>
          <w:w w:val="0"/>
          <w:kern w:val="0"/>
        </w:rPr>
        <w:t>5.1</w:t>
      </w:r>
      <w:r>
        <w:rPr>
          <w:rFonts w:hint="eastAsia" w:cs="Times New Roman"/>
        </w:rPr>
        <w:t xml:space="preserve"> 施工期环境影响分析</w:t>
      </w:r>
      <w:r>
        <w:tab/>
      </w:r>
      <w:r>
        <w:fldChar w:fldCharType="begin"/>
      </w:r>
      <w:r>
        <w:instrText xml:space="preserve"> PAGEREF _Toc234927703 \h </w:instrText>
      </w:r>
      <w:r>
        <w:fldChar w:fldCharType="separate"/>
      </w:r>
      <w:r>
        <w:t>165</w:t>
      </w:r>
      <w:r>
        <w:fldChar w:fldCharType="end"/>
      </w:r>
    </w:p>
    <w:p w14:paraId="39EAF185">
      <w:pPr>
        <w:pStyle w:val="30"/>
        <w:tabs>
          <w:tab w:val="right" w:leader="dot" w:pos="8302"/>
        </w:tabs>
        <w:ind w:firstLine="400"/>
        <w:rPr>
          <w:rFonts w:hAnsiTheme="minorHAnsi" w:eastAsiaTheme="minorEastAsia" w:cstheme="minorBidi"/>
          <w:smallCaps w:val="0"/>
          <w:sz w:val="21"/>
          <w:szCs w:val="22"/>
        </w:rPr>
      </w:pPr>
      <w:r>
        <w:rPr>
          <w:rFonts w:cs="Times New Roman"/>
          <w:snapToGrid w:val="0"/>
          <w:w w:val="0"/>
          <w:kern w:val="0"/>
        </w:rPr>
        <w:t>5.2</w:t>
      </w:r>
      <w:r>
        <w:rPr>
          <w:rFonts w:hint="eastAsia" w:cs="Times New Roman"/>
        </w:rPr>
        <w:t xml:space="preserve"> 运行期环境影响评价</w:t>
      </w:r>
      <w:r>
        <w:tab/>
      </w:r>
      <w:r>
        <w:fldChar w:fldCharType="begin"/>
      </w:r>
      <w:r>
        <w:instrText xml:space="preserve"> PAGEREF _Toc234927704 \h </w:instrText>
      </w:r>
      <w:r>
        <w:fldChar w:fldCharType="separate"/>
      </w:r>
      <w:r>
        <w:t>166</w:t>
      </w:r>
      <w:r>
        <w:fldChar w:fldCharType="end"/>
      </w:r>
    </w:p>
    <w:p w14:paraId="5AF5E759">
      <w:pPr>
        <w:pStyle w:val="30"/>
        <w:tabs>
          <w:tab w:val="right" w:leader="dot" w:pos="8302"/>
        </w:tabs>
        <w:ind w:firstLine="400"/>
        <w:rPr>
          <w:rFonts w:hAnsiTheme="minorHAnsi" w:eastAsiaTheme="minorEastAsia" w:cstheme="minorBidi"/>
          <w:smallCaps w:val="0"/>
          <w:sz w:val="21"/>
          <w:szCs w:val="22"/>
        </w:rPr>
      </w:pPr>
      <w:r>
        <w:rPr>
          <w:rFonts w:cs="Times New Roman"/>
          <w:snapToGrid w:val="0"/>
          <w:w w:val="0"/>
          <w:kern w:val="0"/>
        </w:rPr>
        <w:t>5.3</w:t>
      </w:r>
      <w:r>
        <w:rPr>
          <w:rFonts w:hint="eastAsia" w:cs="Times New Roman"/>
        </w:rPr>
        <w:t xml:space="preserve"> 生态影响预测与评价</w:t>
      </w:r>
      <w:r>
        <w:tab/>
      </w:r>
      <w:r>
        <w:fldChar w:fldCharType="begin"/>
      </w:r>
      <w:r>
        <w:instrText xml:space="preserve"> PAGEREF _Toc234927705 \h </w:instrText>
      </w:r>
      <w:r>
        <w:fldChar w:fldCharType="separate"/>
      </w:r>
      <w:r>
        <w:t>176</w:t>
      </w:r>
      <w:r>
        <w:fldChar w:fldCharType="end"/>
      </w:r>
    </w:p>
    <w:p w14:paraId="1D6EF024">
      <w:pPr>
        <w:pStyle w:val="30"/>
        <w:tabs>
          <w:tab w:val="right" w:leader="dot" w:pos="8302"/>
        </w:tabs>
        <w:ind w:firstLine="400"/>
        <w:rPr>
          <w:rFonts w:hAnsiTheme="minorHAnsi" w:eastAsiaTheme="minorEastAsia" w:cstheme="minorBidi"/>
          <w:smallCaps w:val="0"/>
          <w:sz w:val="21"/>
          <w:szCs w:val="22"/>
        </w:rPr>
      </w:pPr>
      <w:r>
        <w:rPr>
          <w:rFonts w:cs="Times New Roman"/>
          <w:snapToGrid w:val="0"/>
          <w:w w:val="0"/>
          <w:kern w:val="0"/>
        </w:rPr>
        <w:t>5.4</w:t>
      </w:r>
      <w:r>
        <w:rPr>
          <w:rFonts w:hint="eastAsia" w:cs="Times New Roman"/>
        </w:rPr>
        <w:t xml:space="preserve"> 环境风险评价</w:t>
      </w:r>
      <w:r>
        <w:tab/>
      </w:r>
      <w:r>
        <w:fldChar w:fldCharType="begin"/>
      </w:r>
      <w:r>
        <w:instrText xml:space="preserve"> PAGEREF _Toc234927706 \h </w:instrText>
      </w:r>
      <w:r>
        <w:fldChar w:fldCharType="separate"/>
      </w:r>
      <w:r>
        <w:t>187</w:t>
      </w:r>
      <w:r>
        <w:fldChar w:fldCharType="end"/>
      </w:r>
    </w:p>
    <w:p w14:paraId="1EA472FD">
      <w:pPr>
        <w:pStyle w:val="30"/>
        <w:tabs>
          <w:tab w:val="right" w:leader="dot" w:pos="8302"/>
        </w:tabs>
        <w:ind w:firstLine="400"/>
        <w:rPr>
          <w:rFonts w:hAnsiTheme="minorHAnsi" w:eastAsiaTheme="minorEastAsia" w:cstheme="minorBidi"/>
          <w:smallCaps w:val="0"/>
          <w:sz w:val="21"/>
          <w:szCs w:val="22"/>
        </w:rPr>
      </w:pPr>
      <w:r>
        <w:rPr>
          <w:rFonts w:cs="Times New Roman"/>
          <w:snapToGrid w:val="0"/>
          <w:w w:val="0"/>
          <w:kern w:val="0"/>
        </w:rPr>
        <w:t>5.5</w:t>
      </w:r>
      <w:r>
        <w:rPr>
          <w:rFonts w:hint="eastAsia" w:cs="Times New Roman"/>
        </w:rPr>
        <w:t xml:space="preserve"> 服务期满后环境影响分析</w:t>
      </w:r>
      <w:r>
        <w:tab/>
      </w:r>
      <w:r>
        <w:fldChar w:fldCharType="begin"/>
      </w:r>
      <w:r>
        <w:instrText xml:space="preserve"> PAGEREF _Toc234927707 \h </w:instrText>
      </w:r>
      <w:r>
        <w:fldChar w:fldCharType="separate"/>
      </w:r>
      <w:r>
        <w:t>189</w:t>
      </w:r>
      <w:r>
        <w:fldChar w:fldCharType="end"/>
      </w:r>
    </w:p>
    <w:p w14:paraId="4958520A">
      <w:pPr>
        <w:pStyle w:val="15"/>
        <w:tabs>
          <w:tab w:val="right" w:leader="dot" w:pos="8302"/>
        </w:tabs>
        <w:ind w:firstLine="402"/>
        <w:rPr>
          <w:rFonts w:hAnsiTheme="minorHAnsi" w:eastAsiaTheme="minorEastAsia" w:cstheme="minorBidi"/>
          <w:b w:val="0"/>
          <w:bCs w:val="0"/>
          <w:caps w:val="0"/>
          <w:sz w:val="21"/>
          <w:szCs w:val="22"/>
        </w:rPr>
      </w:pPr>
      <w:r>
        <w:rPr>
          <w:rFonts w:hint="eastAsia" w:cs="Times New Roman"/>
        </w:rPr>
        <w:t>第6章 环境保护措施及其可行性论证</w:t>
      </w:r>
      <w:r>
        <w:tab/>
      </w:r>
      <w:r>
        <w:fldChar w:fldCharType="begin"/>
      </w:r>
      <w:r>
        <w:instrText xml:space="preserve"> PAGEREF _Toc234927708 \h </w:instrText>
      </w:r>
      <w:r>
        <w:fldChar w:fldCharType="separate"/>
      </w:r>
      <w:r>
        <w:t>191</w:t>
      </w:r>
      <w:r>
        <w:fldChar w:fldCharType="end"/>
      </w:r>
    </w:p>
    <w:p w14:paraId="7FAA3DFA">
      <w:pPr>
        <w:pStyle w:val="30"/>
        <w:tabs>
          <w:tab w:val="right" w:leader="dot" w:pos="8302"/>
        </w:tabs>
        <w:ind w:firstLine="400"/>
        <w:rPr>
          <w:rFonts w:hAnsiTheme="minorHAnsi" w:eastAsiaTheme="minorEastAsia" w:cstheme="minorBidi"/>
          <w:smallCaps w:val="0"/>
          <w:sz w:val="21"/>
          <w:szCs w:val="22"/>
        </w:rPr>
      </w:pPr>
      <w:r>
        <w:rPr>
          <w:rFonts w:cs="Times New Roman"/>
          <w:snapToGrid w:val="0"/>
          <w:w w:val="0"/>
          <w:kern w:val="0"/>
        </w:rPr>
        <w:t>6.1</w:t>
      </w:r>
      <w:r>
        <w:rPr>
          <w:rFonts w:hint="eastAsia" w:cs="Times New Roman"/>
          <w:bCs/>
        </w:rPr>
        <w:t xml:space="preserve"> 施工期环境保护措施及其可行性论证</w:t>
      </w:r>
      <w:r>
        <w:tab/>
      </w:r>
      <w:r>
        <w:fldChar w:fldCharType="begin"/>
      </w:r>
      <w:r>
        <w:instrText xml:space="preserve"> PAGEREF _Toc234927709 \h </w:instrText>
      </w:r>
      <w:r>
        <w:fldChar w:fldCharType="separate"/>
      </w:r>
      <w:r>
        <w:t>191</w:t>
      </w:r>
      <w:r>
        <w:fldChar w:fldCharType="end"/>
      </w:r>
    </w:p>
    <w:p w14:paraId="3FC00F5D">
      <w:pPr>
        <w:pStyle w:val="30"/>
        <w:tabs>
          <w:tab w:val="right" w:leader="dot" w:pos="8302"/>
        </w:tabs>
        <w:ind w:firstLine="400"/>
        <w:rPr>
          <w:rFonts w:hAnsiTheme="minorHAnsi" w:eastAsiaTheme="minorEastAsia" w:cstheme="minorBidi"/>
          <w:smallCaps w:val="0"/>
          <w:sz w:val="21"/>
          <w:szCs w:val="22"/>
        </w:rPr>
      </w:pPr>
      <w:r>
        <w:rPr>
          <w:rFonts w:cs="Times New Roman"/>
          <w:snapToGrid w:val="0"/>
          <w:w w:val="0"/>
          <w:kern w:val="0"/>
        </w:rPr>
        <w:t>6.2</w:t>
      </w:r>
      <w:r>
        <w:rPr>
          <w:rFonts w:hint="eastAsia"/>
        </w:rPr>
        <w:t xml:space="preserve"> 营运期环境保护措施及其可行性论证</w:t>
      </w:r>
      <w:r>
        <w:tab/>
      </w:r>
      <w:r>
        <w:fldChar w:fldCharType="begin"/>
      </w:r>
      <w:r>
        <w:instrText xml:space="preserve"> PAGEREF _Toc234927710 \h </w:instrText>
      </w:r>
      <w:r>
        <w:fldChar w:fldCharType="separate"/>
      </w:r>
      <w:r>
        <w:t>194</w:t>
      </w:r>
      <w:r>
        <w:fldChar w:fldCharType="end"/>
      </w:r>
    </w:p>
    <w:p w14:paraId="41FAC235">
      <w:pPr>
        <w:pStyle w:val="30"/>
        <w:tabs>
          <w:tab w:val="right" w:leader="dot" w:pos="8302"/>
        </w:tabs>
        <w:ind w:firstLine="400"/>
        <w:rPr>
          <w:rFonts w:hAnsiTheme="minorHAnsi" w:eastAsiaTheme="minorEastAsia" w:cstheme="minorBidi"/>
          <w:smallCaps w:val="0"/>
          <w:sz w:val="21"/>
          <w:szCs w:val="22"/>
        </w:rPr>
      </w:pPr>
      <w:r>
        <w:rPr>
          <w:rFonts w:cs="Times New Roman"/>
          <w:snapToGrid w:val="0"/>
          <w:w w:val="0"/>
          <w:kern w:val="0"/>
        </w:rPr>
        <w:t>6.3</w:t>
      </w:r>
      <w:r>
        <w:rPr>
          <w:rFonts w:hint="eastAsia"/>
        </w:rPr>
        <w:t xml:space="preserve"> 服务期满后生态恢复措施</w:t>
      </w:r>
      <w:r>
        <w:tab/>
      </w:r>
      <w:r>
        <w:fldChar w:fldCharType="begin"/>
      </w:r>
      <w:r>
        <w:instrText xml:space="preserve"> PAGEREF _Toc234927711 \h </w:instrText>
      </w:r>
      <w:r>
        <w:fldChar w:fldCharType="separate"/>
      </w:r>
      <w:r>
        <w:t>198</w:t>
      </w:r>
      <w:r>
        <w:fldChar w:fldCharType="end"/>
      </w:r>
    </w:p>
    <w:p w14:paraId="49FE325F">
      <w:pPr>
        <w:pStyle w:val="30"/>
        <w:tabs>
          <w:tab w:val="right" w:leader="dot" w:pos="8302"/>
        </w:tabs>
        <w:ind w:firstLine="400"/>
        <w:rPr>
          <w:rFonts w:hAnsiTheme="minorHAnsi" w:eastAsiaTheme="minorEastAsia" w:cstheme="minorBidi"/>
          <w:smallCaps w:val="0"/>
          <w:sz w:val="21"/>
          <w:szCs w:val="22"/>
        </w:rPr>
      </w:pPr>
      <w:r>
        <w:rPr>
          <w:rFonts w:cs="Times New Roman"/>
          <w:snapToGrid w:val="0"/>
          <w:w w:val="0"/>
          <w:kern w:val="0"/>
        </w:rPr>
        <w:t>6.4</w:t>
      </w:r>
      <w:r>
        <w:rPr>
          <w:rFonts w:hint="eastAsia" w:cs="Times New Roman"/>
        </w:rPr>
        <w:t xml:space="preserve"> 环保投资估算</w:t>
      </w:r>
      <w:r>
        <w:tab/>
      </w:r>
      <w:r>
        <w:fldChar w:fldCharType="begin"/>
      </w:r>
      <w:r>
        <w:instrText xml:space="preserve"> PAGEREF _Toc234927712 \h </w:instrText>
      </w:r>
      <w:r>
        <w:fldChar w:fldCharType="separate"/>
      </w:r>
      <w:r>
        <w:t>202</w:t>
      </w:r>
      <w:r>
        <w:fldChar w:fldCharType="end"/>
      </w:r>
    </w:p>
    <w:p w14:paraId="1F869ABC">
      <w:pPr>
        <w:pStyle w:val="15"/>
        <w:tabs>
          <w:tab w:val="right" w:leader="dot" w:pos="8302"/>
        </w:tabs>
        <w:ind w:firstLine="402"/>
        <w:rPr>
          <w:rFonts w:hAnsiTheme="minorHAnsi" w:eastAsiaTheme="minorEastAsia" w:cstheme="minorBidi"/>
          <w:b w:val="0"/>
          <w:bCs w:val="0"/>
          <w:caps w:val="0"/>
          <w:sz w:val="21"/>
          <w:szCs w:val="22"/>
        </w:rPr>
      </w:pPr>
      <w:r>
        <w:rPr>
          <w:rFonts w:hint="eastAsia" w:cs="Times New Roman"/>
        </w:rPr>
        <w:t>第7章 环境影响经济损益分析</w:t>
      </w:r>
      <w:r>
        <w:tab/>
      </w:r>
      <w:r>
        <w:fldChar w:fldCharType="begin"/>
      </w:r>
      <w:r>
        <w:instrText xml:space="preserve"> PAGEREF _Toc234927713 \h </w:instrText>
      </w:r>
      <w:r>
        <w:fldChar w:fldCharType="separate"/>
      </w:r>
      <w:r>
        <w:t>204</w:t>
      </w:r>
      <w:r>
        <w:fldChar w:fldCharType="end"/>
      </w:r>
    </w:p>
    <w:p w14:paraId="5664366F">
      <w:pPr>
        <w:pStyle w:val="30"/>
        <w:tabs>
          <w:tab w:val="right" w:leader="dot" w:pos="8302"/>
        </w:tabs>
        <w:ind w:firstLine="400"/>
        <w:rPr>
          <w:rFonts w:hAnsiTheme="minorHAnsi" w:eastAsiaTheme="minorEastAsia" w:cstheme="minorBidi"/>
          <w:smallCaps w:val="0"/>
          <w:sz w:val="21"/>
          <w:szCs w:val="22"/>
        </w:rPr>
      </w:pPr>
      <w:r>
        <w:rPr>
          <w:rFonts w:cs="Times New Roman"/>
          <w:snapToGrid w:val="0"/>
          <w:w w:val="0"/>
          <w:kern w:val="0"/>
        </w:rPr>
        <w:t>7.1</w:t>
      </w:r>
      <w:r>
        <w:rPr>
          <w:rFonts w:hint="eastAsia" w:cs="Times New Roman"/>
        </w:rPr>
        <w:t xml:space="preserve"> 环保投资的环境效益</w:t>
      </w:r>
      <w:r>
        <w:tab/>
      </w:r>
      <w:r>
        <w:fldChar w:fldCharType="begin"/>
      </w:r>
      <w:r>
        <w:instrText xml:space="preserve"> PAGEREF _Toc234927714 \h </w:instrText>
      </w:r>
      <w:r>
        <w:fldChar w:fldCharType="separate"/>
      </w:r>
      <w:r>
        <w:t>204</w:t>
      </w:r>
      <w:r>
        <w:fldChar w:fldCharType="end"/>
      </w:r>
    </w:p>
    <w:p w14:paraId="61C577C1">
      <w:pPr>
        <w:pStyle w:val="30"/>
        <w:tabs>
          <w:tab w:val="right" w:leader="dot" w:pos="8302"/>
        </w:tabs>
        <w:ind w:firstLine="400"/>
        <w:rPr>
          <w:rFonts w:hAnsiTheme="minorHAnsi" w:eastAsiaTheme="minorEastAsia" w:cstheme="minorBidi"/>
          <w:smallCaps w:val="0"/>
          <w:sz w:val="21"/>
          <w:szCs w:val="22"/>
        </w:rPr>
      </w:pPr>
      <w:r>
        <w:rPr>
          <w:rFonts w:cs="Times New Roman"/>
          <w:snapToGrid w:val="0"/>
          <w:w w:val="0"/>
          <w:kern w:val="0"/>
        </w:rPr>
        <w:t>7.2</w:t>
      </w:r>
      <w:r>
        <w:rPr>
          <w:rFonts w:hint="eastAsia" w:cs="Times New Roman"/>
        </w:rPr>
        <w:t xml:space="preserve"> 环保投资的经济效益分析</w:t>
      </w:r>
      <w:r>
        <w:tab/>
      </w:r>
      <w:r>
        <w:fldChar w:fldCharType="begin"/>
      </w:r>
      <w:r>
        <w:instrText xml:space="preserve"> PAGEREF _Toc234927715 \h </w:instrText>
      </w:r>
      <w:r>
        <w:fldChar w:fldCharType="separate"/>
      </w:r>
      <w:r>
        <w:t>204</w:t>
      </w:r>
      <w:r>
        <w:fldChar w:fldCharType="end"/>
      </w:r>
    </w:p>
    <w:p w14:paraId="123E22BC">
      <w:pPr>
        <w:pStyle w:val="30"/>
        <w:tabs>
          <w:tab w:val="right" w:leader="dot" w:pos="8302"/>
        </w:tabs>
        <w:ind w:firstLine="400"/>
        <w:rPr>
          <w:rFonts w:hAnsiTheme="minorHAnsi" w:eastAsiaTheme="minorEastAsia" w:cstheme="minorBidi"/>
          <w:smallCaps w:val="0"/>
          <w:sz w:val="21"/>
          <w:szCs w:val="22"/>
        </w:rPr>
      </w:pPr>
      <w:r>
        <w:rPr>
          <w:rFonts w:cs="Times New Roman"/>
          <w:snapToGrid w:val="0"/>
          <w:w w:val="0"/>
          <w:kern w:val="0"/>
        </w:rPr>
        <w:t>7.3</w:t>
      </w:r>
      <w:r>
        <w:rPr>
          <w:rFonts w:hint="eastAsia" w:cs="Times New Roman"/>
        </w:rPr>
        <w:t xml:space="preserve"> 社会效益分析</w:t>
      </w:r>
      <w:r>
        <w:tab/>
      </w:r>
      <w:r>
        <w:fldChar w:fldCharType="begin"/>
      </w:r>
      <w:r>
        <w:instrText xml:space="preserve"> PAGEREF _Toc234927716 \h </w:instrText>
      </w:r>
      <w:r>
        <w:fldChar w:fldCharType="separate"/>
      </w:r>
      <w:r>
        <w:t>206</w:t>
      </w:r>
      <w:r>
        <w:fldChar w:fldCharType="end"/>
      </w:r>
    </w:p>
    <w:p w14:paraId="6E37DCF3">
      <w:pPr>
        <w:pStyle w:val="30"/>
        <w:tabs>
          <w:tab w:val="right" w:leader="dot" w:pos="8302"/>
        </w:tabs>
        <w:ind w:firstLine="400"/>
        <w:rPr>
          <w:rFonts w:hAnsiTheme="minorHAnsi" w:eastAsiaTheme="minorEastAsia" w:cstheme="minorBidi"/>
          <w:smallCaps w:val="0"/>
          <w:sz w:val="21"/>
          <w:szCs w:val="22"/>
        </w:rPr>
      </w:pPr>
      <w:r>
        <w:rPr>
          <w:rFonts w:cs="Times New Roman"/>
          <w:snapToGrid w:val="0"/>
          <w:w w:val="0"/>
          <w:kern w:val="0"/>
        </w:rPr>
        <w:t>7.4</w:t>
      </w:r>
      <w:r>
        <w:rPr>
          <w:rFonts w:hint="eastAsia" w:cs="Times New Roman"/>
        </w:rPr>
        <w:t xml:space="preserve"> 小结</w:t>
      </w:r>
      <w:r>
        <w:tab/>
      </w:r>
      <w:r>
        <w:fldChar w:fldCharType="begin"/>
      </w:r>
      <w:r>
        <w:instrText xml:space="preserve"> PAGEREF _Toc234927717 \h </w:instrText>
      </w:r>
      <w:r>
        <w:fldChar w:fldCharType="separate"/>
      </w:r>
      <w:r>
        <w:t>207</w:t>
      </w:r>
      <w:r>
        <w:fldChar w:fldCharType="end"/>
      </w:r>
    </w:p>
    <w:p w14:paraId="075FCA60">
      <w:pPr>
        <w:pStyle w:val="15"/>
        <w:tabs>
          <w:tab w:val="right" w:leader="dot" w:pos="8302"/>
        </w:tabs>
        <w:ind w:firstLine="402"/>
        <w:rPr>
          <w:rFonts w:hAnsiTheme="minorHAnsi" w:eastAsiaTheme="minorEastAsia" w:cstheme="minorBidi"/>
          <w:b w:val="0"/>
          <w:bCs w:val="0"/>
          <w:caps w:val="0"/>
          <w:sz w:val="21"/>
          <w:szCs w:val="22"/>
        </w:rPr>
      </w:pPr>
      <w:r>
        <w:rPr>
          <w:rFonts w:hint="eastAsia" w:cs="Times New Roman"/>
        </w:rPr>
        <w:t>第8章 环境管理与监测计划</w:t>
      </w:r>
      <w:r>
        <w:tab/>
      </w:r>
      <w:r>
        <w:fldChar w:fldCharType="begin"/>
      </w:r>
      <w:r>
        <w:instrText xml:space="preserve"> PAGEREF _Toc234927718 \h </w:instrText>
      </w:r>
      <w:r>
        <w:fldChar w:fldCharType="separate"/>
      </w:r>
      <w:r>
        <w:t>208</w:t>
      </w:r>
      <w:r>
        <w:fldChar w:fldCharType="end"/>
      </w:r>
    </w:p>
    <w:p w14:paraId="44B74ED2">
      <w:pPr>
        <w:pStyle w:val="30"/>
        <w:tabs>
          <w:tab w:val="right" w:leader="dot" w:pos="8302"/>
        </w:tabs>
        <w:ind w:firstLine="400"/>
        <w:rPr>
          <w:rFonts w:hAnsiTheme="minorHAnsi" w:eastAsiaTheme="minorEastAsia" w:cstheme="minorBidi"/>
          <w:smallCaps w:val="0"/>
          <w:sz w:val="21"/>
          <w:szCs w:val="22"/>
        </w:rPr>
      </w:pPr>
      <w:r>
        <w:rPr>
          <w:rFonts w:cs="Times New Roman"/>
          <w:snapToGrid w:val="0"/>
          <w:w w:val="0"/>
          <w:kern w:val="0"/>
        </w:rPr>
        <w:t>8.1</w:t>
      </w:r>
      <w:r>
        <w:rPr>
          <w:rFonts w:hint="eastAsia" w:cs="Times New Roman"/>
        </w:rPr>
        <w:t xml:space="preserve"> 环境管理</w:t>
      </w:r>
      <w:r>
        <w:tab/>
      </w:r>
      <w:r>
        <w:fldChar w:fldCharType="begin"/>
      </w:r>
      <w:r>
        <w:instrText xml:space="preserve"> PAGEREF _Toc234927719 \h </w:instrText>
      </w:r>
      <w:r>
        <w:fldChar w:fldCharType="separate"/>
      </w:r>
      <w:r>
        <w:t>208</w:t>
      </w:r>
      <w:r>
        <w:fldChar w:fldCharType="end"/>
      </w:r>
    </w:p>
    <w:p w14:paraId="043FDB71">
      <w:pPr>
        <w:pStyle w:val="30"/>
        <w:tabs>
          <w:tab w:val="right" w:leader="dot" w:pos="8302"/>
        </w:tabs>
        <w:ind w:firstLine="400"/>
        <w:rPr>
          <w:rFonts w:hAnsiTheme="minorHAnsi" w:eastAsiaTheme="minorEastAsia" w:cstheme="minorBidi"/>
          <w:smallCaps w:val="0"/>
          <w:sz w:val="21"/>
          <w:szCs w:val="22"/>
        </w:rPr>
      </w:pPr>
      <w:r>
        <w:rPr>
          <w:rFonts w:cs="Times New Roman"/>
          <w:snapToGrid w:val="0"/>
          <w:w w:val="0"/>
          <w:kern w:val="0"/>
        </w:rPr>
        <w:t>8.2</w:t>
      </w:r>
      <w:r>
        <w:rPr>
          <w:rFonts w:hint="eastAsia"/>
        </w:rPr>
        <w:t xml:space="preserve"> 环境监测</w:t>
      </w:r>
      <w:r>
        <w:tab/>
      </w:r>
      <w:r>
        <w:fldChar w:fldCharType="begin"/>
      </w:r>
      <w:r>
        <w:instrText xml:space="preserve"> PAGEREF _Toc234927720 \h </w:instrText>
      </w:r>
      <w:r>
        <w:fldChar w:fldCharType="separate"/>
      </w:r>
      <w:r>
        <w:t>211</w:t>
      </w:r>
      <w:r>
        <w:fldChar w:fldCharType="end"/>
      </w:r>
    </w:p>
    <w:p w14:paraId="1608CB4B">
      <w:pPr>
        <w:pStyle w:val="30"/>
        <w:tabs>
          <w:tab w:val="right" w:leader="dot" w:pos="8302"/>
        </w:tabs>
        <w:ind w:firstLine="400"/>
        <w:rPr>
          <w:rFonts w:hAnsiTheme="minorHAnsi" w:eastAsiaTheme="minorEastAsia" w:cstheme="minorBidi"/>
          <w:smallCaps w:val="0"/>
          <w:sz w:val="21"/>
          <w:szCs w:val="22"/>
        </w:rPr>
      </w:pPr>
      <w:r>
        <w:rPr>
          <w:rFonts w:cs="Times New Roman"/>
          <w:snapToGrid w:val="0"/>
          <w:w w:val="0"/>
          <w:kern w:val="0"/>
        </w:rPr>
        <w:t>8.3</w:t>
      </w:r>
      <w:r>
        <w:rPr>
          <w:rFonts w:hint="eastAsia"/>
        </w:rPr>
        <w:t xml:space="preserve"> 与排污许可内容的衔接</w:t>
      </w:r>
      <w:r>
        <w:tab/>
      </w:r>
      <w:r>
        <w:fldChar w:fldCharType="begin"/>
      </w:r>
      <w:r>
        <w:instrText xml:space="preserve"> PAGEREF _Toc234927721 \h </w:instrText>
      </w:r>
      <w:r>
        <w:fldChar w:fldCharType="separate"/>
      </w:r>
      <w:r>
        <w:t>213</w:t>
      </w:r>
      <w:r>
        <w:fldChar w:fldCharType="end"/>
      </w:r>
    </w:p>
    <w:p w14:paraId="7E597DE1">
      <w:pPr>
        <w:pStyle w:val="30"/>
        <w:tabs>
          <w:tab w:val="right" w:leader="dot" w:pos="8302"/>
        </w:tabs>
        <w:ind w:firstLine="400"/>
        <w:rPr>
          <w:rFonts w:hAnsiTheme="minorHAnsi" w:eastAsiaTheme="minorEastAsia" w:cstheme="minorBidi"/>
          <w:smallCaps w:val="0"/>
          <w:sz w:val="21"/>
          <w:szCs w:val="22"/>
        </w:rPr>
      </w:pPr>
      <w:r>
        <w:rPr>
          <w:rFonts w:cs="Times New Roman"/>
          <w:snapToGrid w:val="0"/>
          <w:w w:val="0"/>
          <w:kern w:val="0"/>
        </w:rPr>
        <w:t>8.4</w:t>
      </w:r>
      <w:r>
        <w:rPr>
          <w:rFonts w:hint="eastAsia"/>
        </w:rPr>
        <w:t xml:space="preserve"> 环境保护竣工验收</w:t>
      </w:r>
      <w:r>
        <w:tab/>
      </w:r>
      <w:r>
        <w:fldChar w:fldCharType="begin"/>
      </w:r>
      <w:r>
        <w:instrText xml:space="preserve"> PAGEREF _Toc234927722 \h </w:instrText>
      </w:r>
      <w:r>
        <w:fldChar w:fldCharType="separate"/>
      </w:r>
      <w:r>
        <w:t>213</w:t>
      </w:r>
      <w:r>
        <w:fldChar w:fldCharType="end"/>
      </w:r>
    </w:p>
    <w:p w14:paraId="6C4455C3">
      <w:pPr>
        <w:pStyle w:val="30"/>
        <w:tabs>
          <w:tab w:val="right" w:leader="dot" w:pos="8302"/>
        </w:tabs>
        <w:ind w:firstLine="400"/>
        <w:rPr>
          <w:rFonts w:hAnsiTheme="minorHAnsi" w:eastAsiaTheme="minorEastAsia" w:cstheme="minorBidi"/>
          <w:smallCaps w:val="0"/>
          <w:sz w:val="21"/>
          <w:szCs w:val="22"/>
        </w:rPr>
      </w:pPr>
      <w:r>
        <w:rPr>
          <w:rFonts w:cs="Times New Roman"/>
          <w:snapToGrid w:val="0"/>
          <w:w w:val="0"/>
          <w:kern w:val="0"/>
        </w:rPr>
        <w:t>8.5</w:t>
      </w:r>
      <w:r>
        <w:rPr>
          <w:rFonts w:hint="eastAsia"/>
        </w:rPr>
        <w:t xml:space="preserve"> 污染物排放清单</w:t>
      </w:r>
      <w:r>
        <w:tab/>
      </w:r>
      <w:r>
        <w:fldChar w:fldCharType="begin"/>
      </w:r>
      <w:r>
        <w:instrText xml:space="preserve"> PAGEREF _Toc234927723 \h </w:instrText>
      </w:r>
      <w:r>
        <w:fldChar w:fldCharType="separate"/>
      </w:r>
      <w:r>
        <w:t>214</w:t>
      </w:r>
      <w:r>
        <w:fldChar w:fldCharType="end"/>
      </w:r>
    </w:p>
    <w:p w14:paraId="25680DBA">
      <w:pPr>
        <w:pStyle w:val="15"/>
        <w:tabs>
          <w:tab w:val="right" w:leader="dot" w:pos="8302"/>
        </w:tabs>
        <w:ind w:firstLine="402"/>
        <w:rPr>
          <w:rFonts w:hAnsiTheme="minorHAnsi" w:eastAsiaTheme="minorEastAsia" w:cstheme="minorBidi"/>
          <w:b w:val="0"/>
          <w:bCs w:val="0"/>
          <w:caps w:val="0"/>
          <w:sz w:val="21"/>
          <w:szCs w:val="22"/>
        </w:rPr>
      </w:pPr>
      <w:r>
        <w:rPr>
          <w:rFonts w:hint="eastAsia" w:cs="Times New Roman"/>
        </w:rPr>
        <w:t>第9章 环境影响评价结论</w:t>
      </w:r>
      <w:r>
        <w:tab/>
      </w:r>
      <w:r>
        <w:fldChar w:fldCharType="begin"/>
      </w:r>
      <w:r>
        <w:instrText xml:space="preserve"> PAGEREF _Toc234927724 \h </w:instrText>
      </w:r>
      <w:r>
        <w:fldChar w:fldCharType="separate"/>
      </w:r>
      <w:r>
        <w:t>216</w:t>
      </w:r>
      <w:r>
        <w:fldChar w:fldCharType="end"/>
      </w:r>
    </w:p>
    <w:p w14:paraId="0C81A1B7">
      <w:pPr>
        <w:pStyle w:val="30"/>
        <w:tabs>
          <w:tab w:val="right" w:leader="dot" w:pos="8302"/>
        </w:tabs>
        <w:ind w:firstLine="400"/>
        <w:rPr>
          <w:rFonts w:hAnsiTheme="minorHAnsi" w:eastAsiaTheme="minorEastAsia" w:cstheme="minorBidi"/>
          <w:smallCaps w:val="0"/>
          <w:sz w:val="21"/>
          <w:szCs w:val="22"/>
        </w:rPr>
      </w:pPr>
      <w:r>
        <w:rPr>
          <w:rFonts w:cs="Times New Roman"/>
          <w:snapToGrid w:val="0"/>
          <w:w w:val="0"/>
          <w:kern w:val="0"/>
        </w:rPr>
        <w:t>9.1</w:t>
      </w:r>
      <w:r>
        <w:rPr>
          <w:rFonts w:hint="eastAsia" w:cs="Times New Roman"/>
        </w:rPr>
        <w:t xml:space="preserve"> 建设项目概况</w:t>
      </w:r>
      <w:r>
        <w:tab/>
      </w:r>
      <w:r>
        <w:fldChar w:fldCharType="begin"/>
      </w:r>
      <w:r>
        <w:instrText xml:space="preserve"> PAGEREF _Toc234927725 \h </w:instrText>
      </w:r>
      <w:r>
        <w:fldChar w:fldCharType="separate"/>
      </w:r>
      <w:r>
        <w:t>216</w:t>
      </w:r>
      <w:r>
        <w:fldChar w:fldCharType="end"/>
      </w:r>
    </w:p>
    <w:p w14:paraId="6DFC1F00">
      <w:pPr>
        <w:pStyle w:val="30"/>
        <w:tabs>
          <w:tab w:val="right" w:leader="dot" w:pos="8302"/>
        </w:tabs>
        <w:ind w:firstLine="400"/>
        <w:rPr>
          <w:rFonts w:hAnsiTheme="minorHAnsi" w:eastAsiaTheme="minorEastAsia" w:cstheme="minorBidi"/>
          <w:smallCaps w:val="0"/>
          <w:sz w:val="21"/>
          <w:szCs w:val="22"/>
        </w:rPr>
      </w:pPr>
      <w:r>
        <w:rPr>
          <w:rFonts w:cs="Times New Roman"/>
          <w:snapToGrid w:val="0"/>
          <w:w w:val="0"/>
          <w:kern w:val="0"/>
        </w:rPr>
        <w:t>9.2</w:t>
      </w:r>
      <w:r>
        <w:rPr>
          <w:rFonts w:hint="eastAsia"/>
        </w:rPr>
        <w:t xml:space="preserve"> 环境质量现状评价结论</w:t>
      </w:r>
      <w:r>
        <w:tab/>
      </w:r>
      <w:r>
        <w:fldChar w:fldCharType="begin"/>
      </w:r>
      <w:r>
        <w:instrText xml:space="preserve"> PAGEREF _Toc234927726 \h </w:instrText>
      </w:r>
      <w:r>
        <w:fldChar w:fldCharType="separate"/>
      </w:r>
      <w:r>
        <w:t>216</w:t>
      </w:r>
      <w:r>
        <w:fldChar w:fldCharType="end"/>
      </w:r>
    </w:p>
    <w:p w14:paraId="6CEEAE77">
      <w:pPr>
        <w:pStyle w:val="30"/>
        <w:tabs>
          <w:tab w:val="right" w:leader="dot" w:pos="8302"/>
        </w:tabs>
        <w:ind w:firstLine="400"/>
        <w:rPr>
          <w:rFonts w:hAnsiTheme="minorHAnsi" w:eastAsiaTheme="minorEastAsia" w:cstheme="minorBidi"/>
          <w:smallCaps w:val="0"/>
          <w:sz w:val="21"/>
          <w:szCs w:val="22"/>
        </w:rPr>
      </w:pPr>
      <w:r>
        <w:rPr>
          <w:rFonts w:cs="Times New Roman"/>
          <w:snapToGrid w:val="0"/>
          <w:w w:val="0"/>
          <w:kern w:val="0"/>
        </w:rPr>
        <w:t>9.3</w:t>
      </w:r>
      <w:r>
        <w:rPr>
          <w:rFonts w:hint="eastAsia" w:cs="Times New Roman"/>
          <w:kern w:val="0"/>
        </w:rPr>
        <w:t xml:space="preserve"> 污染物排放情况</w:t>
      </w:r>
      <w:r>
        <w:tab/>
      </w:r>
      <w:r>
        <w:fldChar w:fldCharType="begin"/>
      </w:r>
      <w:r>
        <w:instrText xml:space="preserve"> PAGEREF _Toc234927727 \h </w:instrText>
      </w:r>
      <w:r>
        <w:fldChar w:fldCharType="separate"/>
      </w:r>
      <w:r>
        <w:t>217</w:t>
      </w:r>
      <w:r>
        <w:fldChar w:fldCharType="end"/>
      </w:r>
    </w:p>
    <w:p w14:paraId="47616F3C">
      <w:pPr>
        <w:pStyle w:val="30"/>
        <w:tabs>
          <w:tab w:val="right" w:leader="dot" w:pos="8302"/>
        </w:tabs>
        <w:ind w:firstLine="400"/>
        <w:rPr>
          <w:rFonts w:hAnsiTheme="minorHAnsi" w:eastAsiaTheme="minorEastAsia" w:cstheme="minorBidi"/>
          <w:smallCaps w:val="0"/>
          <w:sz w:val="21"/>
          <w:szCs w:val="22"/>
        </w:rPr>
      </w:pPr>
      <w:r>
        <w:rPr>
          <w:rFonts w:cs="Times New Roman"/>
          <w:snapToGrid w:val="0"/>
          <w:w w:val="0"/>
          <w:kern w:val="0"/>
        </w:rPr>
        <w:t>9.4</w:t>
      </w:r>
      <w:r>
        <w:rPr>
          <w:rFonts w:hint="eastAsia" w:cs="Times New Roman"/>
          <w:bCs/>
          <w:kern w:val="0"/>
        </w:rPr>
        <w:t xml:space="preserve"> 环境保护措施</w:t>
      </w:r>
      <w:r>
        <w:rPr>
          <w:rFonts w:hint="eastAsia" w:cs="Times New Roman"/>
          <w:kern w:val="0"/>
        </w:rPr>
        <w:t>结论</w:t>
      </w:r>
      <w:r>
        <w:tab/>
      </w:r>
      <w:r>
        <w:fldChar w:fldCharType="begin"/>
      </w:r>
      <w:r>
        <w:instrText xml:space="preserve"> PAGEREF _Toc234927728 \h </w:instrText>
      </w:r>
      <w:r>
        <w:fldChar w:fldCharType="separate"/>
      </w:r>
      <w:r>
        <w:t>219</w:t>
      </w:r>
      <w:r>
        <w:fldChar w:fldCharType="end"/>
      </w:r>
    </w:p>
    <w:p w14:paraId="724CBB0C">
      <w:pPr>
        <w:pStyle w:val="30"/>
        <w:tabs>
          <w:tab w:val="right" w:leader="dot" w:pos="8302"/>
        </w:tabs>
        <w:ind w:firstLine="400"/>
        <w:rPr>
          <w:rFonts w:hAnsiTheme="minorHAnsi" w:eastAsiaTheme="minorEastAsia" w:cstheme="minorBidi"/>
          <w:smallCaps w:val="0"/>
          <w:sz w:val="21"/>
          <w:szCs w:val="22"/>
        </w:rPr>
      </w:pPr>
      <w:r>
        <w:rPr>
          <w:rFonts w:cs="Times New Roman"/>
          <w:snapToGrid w:val="0"/>
          <w:w w:val="0"/>
          <w:kern w:val="0"/>
        </w:rPr>
        <w:t>9.5</w:t>
      </w:r>
      <w:r>
        <w:rPr>
          <w:rFonts w:hint="eastAsia"/>
        </w:rPr>
        <w:t xml:space="preserve"> 公众意见采纳情况</w:t>
      </w:r>
      <w:r>
        <w:tab/>
      </w:r>
      <w:r>
        <w:fldChar w:fldCharType="begin"/>
      </w:r>
      <w:r>
        <w:instrText xml:space="preserve"> PAGEREF _Toc234927729 \h </w:instrText>
      </w:r>
      <w:r>
        <w:fldChar w:fldCharType="separate"/>
      </w:r>
      <w:r>
        <w:t>221</w:t>
      </w:r>
      <w:r>
        <w:fldChar w:fldCharType="end"/>
      </w:r>
    </w:p>
    <w:p w14:paraId="7B6762CF">
      <w:pPr>
        <w:pStyle w:val="30"/>
        <w:tabs>
          <w:tab w:val="right" w:leader="dot" w:pos="8302"/>
        </w:tabs>
        <w:ind w:firstLine="400"/>
        <w:rPr>
          <w:rFonts w:hAnsiTheme="minorHAnsi" w:eastAsiaTheme="minorEastAsia" w:cstheme="minorBidi"/>
          <w:smallCaps w:val="0"/>
          <w:sz w:val="21"/>
          <w:szCs w:val="22"/>
        </w:rPr>
      </w:pPr>
      <w:r>
        <w:rPr>
          <w:rFonts w:cs="Times New Roman"/>
          <w:snapToGrid w:val="0"/>
          <w:w w:val="0"/>
          <w:kern w:val="0"/>
        </w:rPr>
        <w:t>9.6</w:t>
      </w:r>
      <w:r>
        <w:rPr>
          <w:rFonts w:hint="eastAsia"/>
        </w:rPr>
        <w:t xml:space="preserve"> 环境经济损益分析结论</w:t>
      </w:r>
      <w:r>
        <w:tab/>
      </w:r>
      <w:r>
        <w:fldChar w:fldCharType="begin"/>
      </w:r>
      <w:r>
        <w:instrText xml:space="preserve"> PAGEREF _Toc234927730 \h </w:instrText>
      </w:r>
      <w:r>
        <w:fldChar w:fldCharType="separate"/>
      </w:r>
      <w:r>
        <w:t>221</w:t>
      </w:r>
      <w:r>
        <w:fldChar w:fldCharType="end"/>
      </w:r>
    </w:p>
    <w:p w14:paraId="69D1A760">
      <w:pPr>
        <w:pStyle w:val="30"/>
        <w:tabs>
          <w:tab w:val="right" w:leader="dot" w:pos="8302"/>
        </w:tabs>
        <w:ind w:firstLine="400"/>
        <w:rPr>
          <w:rFonts w:hAnsiTheme="minorHAnsi" w:eastAsiaTheme="minorEastAsia" w:cstheme="minorBidi"/>
          <w:smallCaps w:val="0"/>
          <w:sz w:val="21"/>
          <w:szCs w:val="22"/>
        </w:rPr>
      </w:pPr>
      <w:r>
        <w:rPr>
          <w:rFonts w:cs="Times New Roman"/>
          <w:snapToGrid w:val="0"/>
          <w:w w:val="0"/>
          <w:kern w:val="0"/>
        </w:rPr>
        <w:t>9.7</w:t>
      </w:r>
      <w:r>
        <w:rPr>
          <w:rFonts w:hint="eastAsia"/>
        </w:rPr>
        <w:t xml:space="preserve"> 环境管理与监测计划</w:t>
      </w:r>
      <w:r>
        <w:tab/>
      </w:r>
      <w:r>
        <w:fldChar w:fldCharType="begin"/>
      </w:r>
      <w:r>
        <w:instrText xml:space="preserve"> PAGEREF _Toc234927731 \h </w:instrText>
      </w:r>
      <w:r>
        <w:fldChar w:fldCharType="separate"/>
      </w:r>
      <w:r>
        <w:t>221</w:t>
      </w:r>
      <w:r>
        <w:fldChar w:fldCharType="end"/>
      </w:r>
    </w:p>
    <w:p w14:paraId="2BF92A75">
      <w:pPr>
        <w:pStyle w:val="30"/>
        <w:tabs>
          <w:tab w:val="right" w:leader="dot" w:pos="8302"/>
        </w:tabs>
        <w:ind w:firstLine="400"/>
        <w:rPr>
          <w:rFonts w:hAnsiTheme="minorHAnsi" w:eastAsiaTheme="minorEastAsia" w:cstheme="minorBidi"/>
          <w:smallCaps w:val="0"/>
          <w:sz w:val="21"/>
          <w:szCs w:val="22"/>
        </w:rPr>
      </w:pPr>
      <w:r>
        <w:rPr>
          <w:rFonts w:cs="Times New Roman"/>
          <w:snapToGrid w:val="0"/>
          <w:w w:val="0"/>
          <w:kern w:val="0"/>
        </w:rPr>
        <w:t>9.8</w:t>
      </w:r>
      <w:r>
        <w:rPr>
          <w:rFonts w:hint="eastAsia" w:cs="Times New Roman"/>
        </w:rPr>
        <w:t xml:space="preserve"> 综合评价结论</w:t>
      </w:r>
      <w:r>
        <w:tab/>
      </w:r>
      <w:r>
        <w:fldChar w:fldCharType="begin"/>
      </w:r>
      <w:r>
        <w:instrText xml:space="preserve"> PAGEREF _Toc234927732 \h </w:instrText>
      </w:r>
      <w:r>
        <w:fldChar w:fldCharType="separate"/>
      </w:r>
      <w:r>
        <w:t>222</w:t>
      </w:r>
      <w:r>
        <w:fldChar w:fldCharType="end"/>
      </w:r>
    </w:p>
    <w:p w14:paraId="6705C74C">
      <w:pPr>
        <w:pStyle w:val="15"/>
        <w:tabs>
          <w:tab w:val="right" w:leader="dot" w:pos="8302"/>
        </w:tabs>
        <w:ind w:firstLine="402"/>
        <w:rPr>
          <w:rFonts w:hAnsiTheme="minorHAnsi" w:eastAsiaTheme="minorEastAsia" w:cstheme="minorBidi"/>
          <w:b w:val="0"/>
          <w:bCs w:val="0"/>
          <w:caps w:val="0"/>
          <w:sz w:val="21"/>
          <w:szCs w:val="22"/>
        </w:rPr>
      </w:pPr>
      <w:r>
        <w:rPr>
          <w:rFonts w:hint="eastAsia" w:ascii="Times New Roman" w:hAnsi="Times New Roman" w:cs="Times New Roman"/>
        </w:rPr>
        <w:t>附表</w:t>
      </w:r>
      <w:r>
        <w:tab/>
      </w:r>
      <w:r>
        <w:fldChar w:fldCharType="begin"/>
      </w:r>
      <w:r>
        <w:instrText xml:space="preserve"> PAGEREF _Toc234927733 \h </w:instrText>
      </w:r>
      <w:r>
        <w:fldChar w:fldCharType="separate"/>
      </w:r>
      <w:r>
        <w:t>223</w:t>
      </w:r>
      <w:r>
        <w:fldChar w:fldCharType="end"/>
      </w:r>
    </w:p>
    <w:p w14:paraId="2BFF7287">
      <w:pPr>
        <w:pStyle w:val="30"/>
        <w:tabs>
          <w:tab w:val="right" w:leader="dot" w:pos="8302"/>
        </w:tabs>
        <w:ind w:firstLine="400"/>
        <w:rPr>
          <w:rFonts w:hAnsiTheme="minorHAnsi" w:eastAsiaTheme="minorEastAsia" w:cstheme="minorBidi"/>
          <w:smallCaps w:val="0"/>
          <w:sz w:val="21"/>
          <w:szCs w:val="22"/>
        </w:rPr>
      </w:pPr>
      <w:r>
        <w:rPr>
          <w:rFonts w:hint="eastAsia" w:cs="Times New Roman"/>
        </w:rPr>
        <w:t>附表</w:t>
      </w:r>
      <w:r>
        <w:rPr>
          <w:rFonts w:cs="Times New Roman"/>
        </w:rPr>
        <w:t xml:space="preserve">1 </w:t>
      </w:r>
      <w:r>
        <w:rPr>
          <w:rFonts w:hint="eastAsia" w:cs="Times New Roman"/>
          <w:bCs/>
        </w:rPr>
        <w:t>植物样方调查表</w:t>
      </w:r>
      <w:r>
        <w:tab/>
      </w:r>
      <w:r>
        <w:fldChar w:fldCharType="begin"/>
      </w:r>
      <w:r>
        <w:instrText xml:space="preserve"> PAGEREF _Toc234927734 \h </w:instrText>
      </w:r>
      <w:r>
        <w:fldChar w:fldCharType="separate"/>
      </w:r>
      <w:r>
        <w:t>223</w:t>
      </w:r>
      <w:r>
        <w:fldChar w:fldCharType="end"/>
      </w:r>
    </w:p>
    <w:p w14:paraId="0D0DFF04">
      <w:pPr>
        <w:pStyle w:val="30"/>
        <w:tabs>
          <w:tab w:val="right" w:leader="dot" w:pos="8302"/>
        </w:tabs>
        <w:ind w:firstLine="400"/>
        <w:rPr>
          <w:rFonts w:hAnsiTheme="minorHAnsi" w:eastAsiaTheme="minorEastAsia" w:cstheme="minorBidi"/>
          <w:smallCaps w:val="0"/>
          <w:sz w:val="21"/>
          <w:szCs w:val="22"/>
        </w:rPr>
      </w:pPr>
      <w:r>
        <w:rPr>
          <w:rFonts w:hint="eastAsia" w:cs="Times New Roman"/>
        </w:rPr>
        <w:t>附表</w:t>
      </w:r>
      <w:r>
        <w:rPr>
          <w:rFonts w:cs="Times New Roman"/>
        </w:rPr>
        <w:t xml:space="preserve">2 </w:t>
      </w:r>
      <w:r>
        <w:rPr>
          <w:rFonts w:hint="eastAsia" w:cs="Times New Roman"/>
        </w:rPr>
        <w:t>建设项目大气环境影响评价自查表</w:t>
      </w:r>
      <w:r>
        <w:tab/>
      </w:r>
      <w:r>
        <w:fldChar w:fldCharType="begin"/>
      </w:r>
      <w:r>
        <w:instrText xml:space="preserve"> PAGEREF _Toc234927735 \h </w:instrText>
      </w:r>
      <w:r>
        <w:fldChar w:fldCharType="separate"/>
      </w:r>
      <w:r>
        <w:t>234</w:t>
      </w:r>
      <w:r>
        <w:fldChar w:fldCharType="end"/>
      </w:r>
    </w:p>
    <w:p w14:paraId="4F893A65">
      <w:pPr>
        <w:pStyle w:val="30"/>
        <w:tabs>
          <w:tab w:val="right" w:leader="dot" w:pos="8302"/>
        </w:tabs>
        <w:ind w:firstLine="400"/>
        <w:rPr>
          <w:rFonts w:hAnsiTheme="minorHAnsi" w:eastAsiaTheme="minorEastAsia" w:cstheme="minorBidi"/>
          <w:smallCaps w:val="0"/>
          <w:sz w:val="21"/>
          <w:szCs w:val="22"/>
        </w:rPr>
      </w:pPr>
      <w:r>
        <w:rPr>
          <w:rFonts w:hint="eastAsia" w:cs="Times New Roman"/>
        </w:rPr>
        <w:t>附表</w:t>
      </w:r>
      <w:r>
        <w:rPr>
          <w:rFonts w:cs="Times New Roman"/>
        </w:rPr>
        <w:t xml:space="preserve">3 </w:t>
      </w:r>
      <w:r>
        <w:rPr>
          <w:rFonts w:hint="eastAsia" w:cs="Times New Roman"/>
        </w:rPr>
        <w:t>建设项目环境风险评价自查表</w:t>
      </w:r>
      <w:r>
        <w:tab/>
      </w:r>
      <w:r>
        <w:fldChar w:fldCharType="begin"/>
      </w:r>
      <w:r>
        <w:instrText xml:space="preserve"> PAGEREF _Toc234927736 \h </w:instrText>
      </w:r>
      <w:r>
        <w:fldChar w:fldCharType="separate"/>
      </w:r>
      <w:r>
        <w:t>235</w:t>
      </w:r>
      <w:r>
        <w:fldChar w:fldCharType="end"/>
      </w:r>
    </w:p>
    <w:p w14:paraId="294583B2">
      <w:pPr>
        <w:pStyle w:val="30"/>
        <w:tabs>
          <w:tab w:val="right" w:leader="dot" w:pos="8302"/>
        </w:tabs>
        <w:ind w:firstLine="400"/>
        <w:rPr>
          <w:rFonts w:hAnsiTheme="minorHAnsi" w:eastAsiaTheme="minorEastAsia" w:cstheme="minorBidi"/>
          <w:smallCaps w:val="0"/>
          <w:sz w:val="21"/>
          <w:szCs w:val="22"/>
        </w:rPr>
      </w:pPr>
      <w:r>
        <w:rPr>
          <w:rFonts w:hint="eastAsia" w:cs="Times New Roman"/>
        </w:rPr>
        <w:t>附表</w:t>
      </w:r>
      <w:r>
        <w:rPr>
          <w:rFonts w:cs="Times New Roman"/>
        </w:rPr>
        <w:t xml:space="preserve">4 </w:t>
      </w:r>
      <w:r>
        <w:rPr>
          <w:rFonts w:hint="eastAsia" w:cs="Times New Roman"/>
        </w:rPr>
        <w:t>地表水环境影响评价自查表</w:t>
      </w:r>
      <w:r>
        <w:tab/>
      </w:r>
      <w:r>
        <w:fldChar w:fldCharType="begin"/>
      </w:r>
      <w:r>
        <w:instrText xml:space="preserve"> PAGEREF _Toc234927737 \h </w:instrText>
      </w:r>
      <w:r>
        <w:fldChar w:fldCharType="separate"/>
      </w:r>
      <w:r>
        <w:t>236</w:t>
      </w:r>
      <w:r>
        <w:fldChar w:fldCharType="end"/>
      </w:r>
    </w:p>
    <w:p w14:paraId="6E325DC2">
      <w:pPr>
        <w:pStyle w:val="30"/>
        <w:tabs>
          <w:tab w:val="right" w:leader="dot" w:pos="8302"/>
        </w:tabs>
        <w:ind w:firstLine="400"/>
        <w:rPr>
          <w:rFonts w:hAnsiTheme="minorHAnsi" w:eastAsiaTheme="minorEastAsia" w:cstheme="minorBidi"/>
          <w:smallCaps w:val="0"/>
          <w:sz w:val="21"/>
          <w:szCs w:val="22"/>
        </w:rPr>
      </w:pPr>
      <w:r>
        <w:rPr>
          <w:rFonts w:hint="eastAsia" w:cs="Times New Roman"/>
        </w:rPr>
        <w:t>附表</w:t>
      </w:r>
      <w:r>
        <w:rPr>
          <w:rFonts w:cs="Times New Roman"/>
        </w:rPr>
        <w:t xml:space="preserve">5 </w:t>
      </w:r>
      <w:r>
        <w:rPr>
          <w:rFonts w:hint="eastAsia" w:cs="Times New Roman"/>
        </w:rPr>
        <w:t>声环境影响评价自查表</w:t>
      </w:r>
      <w:r>
        <w:tab/>
      </w:r>
      <w:r>
        <w:fldChar w:fldCharType="begin"/>
      </w:r>
      <w:r>
        <w:instrText xml:space="preserve"> PAGEREF _Toc234927738 \h </w:instrText>
      </w:r>
      <w:r>
        <w:fldChar w:fldCharType="separate"/>
      </w:r>
      <w:r>
        <w:t>239</w:t>
      </w:r>
      <w:r>
        <w:fldChar w:fldCharType="end"/>
      </w:r>
    </w:p>
    <w:p w14:paraId="0D9F8B83">
      <w:pPr>
        <w:pStyle w:val="30"/>
        <w:tabs>
          <w:tab w:val="right" w:leader="dot" w:pos="8302"/>
        </w:tabs>
        <w:ind w:firstLine="400"/>
        <w:rPr>
          <w:rFonts w:hAnsiTheme="minorHAnsi" w:eastAsiaTheme="minorEastAsia" w:cstheme="minorBidi"/>
          <w:smallCaps w:val="0"/>
          <w:sz w:val="21"/>
          <w:szCs w:val="22"/>
        </w:rPr>
      </w:pPr>
      <w:r>
        <w:rPr>
          <w:rFonts w:hint="eastAsia" w:cs="Times New Roman"/>
        </w:rPr>
        <w:t>附表</w:t>
      </w:r>
      <w:r>
        <w:rPr>
          <w:rFonts w:cs="Times New Roman"/>
        </w:rPr>
        <w:t xml:space="preserve">6 </w:t>
      </w:r>
      <w:r>
        <w:rPr>
          <w:rFonts w:hint="eastAsia" w:cs="Times New Roman"/>
        </w:rPr>
        <w:t>土壤环境影响评价自查表</w:t>
      </w:r>
      <w:r>
        <w:tab/>
      </w:r>
      <w:r>
        <w:fldChar w:fldCharType="begin"/>
      </w:r>
      <w:r>
        <w:instrText xml:space="preserve"> PAGEREF _Toc234927739 \h </w:instrText>
      </w:r>
      <w:r>
        <w:fldChar w:fldCharType="separate"/>
      </w:r>
      <w:r>
        <w:t>240</w:t>
      </w:r>
      <w:r>
        <w:fldChar w:fldCharType="end"/>
      </w:r>
    </w:p>
    <w:p w14:paraId="4E0F72AB">
      <w:pPr>
        <w:pStyle w:val="30"/>
        <w:tabs>
          <w:tab w:val="right" w:leader="dot" w:pos="8302"/>
        </w:tabs>
        <w:ind w:firstLine="400"/>
        <w:rPr>
          <w:rFonts w:hAnsiTheme="minorHAnsi" w:eastAsiaTheme="minorEastAsia" w:cstheme="minorBidi"/>
          <w:smallCaps w:val="0"/>
          <w:sz w:val="21"/>
          <w:szCs w:val="22"/>
        </w:rPr>
      </w:pPr>
      <w:r>
        <w:rPr>
          <w:rFonts w:hint="eastAsia" w:cs="Times New Roman"/>
        </w:rPr>
        <w:t>附表</w:t>
      </w:r>
      <w:r>
        <w:rPr>
          <w:rFonts w:cs="Times New Roman"/>
        </w:rPr>
        <w:t xml:space="preserve">7 </w:t>
      </w:r>
      <w:r>
        <w:rPr>
          <w:rFonts w:hint="eastAsia" w:cs="Times New Roman"/>
        </w:rPr>
        <w:t>生态环境影响评价自查表</w:t>
      </w:r>
      <w:r>
        <w:tab/>
      </w:r>
      <w:r>
        <w:fldChar w:fldCharType="begin"/>
      </w:r>
      <w:r>
        <w:instrText xml:space="preserve"> PAGEREF _Toc234927740 \h </w:instrText>
      </w:r>
      <w:r>
        <w:fldChar w:fldCharType="separate"/>
      </w:r>
      <w:r>
        <w:t>241</w:t>
      </w:r>
      <w:r>
        <w:fldChar w:fldCharType="end"/>
      </w:r>
    </w:p>
    <w:p w14:paraId="014DBD35">
      <w:pPr>
        <w:ind w:firstLine="480"/>
        <w:rPr>
          <w:rFonts w:hAnsi="Times New Roman" w:cs="Times New Roman"/>
        </w:rPr>
      </w:pPr>
      <w:r>
        <w:rPr>
          <w:rFonts w:hAnsi="Times New Roman" w:cs="Times New Roman"/>
          <w:szCs w:val="22"/>
        </w:rPr>
        <w:fldChar w:fldCharType="end"/>
      </w:r>
    </w:p>
    <w:p w14:paraId="653109E0">
      <w:pPr>
        <w:ind w:firstLine="480"/>
        <w:rPr>
          <w:rFonts w:hAnsi="Times New Roman" w:cs="Times New Roman"/>
        </w:rPr>
        <w:sectPr>
          <w:footerReference r:id="rId13" w:type="default"/>
          <w:pgSz w:w="11906" w:h="16838"/>
          <w:pgMar w:top="1440" w:right="1797" w:bottom="1440" w:left="1797" w:header="851" w:footer="992" w:gutter="0"/>
          <w:pgNumType w:fmt="upperRoman" w:start="1"/>
          <w:cols w:space="720" w:num="1"/>
          <w:docGrid w:linePitch="312" w:charSpace="0"/>
        </w:sectPr>
      </w:pPr>
    </w:p>
    <w:bookmarkEnd w:id="0"/>
    <w:p w14:paraId="65B1A8DF">
      <w:pPr>
        <w:pStyle w:val="2"/>
        <w:spacing w:before="120" w:after="180"/>
        <w:rPr>
          <w:rStyle w:val="137"/>
          <w:rFonts w:eastAsia="仿宋_GB2312" w:cs="Times New Roman"/>
          <w:b/>
          <w:bCs/>
          <w:kern w:val="2"/>
          <w:szCs w:val="32"/>
        </w:rPr>
      </w:pPr>
      <w:bookmarkStart w:id="1" w:name="_Toc234927674"/>
      <w:bookmarkStart w:id="2" w:name="_Toc61012928"/>
      <w:bookmarkStart w:id="3" w:name="_Toc12649264"/>
      <w:bookmarkStart w:id="4" w:name="_Toc61012994"/>
      <w:bookmarkStart w:id="5" w:name="_Toc61013609"/>
      <w:bookmarkStart w:id="6" w:name="_Toc61013814"/>
      <w:bookmarkStart w:id="7" w:name="_Toc61013404"/>
      <w:bookmarkStart w:id="8" w:name="_Toc521678704"/>
      <w:bookmarkStart w:id="9" w:name="_Toc61013199"/>
      <w:bookmarkStart w:id="10" w:name="_Toc61012518"/>
      <w:r>
        <w:rPr>
          <w:rStyle w:val="137"/>
          <w:rFonts w:eastAsia="仿宋_GB2312" w:cs="Times New Roman"/>
          <w:b/>
          <w:bCs/>
          <w:kern w:val="2"/>
          <w:szCs w:val="32"/>
        </w:rPr>
        <w:t>概述</w:t>
      </w:r>
      <w:bookmarkEnd w:id="1"/>
    </w:p>
    <w:p w14:paraId="00E0AE5A">
      <w:pPr>
        <w:pStyle w:val="3"/>
        <w:spacing w:before="180" w:after="120"/>
        <w:rPr>
          <w:rFonts w:cs="Times New Roman"/>
        </w:rPr>
      </w:pPr>
      <w:bookmarkStart w:id="11" w:name="bookmark3"/>
      <w:bookmarkEnd w:id="11"/>
      <w:bookmarkStart w:id="12" w:name="_Toc234927675"/>
      <w:r>
        <w:rPr>
          <w:rFonts w:cs="Times New Roman"/>
        </w:rPr>
        <w:t>项目由来</w:t>
      </w:r>
      <w:bookmarkEnd w:id="12"/>
    </w:p>
    <w:p w14:paraId="252AEFE8">
      <w:pPr>
        <w:ind w:firstLine="480"/>
        <w:rPr>
          <w:rFonts w:hAnsi="Times New Roman" w:cs="Times New Roman"/>
        </w:rPr>
      </w:pPr>
      <w:r>
        <w:rPr>
          <w:rFonts w:hAnsi="Times New Roman" w:cs="Times New Roman"/>
        </w:rPr>
        <w:t>砂石土是保障社会高质量发展中最基本且不可或缺的建筑材料。是国家进行基础设施建设的重要物资资源，在水利修筑堤防、道路铺设、房屋修筑等工程建筑领域应用广泛，近年来，随着经济社会快速发展，重点工程的全面提速，城镇和交通建设的发展，工业园区与新农村建设的稳步推进，建筑用砂石料需求量与日俱增，尤其是近年来，城镇基础项目的建设，使得砂石料资源的需求量大增。</w:t>
      </w:r>
    </w:p>
    <w:p w14:paraId="7217FDA7">
      <w:pPr>
        <w:ind w:firstLine="480"/>
        <w:rPr>
          <w:rFonts w:hAnsi="Times New Roman" w:cs="Times New Roman"/>
        </w:rPr>
      </w:pPr>
      <w:r>
        <w:rPr>
          <w:rFonts w:hAnsi="Times New Roman" w:cs="Times New Roman"/>
        </w:rPr>
        <w:t>马厂河采石场为新立矿山，主要供给嫩江市高标准农田建设项目修砌道路、水渠、桥涵等碎石用料。2025年4月，嫩江市自然资源局委托哈尔滨向达规划设计有限公司编制《黑龙江省嫩江市塔溪乡马厂河采石场建筑用凝灰岩矿资源量核实报告》，并于2025年5月取得评审意见书。于2025年分别进行了《黑龙江省嫩江市塔溪乡马厂河采石场建筑用凝灰岩矿产资源开发利用方案》等编制工作。同时，黑河市瑞峰建筑工程有限责任公司已委托</w:t>
      </w:r>
      <w:r>
        <w:rPr>
          <w:rFonts w:hint="eastAsia" w:hAnsi="Times New Roman" w:cs="Times New Roman"/>
        </w:rPr>
        <w:t>黑龙江众林勘察技术咨询有限公司</w:t>
      </w:r>
      <w:r>
        <w:rPr>
          <w:rFonts w:hAnsi="Times New Roman" w:cs="Times New Roman"/>
        </w:rPr>
        <w:t>编制完成《黑龙江省黑河市瑞峰建筑工程有限责任公司塔溪乡马厂河采石场建筑用凝灰岩矿矿区生态修复方案》等。</w:t>
      </w:r>
    </w:p>
    <w:p w14:paraId="6354A36C">
      <w:pPr>
        <w:ind w:firstLine="480"/>
        <w:rPr>
          <w:rFonts w:hAnsi="Times New Roman" w:cs="Times New Roman"/>
        </w:rPr>
      </w:pPr>
      <w:r>
        <w:rPr>
          <w:rFonts w:hAnsi="Times New Roman" w:cs="Times New Roman"/>
        </w:rPr>
        <w:t>根据《黑龙江省嫩江市塔溪乡马厂河采石场建筑用凝灰岩矿产资源开发利用方案》，本次项目拟设采矿权位于黑河市嫩江市塔溪乡马厂河北东50m处，嫩江镇北东直距87.00km，塔溪乡乡直南5.0km，东距黑河口岸123km。行政区划隶属嫩江市塔溪乡管辖。其地理中心坐标为（2000国家坐标系）：东经126°18′20.79″，北纬49°26′55.52″。</w:t>
      </w:r>
    </w:p>
    <w:p w14:paraId="4B6DF251">
      <w:pPr>
        <w:ind w:firstLine="480"/>
        <w:rPr>
          <w:rFonts w:hAnsi="Times New Roman" w:cs="Times New Roman"/>
        </w:rPr>
      </w:pPr>
      <w:r>
        <w:rPr>
          <w:rFonts w:hAnsi="Times New Roman" w:cs="Times New Roman"/>
        </w:rPr>
        <w:t>矿山名称：马厂河采石场，开采方式：露天开采；生产规模：30</w:t>
      </w:r>
      <w:r>
        <w:rPr>
          <w:rFonts w:hint="eastAsia" w:hAnsi="Times New Roman" w:cs="Times New Roman"/>
        </w:rPr>
        <w:t>.00</w:t>
      </w:r>
      <w:r>
        <w:rPr>
          <w:rFonts w:hAnsi="Times New Roman" w:cs="Times New Roman"/>
        </w:rPr>
        <w:t>×10</w:t>
      </w:r>
      <w:r>
        <w:rPr>
          <w:rFonts w:hAnsi="Times New Roman" w:cs="Times New Roman"/>
          <w:vertAlign w:val="superscript"/>
        </w:rPr>
        <w:t>4</w:t>
      </w:r>
      <w:r>
        <w:rPr>
          <w:rFonts w:hAnsi="Times New Roman" w:cs="Times New Roman"/>
        </w:rPr>
        <w:t>m</w:t>
      </w:r>
      <w:r>
        <w:rPr>
          <w:rFonts w:hAnsi="Times New Roman" w:cs="Times New Roman"/>
          <w:vertAlign w:val="superscript"/>
        </w:rPr>
        <w:t>3</w:t>
      </w:r>
      <w:r>
        <w:rPr>
          <w:rFonts w:hAnsi="Times New Roman" w:cs="Times New Roman"/>
        </w:rPr>
        <w:t>/a；矿区面积为0.1101km</w:t>
      </w:r>
      <w:r>
        <w:rPr>
          <w:rFonts w:hAnsi="Times New Roman" w:cs="Times New Roman"/>
          <w:vertAlign w:val="superscript"/>
        </w:rPr>
        <w:t>2</w:t>
      </w:r>
      <w:r>
        <w:rPr>
          <w:rFonts w:hAnsi="Times New Roman" w:cs="Times New Roman"/>
        </w:rPr>
        <w:t>，开采标高由+523.50m至+420.00m。建设单位已取得采矿许可证，许可证编号为：XC2311832025117160000001。2025年11月，建设项目开工进行表土剥离及厂区内道路建设，属于未批先建。</w:t>
      </w:r>
    </w:p>
    <w:p w14:paraId="54C55050">
      <w:pPr>
        <w:ind w:firstLine="480"/>
        <w:rPr>
          <w:rFonts w:hAnsi="Times New Roman" w:cs="Times New Roman"/>
        </w:rPr>
      </w:pPr>
      <w:r>
        <w:rPr>
          <w:rFonts w:hAnsi="Times New Roman" w:cs="Times New Roman"/>
        </w:rPr>
        <w:t>根据《</w:t>
      </w:r>
      <w:r>
        <w:rPr>
          <w:rFonts w:hint="eastAsia" w:hAnsi="Times New Roman" w:cs="Times New Roman"/>
        </w:rPr>
        <w:t>中华人民共和国生态环境法典》及《建设项目环境保护管理条例》、《建设项目环境影响评价分类管理名录》，本项目应编制环境影响报告书。受</w:t>
      </w:r>
      <w:r>
        <w:rPr>
          <w:rFonts w:hAnsi="Times New Roman" w:cs="Times New Roman"/>
        </w:rPr>
        <w:t>建设单位委托，我单位承担本次环境影响评价工作。根据项目及区域环境特点，在进行现场勘查、现状监测及资料收集工作的基础上，完成了《黑龙江省嫩江市塔溪乡马厂河采石场建筑用凝灰岩矿环境影响报告书》的编制工作。</w:t>
      </w:r>
    </w:p>
    <w:bookmarkEnd w:id="2"/>
    <w:bookmarkEnd w:id="3"/>
    <w:bookmarkEnd w:id="4"/>
    <w:bookmarkEnd w:id="5"/>
    <w:bookmarkEnd w:id="6"/>
    <w:bookmarkEnd w:id="7"/>
    <w:bookmarkEnd w:id="8"/>
    <w:bookmarkEnd w:id="9"/>
    <w:bookmarkEnd w:id="10"/>
    <w:p w14:paraId="0C6AA14F">
      <w:pPr>
        <w:pStyle w:val="3"/>
        <w:spacing w:before="180" w:after="120"/>
        <w:rPr>
          <w:rFonts w:cs="Times New Roman"/>
        </w:rPr>
      </w:pPr>
      <w:bookmarkStart w:id="13" w:name="_Toc234927676"/>
      <w:bookmarkStart w:id="14" w:name="_Toc61012929"/>
      <w:bookmarkStart w:id="15" w:name="_Toc61013610"/>
      <w:bookmarkStart w:id="16" w:name="_Toc61013815"/>
      <w:bookmarkStart w:id="17" w:name="_Toc61012995"/>
      <w:bookmarkStart w:id="18" w:name="_Toc61013405"/>
      <w:bookmarkStart w:id="19" w:name="_Toc521678705"/>
      <w:bookmarkStart w:id="20" w:name="_Toc61012519"/>
      <w:bookmarkStart w:id="21" w:name="_Toc12649265"/>
      <w:bookmarkStart w:id="22" w:name="_Toc61013200"/>
      <w:r>
        <w:rPr>
          <w:rFonts w:cs="Times New Roman"/>
        </w:rPr>
        <w:t>项目特点</w:t>
      </w:r>
      <w:bookmarkEnd w:id="13"/>
    </w:p>
    <w:p w14:paraId="252CCFCB">
      <w:pPr>
        <w:ind w:firstLine="480"/>
        <w:rPr>
          <w:rFonts w:hAnsi="Times New Roman" w:cs="Times New Roman"/>
        </w:rPr>
      </w:pPr>
      <w:r>
        <w:rPr>
          <w:rFonts w:hAnsi="Times New Roman" w:cs="Times New Roman"/>
        </w:rPr>
        <w:t>本项目属新建工程，中心点地理坐标（2000国家大地坐标）：东经126°18′20.79″，北纬49°26′55.52″，行政隶属于嫩江市塔溪乡管辖，矿区占地类型主要为林地，矿区面积0.1101km</w:t>
      </w:r>
      <w:r>
        <w:rPr>
          <w:rFonts w:hAnsi="Times New Roman" w:cs="Times New Roman"/>
          <w:vertAlign w:val="superscript"/>
        </w:rPr>
        <w:t>2</w:t>
      </w:r>
      <w:r>
        <w:rPr>
          <w:rFonts w:hAnsi="Times New Roman" w:cs="Times New Roman"/>
        </w:rPr>
        <w:t>，林地为重点商品林，根据《建设项目使用林地审核审批管理办法》（2015年3月30日国家林业局令第35号；2016年9月22日国家林业局令第42号修改），第四条 占用和临时占用林地的建设项目应当遵守林地分级管理的规定：（五）战略性新兴产业项目、勘查项目、大中型矿山、符合相关旅游规划的生态旅游开发项目，可以使用Ⅱ级及其以下保护林地。其他工矿、仓储建设项目和符合规划的经营性项目，可以使用Ⅲ级及其以下保护林地。项目占用林地符合要求。矿山边坡内资源量为</w:t>
      </w:r>
      <w:r>
        <w:rPr>
          <w:rFonts w:hint="eastAsia" w:hAnsi="Times New Roman" w:cs="Times New Roman"/>
        </w:rPr>
        <w:t>320.38</w:t>
      </w:r>
      <w:r>
        <w:rPr>
          <w:rFonts w:hAnsi="Times New Roman" w:cs="Times New Roman"/>
        </w:rPr>
        <w:t>×10</w:t>
      </w:r>
      <w:r>
        <w:rPr>
          <w:rFonts w:hAnsi="Times New Roman" w:cs="Times New Roman"/>
          <w:vertAlign w:val="superscript"/>
        </w:rPr>
        <w:t>4</w:t>
      </w:r>
      <w:r>
        <w:rPr>
          <w:rFonts w:hAnsi="Times New Roman" w:cs="Times New Roman"/>
        </w:rPr>
        <w:t>m</w:t>
      </w:r>
      <w:r>
        <w:rPr>
          <w:rFonts w:hAnsi="Times New Roman" w:cs="Times New Roman"/>
          <w:vertAlign w:val="superscript"/>
        </w:rPr>
        <w:t>3</w:t>
      </w:r>
      <w:r>
        <w:rPr>
          <w:rFonts w:hAnsi="Times New Roman" w:cs="Times New Roman"/>
        </w:rPr>
        <w:t>，可采资源量为</w:t>
      </w:r>
      <w:r>
        <w:rPr>
          <w:rFonts w:hint="eastAsia" w:hAnsi="Times New Roman" w:cs="Times New Roman"/>
        </w:rPr>
        <w:t>304.36</w:t>
      </w:r>
      <w:r>
        <w:rPr>
          <w:rFonts w:hAnsi="Times New Roman" w:cs="Times New Roman"/>
        </w:rPr>
        <w:t>×10</w:t>
      </w:r>
      <w:r>
        <w:rPr>
          <w:rFonts w:hAnsi="Times New Roman" w:cs="Times New Roman"/>
          <w:vertAlign w:val="superscript"/>
        </w:rPr>
        <w:t>4</w:t>
      </w:r>
      <w:r>
        <w:rPr>
          <w:rFonts w:hAnsi="Times New Roman" w:cs="Times New Roman"/>
        </w:rPr>
        <w:t>m</w:t>
      </w:r>
      <w:r>
        <w:rPr>
          <w:rFonts w:hAnsi="Times New Roman" w:cs="Times New Roman"/>
          <w:vertAlign w:val="superscript"/>
        </w:rPr>
        <w:t>3</w:t>
      </w:r>
      <w:r>
        <w:rPr>
          <w:rFonts w:hAnsi="Times New Roman" w:cs="Times New Roman"/>
        </w:rPr>
        <w:t>（采矿损失率按5%计），开采底标高+4</w:t>
      </w:r>
      <w:r>
        <w:rPr>
          <w:rFonts w:hint="eastAsia" w:hAnsi="Times New Roman" w:cs="Times New Roman"/>
        </w:rPr>
        <w:t>20.00</w:t>
      </w:r>
      <w:r>
        <w:rPr>
          <w:rFonts w:hAnsi="Times New Roman" w:cs="Times New Roman"/>
        </w:rPr>
        <w:t>m，开采顶标高+523.50m，矿山生产规模为3</w:t>
      </w:r>
      <w:r>
        <w:rPr>
          <w:rFonts w:hint="eastAsia" w:hAnsi="Times New Roman" w:cs="Times New Roman"/>
        </w:rPr>
        <w:t>0.</w:t>
      </w:r>
      <w:r>
        <w:rPr>
          <w:rFonts w:hAnsi="Times New Roman" w:cs="Times New Roman"/>
        </w:rPr>
        <w:t>0×10</w:t>
      </w:r>
      <w:r>
        <w:rPr>
          <w:rFonts w:hAnsi="Times New Roman" w:cs="Times New Roman"/>
          <w:vertAlign w:val="superscript"/>
        </w:rPr>
        <w:t>4</w:t>
      </w:r>
      <w:r>
        <w:rPr>
          <w:rFonts w:hAnsi="Times New Roman" w:cs="Times New Roman"/>
        </w:rPr>
        <w:t>m</w:t>
      </w:r>
      <w:r>
        <w:rPr>
          <w:rFonts w:hAnsi="Times New Roman" w:cs="Times New Roman"/>
          <w:vertAlign w:val="superscript"/>
        </w:rPr>
        <w:t>3</w:t>
      </w:r>
      <w:r>
        <w:rPr>
          <w:rFonts w:hAnsi="Times New Roman" w:cs="Times New Roman"/>
        </w:rPr>
        <w:t>/a，矿山服务年限为10年。本矿山已取得了采矿许可证，编号为：XC2311832025117160000001。年工作180天，每天工作8h，全年运转1440h。</w:t>
      </w:r>
    </w:p>
    <w:p w14:paraId="7E335E27">
      <w:pPr>
        <w:ind w:firstLine="480"/>
        <w:rPr>
          <w:rFonts w:hAnsi="Times New Roman" w:cs="Times New Roman"/>
        </w:rPr>
      </w:pPr>
      <w:r>
        <w:rPr>
          <w:rFonts w:hAnsi="Times New Roman" w:cs="Times New Roman"/>
        </w:rPr>
        <w:t>塔溪乡马厂河采石场开采矿种为建筑用凝灰岩矿，矿体已风化成碎石土状。开采工艺简单，采掘机械化程度较高，可直接利用挖掘机对矿体进行采掘，采用自上而下水平分台阶机械化开采技术，无需破碎工序，该矿料采出以后不用加工可直接使用，采用机械装车，汽车外运。运营期开挖期间采取洒水降尘措施，矿区开采结束后，对开采区进行复垦，</w:t>
      </w:r>
      <w:r>
        <w:rPr>
          <w:rFonts w:hAnsi="Times New Roman" w:cs="Times New Roman"/>
          <w:lang w:bidi="en-US"/>
        </w:rPr>
        <w:t>总复垦面积为</w:t>
      </w:r>
      <w:r>
        <w:rPr>
          <w:rFonts w:hAnsi="Times New Roman" w:cs="Times New Roman"/>
        </w:rPr>
        <w:t>0.1101km</w:t>
      </w:r>
      <w:r>
        <w:rPr>
          <w:rFonts w:hAnsi="Times New Roman" w:cs="Times New Roman"/>
          <w:vertAlign w:val="superscript"/>
        </w:rPr>
        <w:t>2</w:t>
      </w:r>
      <w:r>
        <w:rPr>
          <w:rFonts w:hAnsi="Times New Roman" w:cs="Times New Roman"/>
          <w:lang w:bidi="en-US"/>
        </w:rPr>
        <w:t>，</w:t>
      </w:r>
      <w:r>
        <w:rPr>
          <w:rFonts w:hAnsi="Times New Roman" w:cs="Times New Roman"/>
        </w:rPr>
        <w:t>全部复垦为林地。</w:t>
      </w:r>
    </w:p>
    <w:p w14:paraId="4B9EC656">
      <w:pPr>
        <w:pStyle w:val="4"/>
        <w:spacing w:before="180" w:after="120"/>
        <w:rPr>
          <w:rFonts w:hAnsi="Times New Roman" w:cs="Times New Roman"/>
        </w:rPr>
      </w:pPr>
      <w:r>
        <w:rPr>
          <w:rFonts w:hAnsi="Times New Roman" w:cs="Times New Roman"/>
        </w:rPr>
        <w:t>本项目外环境特点</w:t>
      </w:r>
    </w:p>
    <w:p w14:paraId="1844143C">
      <w:pPr>
        <w:ind w:firstLine="480"/>
        <w:rPr>
          <w:rFonts w:hAnsi="Times New Roman" w:cs="Times New Roman"/>
          <w:lang w:bidi="en-US"/>
        </w:rPr>
      </w:pPr>
      <w:r>
        <w:rPr>
          <w:rFonts w:hAnsi="Times New Roman" w:cs="Times New Roman"/>
        </w:rPr>
        <w:t>本项目为新建矿场，项目四周为</w:t>
      </w:r>
      <w:r>
        <w:rPr>
          <w:rFonts w:hAnsi="Times New Roman" w:cs="Times New Roman"/>
          <w:lang w:bidi="en-US"/>
        </w:rPr>
        <w:t>重点商品林地，保护级别为3级保护林地，</w:t>
      </w:r>
      <w:r>
        <w:rPr>
          <w:rFonts w:hAnsi="Times New Roman" w:cs="Times New Roman"/>
        </w:rPr>
        <w:t>开采区南侧紧邻嫩江市松嫩平原生物多样性维护功能生态保护红线，项目不占用生态保护红线，评价范围内植被主要为乔木林地等自然植被，评价区内高植被覆盖度（&gt;75%）区域分布最广，林地占比100%。</w:t>
      </w:r>
      <w:r>
        <w:rPr>
          <w:rFonts w:hAnsi="Times New Roman" w:cs="Times New Roman"/>
          <w:lang w:bidi="en-US"/>
        </w:rPr>
        <w:t>根据嫩江市自然资源局出具的《协议书》（附件4），本项目对生态保护红线进行了避让，不占用生态保护红线。</w:t>
      </w:r>
    </w:p>
    <w:p w14:paraId="4F7AFB56">
      <w:pPr>
        <w:pStyle w:val="4"/>
        <w:spacing w:before="180" w:after="120"/>
        <w:rPr>
          <w:rFonts w:hAnsi="Times New Roman" w:cs="Times New Roman"/>
        </w:rPr>
      </w:pPr>
      <w:r>
        <w:rPr>
          <w:rFonts w:hAnsi="Times New Roman" w:cs="Times New Roman"/>
        </w:rPr>
        <w:t>本项目排污特点</w:t>
      </w:r>
    </w:p>
    <w:p w14:paraId="5D15EF76">
      <w:pPr>
        <w:ind w:firstLine="480"/>
        <w:rPr>
          <w:rFonts w:hAnsi="Times New Roman" w:cs="Times New Roman"/>
        </w:rPr>
      </w:pPr>
      <w:r>
        <w:rPr>
          <w:rFonts w:hAnsi="Times New Roman" w:cs="Times New Roman"/>
        </w:rPr>
        <w:t>本项目污染物主要为开采过程中产生废气；员工生活污水；设备噪声；员工生活垃圾、贮水池沉渣。</w:t>
      </w:r>
    </w:p>
    <w:p w14:paraId="1F8EB1CA">
      <w:pPr>
        <w:ind w:firstLine="480"/>
        <w:rPr>
          <w:rFonts w:hAnsi="Times New Roman" w:cs="Times New Roman"/>
        </w:rPr>
      </w:pPr>
      <w:r>
        <w:rPr>
          <w:rFonts w:hAnsi="Times New Roman" w:cs="Times New Roman"/>
        </w:rPr>
        <w:t>1、废气：本项目产生的废气主要为土岩剥离、集堆铲装、运输和采场剥采产生的粉尘以及施工机械排放的废气。</w:t>
      </w:r>
    </w:p>
    <w:p w14:paraId="46375A00">
      <w:pPr>
        <w:ind w:firstLine="480"/>
        <w:rPr>
          <w:rFonts w:hAnsi="Times New Roman" w:cs="Times New Roman"/>
        </w:rPr>
      </w:pPr>
      <w:r>
        <w:rPr>
          <w:rFonts w:hAnsi="Times New Roman" w:cs="Times New Roman"/>
        </w:rPr>
        <w:t>2、废水：本项目现场不设置机械维修点，施工机械故障后统一运至指定机械维修场所进行维修，故项目不产生施工机械废水。矿区产生的初期雨水经收集后用于降尘。为减少采掘过程起尘和运输过程的扬尘，需洒水抑尘，降尘用水全部蒸发，无废水排放。本项目产生的废水主要是员工生活污水（主要污染物COD、氨氮、pH、SS、BOD</w:t>
      </w:r>
      <w:r>
        <w:rPr>
          <w:rFonts w:hAnsi="Times New Roman" w:cs="Times New Roman"/>
          <w:vertAlign w:val="subscript"/>
        </w:rPr>
        <w:t>5</w:t>
      </w:r>
      <w:r>
        <w:rPr>
          <w:rFonts w:hAnsi="Times New Roman" w:cs="Times New Roman"/>
        </w:rPr>
        <w:t>），采区场地内设置防渗旱厕，定期清掏堆肥。</w:t>
      </w:r>
    </w:p>
    <w:p w14:paraId="056A1CA9">
      <w:pPr>
        <w:ind w:firstLine="480"/>
        <w:rPr>
          <w:rFonts w:hAnsi="Times New Roman" w:cs="Times New Roman"/>
        </w:rPr>
      </w:pPr>
      <w:r>
        <w:rPr>
          <w:rFonts w:hAnsi="Times New Roman" w:cs="Times New Roman"/>
        </w:rPr>
        <w:t>3、噪声：本项目主要噪声来自挖掘机、装载机、自卸车等。挖掘、集堆、铲装时轻装轻放，尽量减少在铲装过程中产生的噪声；对运输交通噪声，禁止使用超过噪声限值的运输车辆，汽车运输机械设备应安装消声器和禁用高音喇叭，机动车辆必须加强维修和保养，保持技术性能良好。夜间不进行开采、铲装及运输等工程。</w:t>
      </w:r>
    </w:p>
    <w:p w14:paraId="2BBEF194">
      <w:pPr>
        <w:ind w:firstLine="480"/>
        <w:rPr>
          <w:rFonts w:hAnsi="Times New Roman" w:cs="Times New Roman"/>
        </w:rPr>
      </w:pPr>
      <w:r>
        <w:rPr>
          <w:rFonts w:hAnsi="Times New Roman" w:cs="Times New Roman"/>
        </w:rPr>
        <w:t>4、固废：员工生活垃圾、贮水池沉渣。本项目贮水池沉渣用于矿区平整土地。生活垃圾收集后交由当地环卫部门统一处理。</w:t>
      </w:r>
    </w:p>
    <w:p w14:paraId="4C9EE838">
      <w:pPr>
        <w:pStyle w:val="3"/>
        <w:spacing w:before="180" w:after="120"/>
        <w:rPr>
          <w:rFonts w:cs="Times New Roman"/>
        </w:rPr>
      </w:pPr>
      <w:bookmarkStart w:id="23" w:name="_Toc234927677"/>
      <w:r>
        <w:rPr>
          <w:rFonts w:cs="Times New Roman"/>
        </w:rPr>
        <w:t>评价工作程序</w:t>
      </w:r>
      <w:bookmarkEnd w:id="23"/>
    </w:p>
    <w:p w14:paraId="18711540">
      <w:pPr>
        <w:ind w:firstLine="480"/>
        <w:rPr>
          <w:rFonts w:hAnsi="Times New Roman" w:cs="Times New Roman"/>
          <w:kern w:val="0"/>
        </w:rPr>
      </w:pPr>
      <w:r>
        <w:rPr>
          <w:rFonts w:hAnsi="Times New Roman" w:cs="Times New Roman"/>
          <w:kern w:val="0"/>
        </w:rPr>
        <w:t>根据《建设项目环境影响评价分类管理名录》（2021年版），本项目属于“八、非金属矿采选业10”中“11、土砂石开采（不含河道采砂项目）”涉及环境敏感区的（不含单独的矿石破碎、集运；不含矿区修复治理工程），本项目评价范围内有生态保护红线，因此，需要编制环境影响评价报告书。</w:t>
      </w:r>
    </w:p>
    <w:p w14:paraId="45AB4D92">
      <w:pPr>
        <w:ind w:firstLine="480"/>
        <w:rPr>
          <w:rFonts w:hAnsi="Times New Roman" w:cs="Times New Roman"/>
        </w:rPr>
      </w:pPr>
      <w:r>
        <w:rPr>
          <w:rFonts w:hAnsi="Times New Roman" w:cs="Times New Roman"/>
        </w:rPr>
        <w:t>评价单位根据《建设项目环境影响评价技术导则 总纲》（HJ2.1-2016）的要求，分三个阶段展开环境影响评价工作：</w:t>
      </w:r>
    </w:p>
    <w:p w14:paraId="5628F88B">
      <w:pPr>
        <w:ind w:firstLine="480"/>
        <w:rPr>
          <w:rFonts w:hAnsi="Times New Roman" w:cs="Times New Roman"/>
        </w:rPr>
      </w:pPr>
      <w:r>
        <w:rPr>
          <w:rFonts w:hAnsi="Times New Roman" w:cs="Times New Roman"/>
        </w:rPr>
        <w:t>第一阶段，首先依据相关规定确定环境影响评价文件类型，之后研究相关技术文件和其他有关文件，进行初步工程分析，开展初步的环境现状调查，接着进行环境影响识别和筛选评价因子，明确评价重点和环境保护目标，确定工作等级、评价范围和评价标准，最后制定工作方案。</w:t>
      </w:r>
    </w:p>
    <w:p w14:paraId="226AB167">
      <w:pPr>
        <w:ind w:firstLine="480"/>
        <w:rPr>
          <w:rFonts w:hAnsi="Times New Roman" w:cs="Times New Roman"/>
        </w:rPr>
      </w:pPr>
      <w:r>
        <w:rPr>
          <w:rFonts w:hAnsi="Times New Roman" w:cs="Times New Roman"/>
        </w:rPr>
        <w:t>第二阶段，首先同步进行环境现状调查、监测与评价和建设项目工程分析，继而分别开展各环境要素和各专题环境影响分析与评价。</w:t>
      </w:r>
    </w:p>
    <w:p w14:paraId="51C02642">
      <w:pPr>
        <w:ind w:firstLine="480"/>
        <w:rPr>
          <w:rFonts w:hAnsi="Times New Roman" w:cs="Times New Roman"/>
        </w:rPr>
      </w:pPr>
      <w:r>
        <w:rPr>
          <w:rFonts w:hAnsi="Times New Roman" w:cs="Times New Roman"/>
        </w:rPr>
        <w:t>第三阶段，提出环境保护措施，进行技术经济论证，给出污染物排放清单，给出建设项目环境影响评价结论，最后编制环境影响报告书。</w:t>
      </w:r>
    </w:p>
    <w:p w14:paraId="3B25751A">
      <w:pPr>
        <w:ind w:firstLine="480"/>
        <w:rPr>
          <w:rFonts w:hAnsi="Times New Roman" w:cs="Times New Roman"/>
        </w:rPr>
      </w:pPr>
      <w:r>
        <w:rPr>
          <w:rFonts w:hAnsi="Times New Roman" w:cs="Times New Roman"/>
        </w:rPr>
        <w:t>具体环境影响评价工作程序见图1.3-1。</w:t>
      </w:r>
    </w:p>
    <w:p w14:paraId="16D2835F">
      <w:pPr>
        <w:pStyle w:val="178"/>
        <w:rPr>
          <w:rFonts w:ascii="Times New Roman" w:hAnsi="Times New Roman"/>
        </w:rPr>
      </w:pPr>
      <w:r>
        <w:rPr>
          <w:rFonts w:ascii="Times New Roman" w:hAnsi="Times New Roman"/>
        </w:rPr>
        <w:drawing>
          <wp:inline distT="0" distB="0" distL="0" distR="0">
            <wp:extent cx="4702810" cy="4985385"/>
            <wp:effectExtent l="19050" t="0" r="254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noChangeArrowheads="1"/>
                    </pic:cNvPicPr>
                  </pic:nvPicPr>
                  <pic:blipFill>
                    <a:blip r:embed="rId28"/>
                    <a:srcRect/>
                    <a:stretch>
                      <a:fillRect/>
                    </a:stretch>
                  </pic:blipFill>
                  <pic:spPr>
                    <a:xfrm>
                      <a:off x="0" y="0"/>
                      <a:ext cx="4702810" cy="4985385"/>
                    </a:xfrm>
                    <a:prstGeom prst="rect">
                      <a:avLst/>
                    </a:prstGeom>
                    <a:noFill/>
                    <a:ln w="9525" cmpd="sng">
                      <a:noFill/>
                      <a:miter lim="800000"/>
                      <a:headEnd/>
                      <a:tailEnd/>
                    </a:ln>
                    <a:effectLst/>
                  </pic:spPr>
                </pic:pic>
              </a:graphicData>
            </a:graphic>
          </wp:inline>
        </w:drawing>
      </w:r>
    </w:p>
    <w:p w14:paraId="69BA9D85">
      <w:pPr>
        <w:pStyle w:val="178"/>
        <w:rPr>
          <w:rFonts w:ascii="Times New Roman" w:hAnsi="Times New Roman"/>
        </w:rPr>
      </w:pPr>
      <w:r>
        <w:rPr>
          <w:rFonts w:ascii="Times New Roman"/>
        </w:rPr>
        <w:t>图</w:t>
      </w:r>
      <w:r>
        <w:rPr>
          <w:rFonts w:ascii="Times New Roman" w:hAnsi="Times New Roman"/>
        </w:rPr>
        <w:t xml:space="preserve">1.3-1  </w:t>
      </w:r>
      <w:r>
        <w:rPr>
          <w:rFonts w:ascii="Times New Roman"/>
        </w:rPr>
        <w:t>评价技术线路图</w:t>
      </w:r>
    </w:p>
    <w:bookmarkEnd w:id="14"/>
    <w:bookmarkEnd w:id="15"/>
    <w:bookmarkEnd w:id="16"/>
    <w:bookmarkEnd w:id="17"/>
    <w:bookmarkEnd w:id="18"/>
    <w:bookmarkEnd w:id="19"/>
    <w:bookmarkEnd w:id="20"/>
    <w:bookmarkEnd w:id="21"/>
    <w:bookmarkEnd w:id="22"/>
    <w:p w14:paraId="176C4824">
      <w:pPr>
        <w:pStyle w:val="3"/>
        <w:spacing w:before="180" w:after="120"/>
        <w:rPr>
          <w:rFonts w:cs="Times New Roman"/>
        </w:rPr>
      </w:pPr>
      <w:bookmarkStart w:id="24" w:name="bookmark5"/>
      <w:bookmarkEnd w:id="24"/>
      <w:bookmarkStart w:id="25" w:name="_Toc234927678"/>
      <w:r>
        <w:rPr>
          <w:rFonts w:cs="Times New Roman"/>
        </w:rPr>
        <w:t>分析判定相关情况</w:t>
      </w:r>
      <w:bookmarkEnd w:id="25"/>
    </w:p>
    <w:p w14:paraId="6456AEB8">
      <w:pPr>
        <w:pStyle w:val="4"/>
        <w:spacing w:before="180" w:after="120"/>
        <w:rPr>
          <w:rFonts w:hAnsi="Times New Roman" w:cs="Times New Roman"/>
        </w:rPr>
      </w:pPr>
      <w:r>
        <w:rPr>
          <w:rFonts w:hAnsi="Times New Roman" w:cs="Times New Roman"/>
        </w:rPr>
        <w:t>产业政策的符合性分析</w:t>
      </w:r>
    </w:p>
    <w:p w14:paraId="6CABD950">
      <w:pPr>
        <w:ind w:firstLine="480"/>
        <w:rPr>
          <w:rFonts w:hAnsi="Times New Roman" w:cs="Times New Roman"/>
        </w:rPr>
      </w:pPr>
      <w:r>
        <w:rPr>
          <w:rFonts w:hAnsi="Times New Roman" w:cs="Times New Roman"/>
        </w:rPr>
        <w:t>本项目属于“粘土及其他土砂石开采”，不属于《产业结构调整指导目录（2024年本）》中列出的“鼓励类”“限制类”项目。</w:t>
      </w:r>
    </w:p>
    <w:p w14:paraId="369F2CCA">
      <w:pPr>
        <w:ind w:firstLine="480"/>
        <w:rPr>
          <w:rFonts w:hAnsi="Times New Roman" w:cs="Times New Roman"/>
        </w:rPr>
      </w:pPr>
      <w:r>
        <w:rPr>
          <w:rFonts w:hAnsi="Times New Roman" w:cs="Times New Roman"/>
        </w:rPr>
        <w:t xml:space="preserve">项目采用露天开采，在生产过程中采用液压破碎锤分层破碎剥离开采，无需碎石筛分，直接挖掘机配合装车即可销售。不采用淘汰类“一、落后生产工艺装备”中规定的 “1．集中铲装作业时人工装卸矿岩；2．未安装捕尘装置的干式凿岩作业；8．露天矿山采用扩壶爆破；9．露天矿山采用掏底崩落、掏挖开采、不分层的“一面墙”开采；10．露天矿山使用爆破方式对大块矿岩进行二次破碎”不属于“淘汰类”项目。 </w:t>
      </w:r>
    </w:p>
    <w:p w14:paraId="0841565F">
      <w:pPr>
        <w:ind w:firstLine="480"/>
        <w:rPr>
          <w:rFonts w:hAnsi="Times New Roman" w:cs="Times New Roman"/>
        </w:rPr>
      </w:pPr>
      <w:r>
        <w:rPr>
          <w:rFonts w:hAnsi="Times New Roman" w:cs="Times New Roman"/>
        </w:rPr>
        <w:t>根据文件要求，鼓励类、限制类和淘汰类之外的，且符合国家有关法律、法规为允许类。本项目的建设符合相关法律法规要求，属于允许类项目，符合国家产业政策要求。</w:t>
      </w:r>
    </w:p>
    <w:p w14:paraId="28AE8DBF">
      <w:pPr>
        <w:pStyle w:val="4"/>
        <w:spacing w:before="180" w:after="120"/>
        <w:rPr>
          <w:rFonts w:hAnsi="Times New Roman" w:cs="Times New Roman"/>
        </w:rPr>
      </w:pPr>
      <w:r>
        <w:rPr>
          <w:rFonts w:hAnsi="Times New Roman" w:cs="Times New Roman"/>
        </w:rPr>
        <w:t>规划符合性分析</w:t>
      </w:r>
    </w:p>
    <w:p w14:paraId="14D6236C">
      <w:pPr>
        <w:pStyle w:val="5"/>
        <w:spacing w:before="120" w:after="120"/>
      </w:pPr>
      <w:r>
        <w:t>与《国家重点生态功能保护区规划纲要》符合性分析</w:t>
      </w:r>
    </w:p>
    <w:p w14:paraId="289B577D">
      <w:pPr>
        <w:ind w:firstLine="480"/>
        <w:rPr>
          <w:rFonts w:hAnsi="Times New Roman" w:cs="Times New Roman"/>
        </w:rPr>
      </w:pPr>
      <w:r>
        <w:rPr>
          <w:rFonts w:hAnsi="Times New Roman" w:cs="Times New Roman"/>
        </w:rPr>
        <w:t>本项目与《国家重点生态功能保护区规划纲要》符合性分析。</w:t>
      </w:r>
    </w:p>
    <w:p w14:paraId="2D9116EF">
      <w:pPr>
        <w:pStyle w:val="178"/>
        <w:rPr>
          <w:rFonts w:ascii="Times New Roman" w:hAnsi="Times New Roman"/>
        </w:rPr>
      </w:pPr>
      <w:r>
        <w:rPr>
          <w:rFonts w:ascii="Times New Roman"/>
        </w:rPr>
        <w:t>表</w:t>
      </w:r>
      <w:r>
        <w:rPr>
          <w:rFonts w:ascii="Times New Roman" w:hAnsi="Times New Roman"/>
        </w:rPr>
        <w:t xml:space="preserve">1.4-1 </w:t>
      </w:r>
      <w:r>
        <w:rPr>
          <w:rFonts w:ascii="Times New Roman"/>
        </w:rPr>
        <w:t>与《国家重点生态功能保护区规划纲要》符合性分析</w:t>
      </w:r>
    </w:p>
    <w:tbl>
      <w:tblPr>
        <w:tblStyle w:val="37"/>
        <w:tblW w:w="8505"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498"/>
        <w:gridCol w:w="808"/>
        <w:gridCol w:w="3622"/>
        <w:gridCol w:w="2605"/>
        <w:gridCol w:w="972"/>
      </w:tblGrid>
      <w:tr w14:paraId="079AF34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515" w:type="dxa"/>
            <w:noWrap/>
            <w:vAlign w:val="center"/>
          </w:tcPr>
          <w:p w14:paraId="6A7A39EA">
            <w:pPr>
              <w:pStyle w:val="179"/>
              <w:widowControl w:val="0"/>
              <w:rPr>
                <w:rFonts w:cs="Times New Roman"/>
                <w:b/>
              </w:rPr>
            </w:pPr>
            <w:r>
              <w:rPr>
                <w:rFonts w:cs="Times New Roman"/>
                <w:b/>
              </w:rPr>
              <w:t>序号</w:t>
            </w:r>
          </w:p>
        </w:tc>
        <w:tc>
          <w:tcPr>
            <w:tcW w:w="4690" w:type="dxa"/>
            <w:gridSpan w:val="2"/>
            <w:noWrap/>
            <w:vAlign w:val="center"/>
          </w:tcPr>
          <w:p w14:paraId="0C5C1904">
            <w:pPr>
              <w:pStyle w:val="179"/>
              <w:widowControl w:val="0"/>
              <w:rPr>
                <w:rFonts w:cs="Times New Roman"/>
                <w:b/>
              </w:rPr>
            </w:pPr>
            <w:r>
              <w:rPr>
                <w:rFonts w:cs="Times New Roman"/>
                <w:b/>
              </w:rPr>
              <w:t>国家重点生态功能保护区规划纲要</w:t>
            </w:r>
          </w:p>
        </w:tc>
        <w:tc>
          <w:tcPr>
            <w:tcW w:w="2760" w:type="dxa"/>
            <w:noWrap/>
            <w:vAlign w:val="center"/>
          </w:tcPr>
          <w:p w14:paraId="737A219D">
            <w:pPr>
              <w:pStyle w:val="179"/>
              <w:widowControl w:val="0"/>
              <w:rPr>
                <w:rFonts w:cs="Times New Roman"/>
                <w:b/>
              </w:rPr>
            </w:pPr>
            <w:r>
              <w:rPr>
                <w:rFonts w:cs="Times New Roman"/>
                <w:b/>
              </w:rPr>
              <w:t>本项目</w:t>
            </w:r>
          </w:p>
        </w:tc>
        <w:tc>
          <w:tcPr>
            <w:tcW w:w="1020" w:type="dxa"/>
            <w:noWrap/>
            <w:vAlign w:val="center"/>
          </w:tcPr>
          <w:p w14:paraId="5550F0FA">
            <w:pPr>
              <w:pStyle w:val="179"/>
              <w:widowControl w:val="0"/>
              <w:rPr>
                <w:rFonts w:cs="Times New Roman"/>
                <w:b/>
              </w:rPr>
            </w:pPr>
            <w:r>
              <w:rPr>
                <w:rFonts w:cs="Times New Roman"/>
                <w:b/>
              </w:rPr>
              <w:t>符合性</w:t>
            </w:r>
          </w:p>
        </w:tc>
      </w:tr>
      <w:tr w14:paraId="3287EBF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15" w:type="dxa"/>
            <w:vMerge w:val="restart"/>
            <w:noWrap/>
            <w:vAlign w:val="center"/>
          </w:tcPr>
          <w:p w14:paraId="417AACD5">
            <w:pPr>
              <w:pStyle w:val="179"/>
              <w:widowControl w:val="0"/>
              <w:rPr>
                <w:rFonts w:cs="Times New Roman"/>
              </w:rPr>
            </w:pPr>
            <w:r>
              <w:rPr>
                <w:rFonts w:cs="Times New Roman"/>
              </w:rPr>
              <w:t>1</w:t>
            </w:r>
          </w:p>
        </w:tc>
        <w:tc>
          <w:tcPr>
            <w:tcW w:w="846" w:type="dxa"/>
            <w:vMerge w:val="restart"/>
            <w:noWrap/>
            <w:vAlign w:val="center"/>
          </w:tcPr>
          <w:p w14:paraId="69D87394">
            <w:pPr>
              <w:pStyle w:val="179"/>
              <w:widowControl w:val="0"/>
              <w:rPr>
                <w:rFonts w:cs="Times New Roman"/>
              </w:rPr>
            </w:pPr>
            <w:r>
              <w:rPr>
                <w:rFonts w:cs="Times New Roman"/>
              </w:rPr>
              <w:t>（一）合理引导产业发展</w:t>
            </w:r>
          </w:p>
        </w:tc>
        <w:tc>
          <w:tcPr>
            <w:tcW w:w="3844" w:type="dxa"/>
            <w:noWrap/>
            <w:vAlign w:val="center"/>
          </w:tcPr>
          <w:p w14:paraId="59968856">
            <w:pPr>
              <w:pStyle w:val="179"/>
              <w:widowControl w:val="0"/>
              <w:rPr>
                <w:rFonts w:cs="Times New Roman"/>
              </w:rPr>
            </w:pPr>
            <w:r>
              <w:rPr>
                <w:rFonts w:cs="Times New Roman"/>
              </w:rPr>
              <w:t>限制损害区域生态功能的产业扩张。根据生态功能保护区的资源禀赋、环境容量，合理确定区域产业发展方向，限制高污染、高能耗、高物耗产业的发展。要依法淘汰严重污染环境、严重破坏区域生态、严重浪费资源能源的产业，要依法关闭破坏资源、污染环境和损害生态系统功能的企业。</w:t>
            </w:r>
          </w:p>
        </w:tc>
        <w:tc>
          <w:tcPr>
            <w:tcW w:w="2760" w:type="dxa"/>
            <w:noWrap/>
            <w:vAlign w:val="center"/>
          </w:tcPr>
          <w:p w14:paraId="2ED69D05">
            <w:pPr>
              <w:pStyle w:val="179"/>
              <w:widowControl w:val="0"/>
              <w:rPr>
                <w:rFonts w:cs="Times New Roman"/>
                <w:b/>
              </w:rPr>
            </w:pPr>
            <w:r>
              <w:rPr>
                <w:rFonts w:cs="Times New Roman"/>
              </w:rPr>
              <w:t>本项目为石料开采项目，不属于高污染、高能耗、高物耗产业，不属于依法淘汰严重污染环境、严重破坏区域生态、严重浪费资源能源的产业，要依法关闭破坏资源、污染环境和损害生态系统功能的企业</w:t>
            </w:r>
          </w:p>
        </w:tc>
        <w:tc>
          <w:tcPr>
            <w:tcW w:w="1020" w:type="dxa"/>
            <w:noWrap/>
            <w:vAlign w:val="center"/>
          </w:tcPr>
          <w:p w14:paraId="6738B3C1">
            <w:pPr>
              <w:pStyle w:val="179"/>
              <w:widowControl w:val="0"/>
              <w:rPr>
                <w:rFonts w:cs="Times New Roman"/>
              </w:rPr>
            </w:pPr>
            <w:r>
              <w:rPr>
                <w:rFonts w:cs="Times New Roman"/>
              </w:rPr>
              <w:t>符合</w:t>
            </w:r>
          </w:p>
        </w:tc>
      </w:tr>
      <w:tr w14:paraId="1347491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15" w:type="dxa"/>
            <w:vMerge w:val="continue"/>
            <w:noWrap/>
            <w:vAlign w:val="center"/>
          </w:tcPr>
          <w:p w14:paraId="1BE6AE74">
            <w:pPr>
              <w:pStyle w:val="179"/>
              <w:widowControl w:val="0"/>
              <w:rPr>
                <w:rFonts w:cs="Times New Roman"/>
              </w:rPr>
            </w:pPr>
          </w:p>
        </w:tc>
        <w:tc>
          <w:tcPr>
            <w:tcW w:w="846" w:type="dxa"/>
            <w:vMerge w:val="continue"/>
            <w:noWrap/>
            <w:vAlign w:val="center"/>
          </w:tcPr>
          <w:p w14:paraId="25390F4D">
            <w:pPr>
              <w:pStyle w:val="179"/>
              <w:widowControl w:val="0"/>
              <w:rPr>
                <w:rFonts w:cs="Times New Roman"/>
              </w:rPr>
            </w:pPr>
          </w:p>
        </w:tc>
        <w:tc>
          <w:tcPr>
            <w:tcW w:w="3844" w:type="dxa"/>
            <w:noWrap/>
            <w:vAlign w:val="center"/>
          </w:tcPr>
          <w:p w14:paraId="18C0B537">
            <w:pPr>
              <w:pStyle w:val="179"/>
              <w:widowControl w:val="0"/>
              <w:rPr>
                <w:rFonts w:cs="Times New Roman"/>
              </w:rPr>
            </w:pPr>
            <w:r>
              <w:rPr>
                <w:rFonts w:cs="Times New Roman"/>
              </w:rPr>
              <w:t>发展资源环境可承载的特色产业。依据资源禀赋的差异，积极发展生态农业、生态林业、生态旅游业；在中药材资源丰富的地区，建设药材基地，推动生物资源的开发；在畜牧业为主的区域，建立稳定、优质、高产的人工饲草基地，推行舍饲圈养；在重要防风固沙区，合理发展沙产业；在蓄滞洪区，发展避洪经济；在海洋生态功能保护区，发展海洋生态养殖、生态旅游等海洋生态产业。</w:t>
            </w:r>
          </w:p>
        </w:tc>
        <w:tc>
          <w:tcPr>
            <w:tcW w:w="2760" w:type="dxa"/>
            <w:noWrap/>
            <w:vAlign w:val="center"/>
          </w:tcPr>
          <w:p w14:paraId="5F1BAD9D">
            <w:pPr>
              <w:pStyle w:val="179"/>
              <w:widowControl w:val="0"/>
              <w:rPr>
                <w:rFonts w:cs="Times New Roman"/>
              </w:rPr>
            </w:pPr>
            <w:r>
              <w:rPr>
                <w:rFonts w:cs="Times New Roman"/>
              </w:rPr>
              <w:t>本项目不涉及生态农业、生态林业、生态旅游业</w:t>
            </w:r>
          </w:p>
        </w:tc>
        <w:tc>
          <w:tcPr>
            <w:tcW w:w="1020" w:type="dxa"/>
            <w:noWrap/>
            <w:vAlign w:val="center"/>
          </w:tcPr>
          <w:p w14:paraId="126D1AB9">
            <w:pPr>
              <w:pStyle w:val="179"/>
              <w:widowControl w:val="0"/>
              <w:rPr>
                <w:rFonts w:cs="Times New Roman"/>
              </w:rPr>
            </w:pPr>
            <w:r>
              <w:rPr>
                <w:rFonts w:cs="Times New Roman"/>
              </w:rPr>
              <w:t>符合</w:t>
            </w:r>
          </w:p>
        </w:tc>
      </w:tr>
      <w:tr w14:paraId="11D48F3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15" w:type="dxa"/>
            <w:vMerge w:val="continue"/>
            <w:noWrap/>
            <w:vAlign w:val="center"/>
          </w:tcPr>
          <w:p w14:paraId="720C32DD">
            <w:pPr>
              <w:pStyle w:val="179"/>
              <w:widowControl w:val="0"/>
              <w:rPr>
                <w:rFonts w:cs="Times New Roman"/>
              </w:rPr>
            </w:pPr>
          </w:p>
        </w:tc>
        <w:tc>
          <w:tcPr>
            <w:tcW w:w="846" w:type="dxa"/>
            <w:vMerge w:val="continue"/>
            <w:noWrap/>
            <w:vAlign w:val="center"/>
          </w:tcPr>
          <w:p w14:paraId="35465AA0">
            <w:pPr>
              <w:pStyle w:val="179"/>
              <w:widowControl w:val="0"/>
              <w:rPr>
                <w:rFonts w:cs="Times New Roman"/>
              </w:rPr>
            </w:pPr>
          </w:p>
        </w:tc>
        <w:tc>
          <w:tcPr>
            <w:tcW w:w="3844" w:type="dxa"/>
            <w:noWrap/>
            <w:vAlign w:val="center"/>
          </w:tcPr>
          <w:p w14:paraId="203FAF87">
            <w:pPr>
              <w:pStyle w:val="179"/>
              <w:widowControl w:val="0"/>
              <w:rPr>
                <w:rFonts w:cs="Times New Roman"/>
              </w:rPr>
            </w:pPr>
            <w:r>
              <w:rPr>
                <w:rFonts w:cs="Times New Roman"/>
              </w:rPr>
              <w:t>推广清洁能源。积极推广沼气、风能、小水电、太阳能、地热能及其他清洁能源，解决农村能源需求，减少对自然生态系统的破坏。</w:t>
            </w:r>
          </w:p>
        </w:tc>
        <w:tc>
          <w:tcPr>
            <w:tcW w:w="2760" w:type="dxa"/>
            <w:noWrap/>
            <w:vAlign w:val="center"/>
          </w:tcPr>
          <w:p w14:paraId="30510A37">
            <w:pPr>
              <w:pStyle w:val="179"/>
              <w:widowControl w:val="0"/>
              <w:rPr>
                <w:rFonts w:cs="Times New Roman"/>
              </w:rPr>
            </w:pPr>
            <w:r>
              <w:rPr>
                <w:rFonts w:cs="Times New Roman"/>
              </w:rPr>
              <w:t>本项目运营期主要能源为电能，通过合理设计尽量减少占地，以减少对自然生态系统的破坏</w:t>
            </w:r>
          </w:p>
        </w:tc>
        <w:tc>
          <w:tcPr>
            <w:tcW w:w="1020" w:type="dxa"/>
            <w:noWrap/>
            <w:vAlign w:val="center"/>
          </w:tcPr>
          <w:p w14:paraId="7A33244B">
            <w:pPr>
              <w:pStyle w:val="179"/>
              <w:widowControl w:val="0"/>
              <w:rPr>
                <w:rFonts w:cs="Times New Roman"/>
              </w:rPr>
            </w:pPr>
            <w:r>
              <w:rPr>
                <w:rFonts w:cs="Times New Roman"/>
              </w:rPr>
              <w:t>符合</w:t>
            </w:r>
          </w:p>
        </w:tc>
      </w:tr>
      <w:tr w14:paraId="511D5EB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15" w:type="dxa"/>
            <w:vMerge w:val="restart"/>
            <w:noWrap/>
            <w:vAlign w:val="center"/>
          </w:tcPr>
          <w:p w14:paraId="5E9575D1">
            <w:pPr>
              <w:pStyle w:val="179"/>
              <w:widowControl w:val="0"/>
              <w:rPr>
                <w:rFonts w:cs="Times New Roman"/>
              </w:rPr>
            </w:pPr>
            <w:r>
              <w:rPr>
                <w:rFonts w:cs="Times New Roman"/>
              </w:rPr>
              <w:t>2</w:t>
            </w:r>
          </w:p>
        </w:tc>
        <w:tc>
          <w:tcPr>
            <w:tcW w:w="846" w:type="dxa"/>
            <w:vMerge w:val="restart"/>
            <w:noWrap/>
            <w:vAlign w:val="center"/>
          </w:tcPr>
          <w:p w14:paraId="6705D7B8">
            <w:pPr>
              <w:pStyle w:val="179"/>
              <w:widowControl w:val="0"/>
              <w:rPr>
                <w:rFonts w:cs="Times New Roman"/>
              </w:rPr>
            </w:pPr>
            <w:r>
              <w:rPr>
                <w:rFonts w:cs="Times New Roman"/>
              </w:rPr>
              <w:t>（二）保护和恢复生态功能</w:t>
            </w:r>
          </w:p>
        </w:tc>
        <w:tc>
          <w:tcPr>
            <w:tcW w:w="3844" w:type="dxa"/>
            <w:noWrap/>
            <w:vAlign w:val="center"/>
          </w:tcPr>
          <w:p w14:paraId="06DD8C8C">
            <w:pPr>
              <w:pStyle w:val="179"/>
              <w:widowControl w:val="0"/>
              <w:rPr>
                <w:rFonts w:cs="Times New Roman"/>
              </w:rPr>
            </w:pPr>
            <w:r>
              <w:rPr>
                <w:rFonts w:cs="Times New Roman"/>
              </w:rPr>
              <w:t>提高水源涵养能力。在水源涵养生态功能保护区内，结合已有的生态保护和建设重大工程，加强森林、草地和湿地的管护和恢复，严格监管矿产、水资源开发，严肃查处毁林、毁草、破坏湿地等行为，合理开发水电，提高区域水源涵养生态功能。</w:t>
            </w:r>
          </w:p>
        </w:tc>
        <w:tc>
          <w:tcPr>
            <w:tcW w:w="2760" w:type="dxa"/>
            <w:noWrap/>
            <w:vAlign w:val="center"/>
          </w:tcPr>
          <w:p w14:paraId="6BB848AE">
            <w:pPr>
              <w:pStyle w:val="179"/>
              <w:widowControl w:val="0"/>
              <w:rPr>
                <w:rFonts w:cs="Times New Roman"/>
              </w:rPr>
            </w:pPr>
            <w:r>
              <w:rPr>
                <w:rFonts w:cs="Times New Roman"/>
              </w:rPr>
              <w:t>按照开拓方案，采空区按生态恢复计划及时进行植被恢复</w:t>
            </w:r>
          </w:p>
        </w:tc>
        <w:tc>
          <w:tcPr>
            <w:tcW w:w="1020" w:type="dxa"/>
            <w:noWrap/>
            <w:vAlign w:val="center"/>
          </w:tcPr>
          <w:p w14:paraId="6FC4BD79">
            <w:pPr>
              <w:pStyle w:val="179"/>
              <w:widowControl w:val="0"/>
              <w:rPr>
                <w:rFonts w:cs="Times New Roman"/>
              </w:rPr>
            </w:pPr>
            <w:r>
              <w:rPr>
                <w:rFonts w:cs="Times New Roman"/>
              </w:rPr>
              <w:t>符合</w:t>
            </w:r>
          </w:p>
        </w:tc>
      </w:tr>
      <w:tr w14:paraId="3C919E8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15" w:type="dxa"/>
            <w:vMerge w:val="continue"/>
            <w:noWrap/>
            <w:vAlign w:val="center"/>
          </w:tcPr>
          <w:p w14:paraId="0A4CFF58">
            <w:pPr>
              <w:pStyle w:val="179"/>
              <w:widowControl w:val="0"/>
              <w:rPr>
                <w:rFonts w:cs="Times New Roman"/>
              </w:rPr>
            </w:pPr>
          </w:p>
        </w:tc>
        <w:tc>
          <w:tcPr>
            <w:tcW w:w="846" w:type="dxa"/>
            <w:vMerge w:val="continue"/>
            <w:noWrap/>
            <w:vAlign w:val="center"/>
          </w:tcPr>
          <w:p w14:paraId="058A2100">
            <w:pPr>
              <w:pStyle w:val="179"/>
              <w:widowControl w:val="0"/>
              <w:rPr>
                <w:rFonts w:cs="Times New Roman"/>
              </w:rPr>
            </w:pPr>
          </w:p>
        </w:tc>
        <w:tc>
          <w:tcPr>
            <w:tcW w:w="3844" w:type="dxa"/>
            <w:noWrap/>
            <w:vAlign w:val="center"/>
          </w:tcPr>
          <w:p w14:paraId="0CD0842B">
            <w:pPr>
              <w:pStyle w:val="179"/>
              <w:widowControl w:val="0"/>
              <w:rPr>
                <w:rFonts w:cs="Times New Roman"/>
              </w:rPr>
            </w:pPr>
            <w:r>
              <w:rPr>
                <w:rFonts w:cs="Times New Roman"/>
              </w:rPr>
              <w:t>恢复水土保持功能。在水土保持生态功能保护区内，实施水土流失的预防监督和水土保持生态修复工程，加强小流域综合治理，营造水土保持林，禁止毁林开荒、烧山开荒和陡坡地开垦，合理开发自然资源，保护和恢复自然生态系统，增强区域水土保持能力。</w:t>
            </w:r>
          </w:p>
        </w:tc>
        <w:tc>
          <w:tcPr>
            <w:tcW w:w="2760" w:type="dxa"/>
            <w:noWrap/>
            <w:vAlign w:val="center"/>
          </w:tcPr>
          <w:p w14:paraId="0CFDB840">
            <w:pPr>
              <w:pStyle w:val="179"/>
              <w:widowControl w:val="0"/>
              <w:rPr>
                <w:rFonts w:cs="Times New Roman"/>
              </w:rPr>
            </w:pPr>
            <w:r>
              <w:rPr>
                <w:rFonts w:cs="Times New Roman"/>
              </w:rPr>
              <w:t>排土场和采区按生态恢复计划及时进行植被恢复</w:t>
            </w:r>
          </w:p>
        </w:tc>
        <w:tc>
          <w:tcPr>
            <w:tcW w:w="1020" w:type="dxa"/>
            <w:noWrap/>
            <w:vAlign w:val="center"/>
          </w:tcPr>
          <w:p w14:paraId="632B9A7E">
            <w:pPr>
              <w:pStyle w:val="179"/>
              <w:widowControl w:val="0"/>
              <w:rPr>
                <w:rFonts w:cs="Times New Roman"/>
              </w:rPr>
            </w:pPr>
            <w:r>
              <w:rPr>
                <w:rFonts w:cs="Times New Roman"/>
              </w:rPr>
              <w:t>符合</w:t>
            </w:r>
          </w:p>
        </w:tc>
      </w:tr>
      <w:tr w14:paraId="4886E98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15" w:type="dxa"/>
            <w:vMerge w:val="continue"/>
            <w:noWrap/>
            <w:vAlign w:val="center"/>
          </w:tcPr>
          <w:p w14:paraId="4A98728C">
            <w:pPr>
              <w:pStyle w:val="179"/>
              <w:widowControl w:val="0"/>
              <w:rPr>
                <w:rFonts w:cs="Times New Roman"/>
              </w:rPr>
            </w:pPr>
          </w:p>
        </w:tc>
        <w:tc>
          <w:tcPr>
            <w:tcW w:w="846" w:type="dxa"/>
            <w:vMerge w:val="continue"/>
            <w:noWrap/>
            <w:vAlign w:val="center"/>
          </w:tcPr>
          <w:p w14:paraId="1EC6A9E9">
            <w:pPr>
              <w:pStyle w:val="179"/>
              <w:widowControl w:val="0"/>
              <w:rPr>
                <w:rFonts w:cs="Times New Roman"/>
              </w:rPr>
            </w:pPr>
          </w:p>
        </w:tc>
        <w:tc>
          <w:tcPr>
            <w:tcW w:w="3844" w:type="dxa"/>
            <w:noWrap/>
            <w:vAlign w:val="center"/>
          </w:tcPr>
          <w:p w14:paraId="17D50521">
            <w:pPr>
              <w:pStyle w:val="179"/>
              <w:widowControl w:val="0"/>
              <w:rPr>
                <w:rFonts w:cs="Times New Roman"/>
              </w:rPr>
            </w:pPr>
            <w:r>
              <w:rPr>
                <w:rFonts w:cs="Times New Roman"/>
              </w:rPr>
              <w:t>增强防风固沙功能。在防风固沙生态功能保护区内，积极实施防沙治沙等生态治理工程，严禁过度放牧、樵采、开荒，合理利用水资源，保障生态用水，提高区域生态系统防沙固沙的能力。</w:t>
            </w:r>
          </w:p>
        </w:tc>
        <w:tc>
          <w:tcPr>
            <w:tcW w:w="2760" w:type="dxa"/>
            <w:noWrap/>
            <w:vAlign w:val="center"/>
          </w:tcPr>
          <w:p w14:paraId="1F02F5B1">
            <w:pPr>
              <w:pStyle w:val="179"/>
              <w:widowControl w:val="0"/>
              <w:rPr>
                <w:rFonts w:cs="Times New Roman"/>
              </w:rPr>
            </w:pPr>
            <w:r>
              <w:rPr>
                <w:rFonts w:cs="Times New Roman"/>
              </w:rPr>
              <w:t>本项目不涉及放牧、樵采、开荒，本项目施工期和运营期按取水许可证要求取水，严禁超采。施工废水经沉淀处理后全部回用于施工过程，合理利用水资源，施工结束后，按生态恢复计划及时进行植被恢复</w:t>
            </w:r>
          </w:p>
        </w:tc>
        <w:tc>
          <w:tcPr>
            <w:tcW w:w="1020" w:type="dxa"/>
            <w:noWrap/>
            <w:vAlign w:val="center"/>
          </w:tcPr>
          <w:p w14:paraId="3A9AF8B3">
            <w:pPr>
              <w:pStyle w:val="179"/>
              <w:widowControl w:val="0"/>
              <w:rPr>
                <w:rFonts w:cs="Times New Roman"/>
              </w:rPr>
            </w:pPr>
            <w:r>
              <w:rPr>
                <w:rFonts w:cs="Times New Roman"/>
              </w:rPr>
              <w:t>符合</w:t>
            </w:r>
          </w:p>
        </w:tc>
      </w:tr>
      <w:tr w14:paraId="2435672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15" w:type="dxa"/>
            <w:vMerge w:val="continue"/>
            <w:noWrap/>
            <w:vAlign w:val="center"/>
          </w:tcPr>
          <w:p w14:paraId="5FC9C390">
            <w:pPr>
              <w:pStyle w:val="179"/>
              <w:widowControl w:val="0"/>
              <w:rPr>
                <w:rFonts w:cs="Times New Roman"/>
              </w:rPr>
            </w:pPr>
          </w:p>
        </w:tc>
        <w:tc>
          <w:tcPr>
            <w:tcW w:w="846" w:type="dxa"/>
            <w:vMerge w:val="continue"/>
            <w:noWrap/>
            <w:vAlign w:val="center"/>
          </w:tcPr>
          <w:p w14:paraId="337D7229">
            <w:pPr>
              <w:pStyle w:val="179"/>
              <w:widowControl w:val="0"/>
              <w:rPr>
                <w:rFonts w:cs="Times New Roman"/>
              </w:rPr>
            </w:pPr>
          </w:p>
        </w:tc>
        <w:tc>
          <w:tcPr>
            <w:tcW w:w="3844" w:type="dxa"/>
            <w:noWrap/>
            <w:vAlign w:val="center"/>
          </w:tcPr>
          <w:p w14:paraId="285AE74A">
            <w:pPr>
              <w:pStyle w:val="179"/>
              <w:widowControl w:val="0"/>
              <w:rPr>
                <w:rFonts w:cs="Times New Roman"/>
              </w:rPr>
            </w:pPr>
            <w:r>
              <w:rPr>
                <w:rFonts w:cs="Times New Roman"/>
              </w:rPr>
              <w:t>提高调洪蓄洪能力。在洪水调蓄生态功能保护区内，严禁围垦湖泊、湿地，积极实施退田还湖还湿工程，禁止在蓄滞洪区建设与行洪泄洪无关的工程设施，巩固平垸行洪、退田还湿的成果，增强区内调洪蓄洪能力。</w:t>
            </w:r>
          </w:p>
        </w:tc>
        <w:tc>
          <w:tcPr>
            <w:tcW w:w="2760" w:type="dxa"/>
            <w:noWrap/>
            <w:vAlign w:val="center"/>
          </w:tcPr>
          <w:p w14:paraId="11B252AA">
            <w:pPr>
              <w:pStyle w:val="179"/>
              <w:widowControl w:val="0"/>
              <w:rPr>
                <w:rFonts w:cs="Times New Roman"/>
              </w:rPr>
            </w:pPr>
            <w:r>
              <w:rPr>
                <w:rFonts w:cs="Times New Roman"/>
              </w:rPr>
              <w:t>本项目评价范围内不涉及湖泊和湿地</w:t>
            </w:r>
          </w:p>
        </w:tc>
        <w:tc>
          <w:tcPr>
            <w:tcW w:w="1020" w:type="dxa"/>
            <w:noWrap/>
            <w:vAlign w:val="center"/>
          </w:tcPr>
          <w:p w14:paraId="63ED1138">
            <w:pPr>
              <w:pStyle w:val="179"/>
              <w:widowControl w:val="0"/>
              <w:rPr>
                <w:rFonts w:cs="Times New Roman"/>
              </w:rPr>
            </w:pPr>
            <w:r>
              <w:rPr>
                <w:rFonts w:cs="Times New Roman"/>
              </w:rPr>
              <w:t>符合</w:t>
            </w:r>
          </w:p>
        </w:tc>
      </w:tr>
      <w:tr w14:paraId="64D30F4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15" w:type="dxa"/>
            <w:vMerge w:val="continue"/>
            <w:noWrap/>
            <w:vAlign w:val="center"/>
          </w:tcPr>
          <w:p w14:paraId="014E096B">
            <w:pPr>
              <w:pStyle w:val="179"/>
              <w:widowControl w:val="0"/>
              <w:rPr>
                <w:rFonts w:cs="Times New Roman"/>
              </w:rPr>
            </w:pPr>
          </w:p>
        </w:tc>
        <w:tc>
          <w:tcPr>
            <w:tcW w:w="846" w:type="dxa"/>
            <w:vMerge w:val="continue"/>
            <w:noWrap/>
            <w:vAlign w:val="center"/>
          </w:tcPr>
          <w:p w14:paraId="289F48F9">
            <w:pPr>
              <w:pStyle w:val="179"/>
              <w:widowControl w:val="0"/>
              <w:rPr>
                <w:rFonts w:cs="Times New Roman"/>
              </w:rPr>
            </w:pPr>
          </w:p>
        </w:tc>
        <w:tc>
          <w:tcPr>
            <w:tcW w:w="3844" w:type="dxa"/>
            <w:noWrap/>
            <w:vAlign w:val="center"/>
          </w:tcPr>
          <w:p w14:paraId="56F0622A">
            <w:pPr>
              <w:pStyle w:val="179"/>
              <w:widowControl w:val="0"/>
              <w:rPr>
                <w:rFonts w:cs="Times New Roman"/>
              </w:rPr>
            </w:pPr>
            <w:r>
              <w:rPr>
                <w:rFonts w:cs="Times New Roman"/>
              </w:rPr>
              <w:t>增强生物多样性维护能力。在生物多样性维护生态功能保护区内，采取严格的保护措施，构建生态走廊，防止人为破坏，促进自然生态系统的恢复。对于生境遭受严重破坏的地区，采用生物措施和工程措施相结合的方式，积极恢复自然生境，建立野生动植物救护中心和繁育基地。禁止滥捕、乱采、乱猎等行为，加强外来入侵物种管理。</w:t>
            </w:r>
          </w:p>
        </w:tc>
        <w:tc>
          <w:tcPr>
            <w:tcW w:w="2760" w:type="dxa"/>
            <w:noWrap/>
            <w:vAlign w:val="center"/>
          </w:tcPr>
          <w:p w14:paraId="5B93514C">
            <w:pPr>
              <w:pStyle w:val="179"/>
              <w:widowControl w:val="0"/>
              <w:rPr>
                <w:rFonts w:cs="Times New Roman"/>
              </w:rPr>
            </w:pPr>
            <w:r>
              <w:rPr>
                <w:rFonts w:cs="Times New Roman"/>
              </w:rPr>
              <w:t>本项目按照植被恢复方案及时进行植被恢复，恢复草种选用本地普遍种，不引进外来物种。禁止滥捕、乱采、乱猎等行为。</w:t>
            </w:r>
          </w:p>
        </w:tc>
        <w:tc>
          <w:tcPr>
            <w:tcW w:w="1020" w:type="dxa"/>
            <w:noWrap/>
            <w:vAlign w:val="center"/>
          </w:tcPr>
          <w:p w14:paraId="48384AEB">
            <w:pPr>
              <w:pStyle w:val="179"/>
              <w:widowControl w:val="0"/>
              <w:rPr>
                <w:rFonts w:cs="Times New Roman"/>
              </w:rPr>
            </w:pPr>
            <w:r>
              <w:rPr>
                <w:rFonts w:cs="Times New Roman"/>
              </w:rPr>
              <w:t>符合</w:t>
            </w:r>
          </w:p>
        </w:tc>
      </w:tr>
    </w:tbl>
    <w:p w14:paraId="0CA623BE">
      <w:pPr>
        <w:ind w:firstLine="480"/>
        <w:rPr>
          <w:rFonts w:hAnsi="Times New Roman" w:cs="Times New Roman"/>
        </w:rPr>
      </w:pPr>
      <w:r>
        <w:rPr>
          <w:rFonts w:hAnsi="Times New Roman" w:cs="Times New Roman"/>
        </w:rPr>
        <w:t>通过以上分析，本项目符合《国家重点生态功能保护区规划纲要》管控要求。</w:t>
      </w:r>
    </w:p>
    <w:p w14:paraId="5F799DC8">
      <w:pPr>
        <w:pStyle w:val="5"/>
        <w:spacing w:before="120" w:after="120"/>
      </w:pPr>
      <w:r>
        <w:t>与主体功能区规划等空间准入的符合性分析</w:t>
      </w:r>
    </w:p>
    <w:p w14:paraId="0604CCE2">
      <w:pPr>
        <w:ind w:firstLine="482"/>
        <w:rPr>
          <w:rFonts w:hAnsi="Times New Roman" w:cs="Times New Roman"/>
          <w:b/>
        </w:rPr>
      </w:pPr>
      <w:r>
        <w:rPr>
          <w:rFonts w:hAnsi="Times New Roman" w:cs="Times New Roman"/>
          <w:b/>
        </w:rPr>
        <w:t>1、与《黑龙江省主体功能区规划》的符合性分析</w:t>
      </w:r>
    </w:p>
    <w:p w14:paraId="7A6585DF">
      <w:pPr>
        <w:ind w:firstLine="480"/>
        <w:rPr>
          <w:rFonts w:hAnsi="Times New Roman" w:cs="Times New Roman"/>
        </w:rPr>
      </w:pPr>
      <w:r>
        <w:rPr>
          <w:rFonts w:hAnsi="Times New Roman" w:cs="Times New Roman"/>
        </w:rPr>
        <w:t>《黑龙江省主体功能区规划》中指出：大小兴安岭森林生态功能区为全省限制开发区域中的水源涵养型国家重点生态功能区。水源涵养型重点生态功能区需加强生态环境保护，促进生态修复，禁止非保护性采伐，力争全面停止主伐，植树造林，涵养水源，开展以中幼林抚育为重点的森林抚育经营，保护野生动物；在资源环境可承载的范围内，适度开发林木和水资源，科学有序开发矿产资源。</w:t>
      </w:r>
    </w:p>
    <w:p w14:paraId="16614BD2">
      <w:pPr>
        <w:ind w:firstLine="480"/>
        <w:rPr>
          <w:rFonts w:hAnsi="Times New Roman" w:cs="Times New Roman"/>
        </w:rPr>
      </w:pPr>
      <w:r>
        <w:rPr>
          <w:rFonts w:hAnsi="Times New Roman" w:cs="Times New Roman"/>
        </w:rPr>
        <w:t>能源与资源：位于限制开发区域的重点生态功能区的能源和矿产资源，在进行点状开发时，必须进行生态环境影响评估。尽可能减少对生态空间的占用，并同步修复生态环境。其中，在水资源严重短缺、环境容量很小、生态十分脆弱的地区，要严格控制能源和矿产资源开发。</w:t>
      </w:r>
    </w:p>
    <w:p w14:paraId="5E935EC2">
      <w:pPr>
        <w:ind w:firstLine="480"/>
        <w:rPr>
          <w:rFonts w:hAnsi="Times New Roman" w:cs="Times New Roman"/>
        </w:rPr>
      </w:pPr>
      <w:r>
        <w:rPr>
          <w:rFonts w:hAnsi="Times New Roman" w:cs="Times New Roman"/>
        </w:rPr>
        <w:t>在不损害生态功能前提下，在重点生态 功能区内资源环境承载能力相对较强的特定区域，支持其因地制宜适度发展能源和矿产资源开发利用相关产业。资源环境承载力弱的矿区，要在区外进行矿产资源的加工利用。</w:t>
      </w:r>
    </w:p>
    <w:p w14:paraId="2FAA1585">
      <w:pPr>
        <w:ind w:firstLine="482"/>
        <w:rPr>
          <w:rFonts w:hAnsi="Times New Roman" w:cs="Times New Roman"/>
        </w:rPr>
      </w:pPr>
      <w:r>
        <w:rPr>
          <w:rFonts w:hAnsi="Times New Roman" w:cs="Times New Roman"/>
          <w:b/>
        </w:rPr>
        <w:t>主要矿产资源开发利用：</w:t>
      </w:r>
      <w:r>
        <w:rPr>
          <w:rFonts w:hAnsi="Times New Roman" w:cs="Times New Roman"/>
        </w:rPr>
        <w:t>以矿产资源分布为基础、市场需求为导向、后续加工为依托，调整开发利用结构，促进矿业振兴。鼓励开采石油、天然气、煤层气、地热、油页岩、铁、铜、铅、锌、岩金、铂、钯、水泥用大理岩、含钾岩石、熔炼水晶、玻璃用硅质原料、珍珠岩、陶粒用原料、岩棉用玄武岩、透辉石岩、饰面石岩等矿产资源；限制开发煤炭、钼、石墨、硅线石、优质沸石、压电水晶、颜料用黄粘土等矿产资源；禁止开采砂金和泥岩。积极发展接续产业，加快资源型城市转型。</w:t>
      </w:r>
    </w:p>
    <w:p w14:paraId="1F201159">
      <w:pPr>
        <w:ind w:firstLine="480"/>
        <w:rPr>
          <w:rFonts w:hAnsi="Times New Roman" w:cs="Times New Roman"/>
        </w:rPr>
      </w:pPr>
      <w:r>
        <w:rPr>
          <w:rFonts w:hAnsi="Times New Roman" w:cs="Times New Roman"/>
        </w:rPr>
        <w:t>本项目位于嫩江市塔溪乡，属于大小兴安岭森林生态功能区，是水源涵养型生态功能区。根据发展方向与功能定位可“科学有序开发矿产资源”。项目占地面积0.1101km</w:t>
      </w:r>
      <w:r>
        <w:rPr>
          <w:rFonts w:hAnsi="Times New Roman" w:cs="Times New Roman"/>
          <w:vertAlign w:val="superscript"/>
        </w:rPr>
        <w:t>2</w:t>
      </w:r>
      <w:r>
        <w:rPr>
          <w:rFonts w:hAnsi="Times New Roman" w:cs="Times New Roman"/>
        </w:rPr>
        <w:t>，占地类型为乔木林地，项目露天开采技术是国内的成熟工艺，该技术安全、可靠，操作单元少，工艺简单。开采的建筑用凝灰岩矿不属于《黑龙江省主体功能区规划》中限制及禁止开采的矿产资源。矿山闭矿时，为保护生态环境，加强水土流失治理，本建设单位根据《矿山地质环境保护与恢复治理方案》进行生态恢复工作，因此，本项目的选址符合《黑龙江省主体功能区规划》的要求。采取生态补偿和恢复措施后，对生态环境的不利影响可以接受。</w:t>
      </w:r>
    </w:p>
    <w:p w14:paraId="011F06BD">
      <w:pPr>
        <w:ind w:firstLine="482"/>
        <w:rPr>
          <w:rFonts w:hAnsi="Times New Roman" w:cs="Times New Roman"/>
          <w:b/>
        </w:rPr>
      </w:pPr>
      <w:r>
        <w:rPr>
          <w:rFonts w:hAnsi="Times New Roman" w:cs="Times New Roman"/>
          <w:b/>
        </w:rPr>
        <w:t>2、与《黑龙江省生态功能区划》的符合性分析</w:t>
      </w:r>
    </w:p>
    <w:p w14:paraId="2B062B90">
      <w:pPr>
        <w:ind w:firstLine="480"/>
        <w:rPr>
          <w:rFonts w:hAnsi="Times New Roman" w:cs="Times New Roman"/>
        </w:rPr>
      </w:pPr>
      <w:r>
        <w:rPr>
          <w:rFonts w:hAnsi="Times New Roman" w:cs="Times New Roman"/>
        </w:rPr>
        <w:t>项目位于嫩江市塔溪乡马厂河北东50m处，属于《黑龙江省生态功能区划》中规定的“Ⅰ-2-1-1小兴安岭嫩江上游水源涵养与农、林业生态功能区”，本项目所在区域所属生态功能区见下表。本区域保护措施与发展方向为“加强天然林保护，扩大经济林的种植面积，加强林业产品科技含量，加大界江国土生态安全保护，发展生态农业 ”。</w:t>
      </w:r>
    </w:p>
    <w:p w14:paraId="0D810A0F">
      <w:pPr>
        <w:ind w:firstLine="480"/>
        <w:rPr>
          <w:rFonts w:hAnsi="Times New Roman" w:cs="Times New Roman"/>
        </w:rPr>
      </w:pPr>
    </w:p>
    <w:p w14:paraId="16C97D75">
      <w:pPr>
        <w:pStyle w:val="178"/>
        <w:rPr>
          <w:rFonts w:ascii="Times New Roman" w:hAnsi="Times New Roman"/>
        </w:rPr>
      </w:pPr>
      <w:r>
        <w:rPr>
          <w:rFonts w:ascii="Times New Roman"/>
        </w:rPr>
        <w:t>表</w:t>
      </w:r>
      <w:r>
        <w:rPr>
          <w:rFonts w:ascii="Times New Roman" w:hAnsi="Times New Roman"/>
        </w:rPr>
        <w:t>1.4-</w:t>
      </w:r>
      <w:r>
        <w:rPr>
          <w:rFonts w:hint="eastAsia" w:ascii="Times New Roman" w:hAnsi="Times New Roman"/>
        </w:rPr>
        <w:t>2</w:t>
      </w:r>
      <w:r>
        <w:rPr>
          <w:rFonts w:ascii="Times New Roman"/>
        </w:rPr>
        <w:t>本项目所在区域在黑龙江省生态功能区划表</w:t>
      </w:r>
    </w:p>
    <w:p w14:paraId="0895CF40">
      <w:pPr>
        <w:topLinePunct/>
        <w:spacing w:line="126" w:lineRule="auto"/>
        <w:ind w:firstLine="40"/>
        <w:rPr>
          <w:rFonts w:hAnsi="Times New Roman" w:cs="Times New Roman"/>
          <w:sz w:val="2"/>
        </w:rPr>
      </w:pPr>
    </w:p>
    <w:tbl>
      <w:tblPr>
        <w:tblStyle w:val="36"/>
        <w:tblW w:w="8505"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57" w:type="dxa"/>
          <w:bottom w:w="0" w:type="dxa"/>
          <w:right w:w="57" w:type="dxa"/>
        </w:tblCellMar>
      </w:tblPr>
      <w:tblGrid>
        <w:gridCol w:w="881"/>
        <w:gridCol w:w="772"/>
        <w:gridCol w:w="1129"/>
        <w:gridCol w:w="1143"/>
        <w:gridCol w:w="1072"/>
        <w:gridCol w:w="966"/>
        <w:gridCol w:w="1077"/>
        <w:gridCol w:w="1465"/>
      </w:tblGrid>
      <w:tr w14:paraId="4F93517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57" w:type="dxa"/>
            <w:bottom w:w="0" w:type="dxa"/>
            <w:right w:w="57" w:type="dxa"/>
          </w:tblCellMar>
        </w:tblPrEx>
        <w:trPr>
          <w:trHeight w:val="340" w:hRule="atLeast"/>
          <w:tblHeader/>
          <w:jc w:val="center"/>
        </w:trPr>
        <w:tc>
          <w:tcPr>
            <w:tcW w:w="1636" w:type="pct"/>
            <w:gridSpan w:val="3"/>
            <w:tcBorders>
              <w:top w:val="single" w:color="auto" w:sz="12" w:space="0"/>
              <w:left w:val="single" w:color="auto" w:sz="12" w:space="0"/>
            </w:tcBorders>
            <w:vAlign w:val="center"/>
          </w:tcPr>
          <w:p w14:paraId="0118FF8B">
            <w:pPr>
              <w:pStyle w:val="179"/>
              <w:rPr>
                <w:rFonts w:cs="Times New Roman"/>
                <w:b/>
              </w:rPr>
            </w:pPr>
            <w:r>
              <w:rPr>
                <w:rFonts w:cs="Times New Roman"/>
                <w:b/>
              </w:rPr>
              <w:t>生态功能分区单元</w:t>
            </w:r>
          </w:p>
        </w:tc>
        <w:tc>
          <w:tcPr>
            <w:tcW w:w="672" w:type="pct"/>
            <w:vMerge w:val="restart"/>
            <w:tcBorders>
              <w:top w:val="single" w:color="auto" w:sz="12" w:space="0"/>
              <w:bottom w:val="nil"/>
            </w:tcBorders>
            <w:vAlign w:val="center"/>
          </w:tcPr>
          <w:p w14:paraId="4AB6A31F">
            <w:pPr>
              <w:pStyle w:val="179"/>
              <w:rPr>
                <w:rFonts w:cs="Times New Roman"/>
                <w:b/>
              </w:rPr>
            </w:pPr>
            <w:r>
              <w:rPr>
                <w:rFonts w:cs="Times New Roman"/>
                <w:b/>
              </w:rPr>
              <w:t>所在区域面积</w:t>
            </w:r>
          </w:p>
        </w:tc>
        <w:tc>
          <w:tcPr>
            <w:tcW w:w="630" w:type="pct"/>
            <w:vMerge w:val="restart"/>
            <w:tcBorders>
              <w:top w:val="single" w:color="auto" w:sz="12" w:space="0"/>
              <w:bottom w:val="nil"/>
            </w:tcBorders>
            <w:vAlign w:val="center"/>
          </w:tcPr>
          <w:p w14:paraId="14DE5D7D">
            <w:pPr>
              <w:pStyle w:val="179"/>
              <w:rPr>
                <w:rFonts w:cs="Times New Roman"/>
                <w:b/>
              </w:rPr>
            </w:pPr>
            <w:r>
              <w:rPr>
                <w:rFonts w:cs="Times New Roman"/>
                <w:b/>
              </w:rPr>
              <w:t>主要生态环境问题</w:t>
            </w:r>
          </w:p>
        </w:tc>
        <w:tc>
          <w:tcPr>
            <w:tcW w:w="568" w:type="pct"/>
            <w:vMerge w:val="restart"/>
            <w:tcBorders>
              <w:top w:val="single" w:color="auto" w:sz="12" w:space="0"/>
              <w:bottom w:val="nil"/>
            </w:tcBorders>
            <w:vAlign w:val="center"/>
          </w:tcPr>
          <w:p w14:paraId="49FE1FE3">
            <w:pPr>
              <w:pStyle w:val="179"/>
              <w:rPr>
                <w:rFonts w:cs="Times New Roman"/>
                <w:b/>
              </w:rPr>
            </w:pPr>
            <w:r>
              <w:rPr>
                <w:rFonts w:cs="Times New Roman"/>
                <w:b/>
              </w:rPr>
              <w:t>生态环境敏感性</w:t>
            </w:r>
          </w:p>
        </w:tc>
        <w:tc>
          <w:tcPr>
            <w:tcW w:w="633" w:type="pct"/>
            <w:vMerge w:val="restart"/>
            <w:tcBorders>
              <w:top w:val="single" w:color="auto" w:sz="12" w:space="0"/>
              <w:bottom w:val="nil"/>
            </w:tcBorders>
            <w:vAlign w:val="center"/>
          </w:tcPr>
          <w:p w14:paraId="3BF51A79">
            <w:pPr>
              <w:pStyle w:val="179"/>
              <w:rPr>
                <w:rFonts w:cs="Times New Roman"/>
                <w:b/>
              </w:rPr>
            </w:pPr>
            <w:r>
              <w:rPr>
                <w:rFonts w:cs="Times New Roman"/>
                <w:b/>
              </w:rPr>
              <w:t>主要生态系统服务功能</w:t>
            </w:r>
          </w:p>
        </w:tc>
        <w:tc>
          <w:tcPr>
            <w:tcW w:w="862" w:type="pct"/>
            <w:vMerge w:val="restart"/>
            <w:tcBorders>
              <w:top w:val="single" w:color="auto" w:sz="12" w:space="0"/>
              <w:bottom w:val="nil"/>
              <w:right w:val="single" w:color="auto" w:sz="12" w:space="0"/>
            </w:tcBorders>
            <w:vAlign w:val="center"/>
          </w:tcPr>
          <w:p w14:paraId="1EEA31E4">
            <w:pPr>
              <w:pStyle w:val="179"/>
              <w:rPr>
                <w:rFonts w:cs="Times New Roman"/>
                <w:b/>
              </w:rPr>
            </w:pPr>
            <w:r>
              <w:rPr>
                <w:rFonts w:cs="Times New Roman"/>
                <w:b/>
              </w:rPr>
              <w:t>保护措施与发展方向</w:t>
            </w:r>
          </w:p>
        </w:tc>
      </w:tr>
      <w:tr w14:paraId="0D8747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57" w:type="dxa"/>
            <w:bottom w:w="0" w:type="dxa"/>
            <w:right w:w="57" w:type="dxa"/>
          </w:tblCellMar>
        </w:tblPrEx>
        <w:trPr>
          <w:trHeight w:val="340" w:hRule="atLeast"/>
          <w:tblHeader/>
          <w:jc w:val="center"/>
        </w:trPr>
        <w:tc>
          <w:tcPr>
            <w:tcW w:w="518" w:type="pct"/>
            <w:tcBorders>
              <w:left w:val="single" w:color="auto" w:sz="12" w:space="0"/>
            </w:tcBorders>
            <w:vAlign w:val="center"/>
          </w:tcPr>
          <w:p w14:paraId="11374A6E">
            <w:pPr>
              <w:pStyle w:val="179"/>
              <w:rPr>
                <w:rFonts w:cs="Times New Roman"/>
                <w:b/>
              </w:rPr>
            </w:pPr>
            <w:r>
              <w:rPr>
                <w:rFonts w:cs="Times New Roman"/>
                <w:b/>
              </w:rPr>
              <w:t>生态区</w:t>
            </w:r>
          </w:p>
        </w:tc>
        <w:tc>
          <w:tcPr>
            <w:tcW w:w="454" w:type="pct"/>
            <w:vAlign w:val="center"/>
          </w:tcPr>
          <w:p w14:paraId="5DFC1EBE">
            <w:pPr>
              <w:pStyle w:val="179"/>
              <w:rPr>
                <w:rFonts w:cs="Times New Roman"/>
                <w:b/>
              </w:rPr>
            </w:pPr>
            <w:r>
              <w:rPr>
                <w:rFonts w:cs="Times New Roman"/>
                <w:b/>
              </w:rPr>
              <w:t>生态亚区</w:t>
            </w:r>
          </w:p>
        </w:tc>
        <w:tc>
          <w:tcPr>
            <w:tcW w:w="664" w:type="pct"/>
            <w:vAlign w:val="center"/>
          </w:tcPr>
          <w:p w14:paraId="6656CB62">
            <w:pPr>
              <w:pStyle w:val="179"/>
              <w:rPr>
                <w:rFonts w:cs="Times New Roman"/>
                <w:b/>
              </w:rPr>
            </w:pPr>
            <w:r>
              <w:rPr>
                <w:rFonts w:cs="Times New Roman"/>
                <w:b/>
              </w:rPr>
              <w:t>生态功能区</w:t>
            </w:r>
          </w:p>
        </w:tc>
        <w:tc>
          <w:tcPr>
            <w:tcW w:w="672" w:type="pct"/>
            <w:vMerge w:val="continue"/>
            <w:tcBorders>
              <w:top w:val="nil"/>
            </w:tcBorders>
            <w:vAlign w:val="center"/>
          </w:tcPr>
          <w:p w14:paraId="593CE5A0">
            <w:pPr>
              <w:pStyle w:val="179"/>
              <w:rPr>
                <w:rFonts w:cs="Times New Roman"/>
                <w:b/>
              </w:rPr>
            </w:pPr>
          </w:p>
        </w:tc>
        <w:tc>
          <w:tcPr>
            <w:tcW w:w="630" w:type="pct"/>
            <w:vMerge w:val="continue"/>
            <w:tcBorders>
              <w:top w:val="nil"/>
            </w:tcBorders>
            <w:vAlign w:val="center"/>
          </w:tcPr>
          <w:p w14:paraId="602B6205">
            <w:pPr>
              <w:pStyle w:val="179"/>
              <w:rPr>
                <w:rFonts w:cs="Times New Roman"/>
                <w:b/>
              </w:rPr>
            </w:pPr>
          </w:p>
        </w:tc>
        <w:tc>
          <w:tcPr>
            <w:tcW w:w="568" w:type="pct"/>
            <w:vMerge w:val="continue"/>
            <w:tcBorders>
              <w:top w:val="nil"/>
            </w:tcBorders>
            <w:vAlign w:val="center"/>
          </w:tcPr>
          <w:p w14:paraId="687C841D">
            <w:pPr>
              <w:pStyle w:val="179"/>
              <w:rPr>
                <w:rFonts w:cs="Times New Roman"/>
                <w:b/>
              </w:rPr>
            </w:pPr>
          </w:p>
        </w:tc>
        <w:tc>
          <w:tcPr>
            <w:tcW w:w="633" w:type="pct"/>
            <w:vMerge w:val="continue"/>
            <w:tcBorders>
              <w:top w:val="nil"/>
            </w:tcBorders>
            <w:vAlign w:val="center"/>
          </w:tcPr>
          <w:p w14:paraId="2105CF42">
            <w:pPr>
              <w:pStyle w:val="179"/>
              <w:rPr>
                <w:rFonts w:cs="Times New Roman"/>
                <w:b/>
              </w:rPr>
            </w:pPr>
          </w:p>
        </w:tc>
        <w:tc>
          <w:tcPr>
            <w:tcW w:w="862" w:type="pct"/>
            <w:vMerge w:val="continue"/>
            <w:tcBorders>
              <w:top w:val="nil"/>
              <w:right w:val="single" w:color="auto" w:sz="12" w:space="0"/>
            </w:tcBorders>
            <w:vAlign w:val="center"/>
          </w:tcPr>
          <w:p w14:paraId="2ED74F81">
            <w:pPr>
              <w:pStyle w:val="179"/>
              <w:rPr>
                <w:rFonts w:cs="Times New Roman"/>
                <w:b/>
              </w:rPr>
            </w:pPr>
          </w:p>
        </w:tc>
      </w:tr>
      <w:tr w14:paraId="5EB20DE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57" w:type="dxa"/>
            <w:bottom w:w="0" w:type="dxa"/>
            <w:right w:w="57" w:type="dxa"/>
          </w:tblCellMar>
        </w:tblPrEx>
        <w:trPr>
          <w:trHeight w:val="340" w:hRule="atLeast"/>
          <w:jc w:val="center"/>
        </w:trPr>
        <w:tc>
          <w:tcPr>
            <w:tcW w:w="518" w:type="pct"/>
            <w:tcBorders>
              <w:left w:val="single" w:color="auto" w:sz="12" w:space="0"/>
              <w:bottom w:val="single" w:color="auto" w:sz="12" w:space="0"/>
            </w:tcBorders>
            <w:vAlign w:val="center"/>
          </w:tcPr>
          <w:p w14:paraId="6FE6B8C7">
            <w:pPr>
              <w:pStyle w:val="179"/>
              <w:rPr>
                <w:rFonts w:cs="Times New Roman"/>
              </w:rPr>
            </w:pPr>
            <w:r>
              <w:rPr>
                <w:rFonts w:cs="Times New Roman"/>
              </w:rPr>
              <w:t>I-2小兴安岭山地针阔混交林生态区</w:t>
            </w:r>
          </w:p>
        </w:tc>
        <w:tc>
          <w:tcPr>
            <w:tcW w:w="454" w:type="pct"/>
            <w:tcBorders>
              <w:bottom w:val="single" w:color="auto" w:sz="12" w:space="0"/>
            </w:tcBorders>
            <w:vAlign w:val="center"/>
          </w:tcPr>
          <w:p w14:paraId="34AF87E4">
            <w:pPr>
              <w:pStyle w:val="179"/>
              <w:rPr>
                <w:rFonts w:cs="Times New Roman"/>
              </w:rPr>
            </w:pPr>
            <w:r>
              <w:rPr>
                <w:rFonts w:cs="Times New Roman"/>
              </w:rPr>
              <w:t>I-2-1小兴安岭北部阔叶混交林与农业生态亚区</w:t>
            </w:r>
          </w:p>
        </w:tc>
        <w:tc>
          <w:tcPr>
            <w:tcW w:w="664" w:type="pct"/>
            <w:tcBorders>
              <w:bottom w:val="single" w:color="auto" w:sz="12" w:space="0"/>
            </w:tcBorders>
            <w:vAlign w:val="center"/>
          </w:tcPr>
          <w:p w14:paraId="168A3EA1">
            <w:pPr>
              <w:pStyle w:val="179"/>
              <w:rPr>
                <w:rFonts w:cs="Times New Roman"/>
              </w:rPr>
            </w:pPr>
            <w:r>
              <w:rPr>
                <w:rFonts w:cs="Times New Roman"/>
              </w:rPr>
              <w:t>Ⅰ—2—1—1小兴安岭嫩江上游水源涵养与农、林业生态功能区</w:t>
            </w:r>
          </w:p>
        </w:tc>
        <w:tc>
          <w:tcPr>
            <w:tcW w:w="672" w:type="pct"/>
            <w:tcBorders>
              <w:bottom w:val="single" w:color="auto" w:sz="12" w:space="0"/>
            </w:tcBorders>
            <w:vAlign w:val="center"/>
          </w:tcPr>
          <w:p w14:paraId="2E5E60B4">
            <w:pPr>
              <w:pStyle w:val="179"/>
              <w:rPr>
                <w:rFonts w:cs="Times New Roman"/>
              </w:rPr>
            </w:pPr>
            <w:r>
              <w:rPr>
                <w:rFonts w:cs="Times New Roman"/>
              </w:rPr>
              <w:t>嫩江市北部、黑河市西部和五大连池市北部的一小部分组成，面积13916平方公里</w:t>
            </w:r>
          </w:p>
        </w:tc>
        <w:tc>
          <w:tcPr>
            <w:tcW w:w="630" w:type="pct"/>
            <w:tcBorders>
              <w:bottom w:val="single" w:color="auto" w:sz="12" w:space="0"/>
            </w:tcBorders>
            <w:vAlign w:val="center"/>
          </w:tcPr>
          <w:p w14:paraId="2A6EF0C4">
            <w:pPr>
              <w:pStyle w:val="179"/>
              <w:rPr>
                <w:rFonts w:cs="Times New Roman"/>
              </w:rPr>
            </w:pPr>
            <w:r>
              <w:rPr>
                <w:rFonts w:cs="Times New Roman"/>
              </w:rPr>
              <w:t>以天然次生林为主，森林生态系统功能减弱；易发生水土流失，造成下游江河和水库淤积</w:t>
            </w:r>
          </w:p>
        </w:tc>
        <w:tc>
          <w:tcPr>
            <w:tcW w:w="568" w:type="pct"/>
            <w:tcBorders>
              <w:bottom w:val="single" w:color="auto" w:sz="12" w:space="0"/>
            </w:tcBorders>
            <w:vAlign w:val="center"/>
          </w:tcPr>
          <w:p w14:paraId="5F174581">
            <w:pPr>
              <w:pStyle w:val="179"/>
              <w:rPr>
                <w:rFonts w:cs="Times New Roman"/>
              </w:rPr>
            </w:pPr>
            <w:r>
              <w:rPr>
                <w:rFonts w:cs="Times New Roman"/>
              </w:rPr>
              <w:t>大部地区冻融侵蚀为中度敏感；大部地区生物多样性敏感性为高度敏感</w:t>
            </w:r>
          </w:p>
        </w:tc>
        <w:tc>
          <w:tcPr>
            <w:tcW w:w="633" w:type="pct"/>
            <w:tcBorders>
              <w:bottom w:val="single" w:color="auto" w:sz="12" w:space="0"/>
            </w:tcBorders>
            <w:vAlign w:val="center"/>
          </w:tcPr>
          <w:p w14:paraId="008963E6">
            <w:pPr>
              <w:pStyle w:val="179"/>
              <w:rPr>
                <w:rFonts w:cs="Times New Roman"/>
              </w:rPr>
            </w:pPr>
            <w:r>
              <w:rPr>
                <w:rFonts w:cs="Times New Roman"/>
              </w:rPr>
              <w:t>水源涵养、土壤保持、生物多样性保护、农业生产</w:t>
            </w:r>
          </w:p>
        </w:tc>
        <w:tc>
          <w:tcPr>
            <w:tcW w:w="862" w:type="pct"/>
            <w:tcBorders>
              <w:bottom w:val="single" w:color="auto" w:sz="12" w:space="0"/>
              <w:right w:val="single" w:color="auto" w:sz="12" w:space="0"/>
            </w:tcBorders>
            <w:vAlign w:val="center"/>
          </w:tcPr>
          <w:p w14:paraId="34907874">
            <w:pPr>
              <w:pStyle w:val="179"/>
              <w:rPr>
                <w:rFonts w:cs="Times New Roman"/>
              </w:rPr>
            </w:pPr>
            <w:r>
              <w:rPr>
                <w:rFonts w:cs="Times New Roman"/>
              </w:rPr>
              <w:t>加强天然林的保护，促进森林生态系统与森林资源的恢复，以林荒地发展人工林，保护水资源，适度发展生态农业</w:t>
            </w:r>
          </w:p>
        </w:tc>
      </w:tr>
    </w:tbl>
    <w:p w14:paraId="4FBAC3E2">
      <w:pPr>
        <w:ind w:firstLine="480"/>
        <w:rPr>
          <w:rFonts w:hAnsi="Times New Roman" w:cs="Times New Roman"/>
        </w:rPr>
      </w:pPr>
      <w:r>
        <w:rPr>
          <w:rFonts w:hAnsi="Times New Roman" w:cs="Times New Roman"/>
        </w:rPr>
        <w:t>本项目为矿产资源开发与利用，矿山开采方式为露天开采，矿区占地类型为林地，在服务期满后，对本项目占地进行生态恢复和土地复垦。项目建设在短期内会对生态环境产生不利影响，但通过采取生态恢复措施，可以减轻工程建设对生态环境的不利影响，通过人工恢复后，不会加重区域的生态环境问题，本项目符合《黑龙江省生态功能区划》要求。</w:t>
      </w:r>
    </w:p>
    <w:p w14:paraId="2317DE4F">
      <w:pPr>
        <w:ind w:firstLine="482"/>
        <w:rPr>
          <w:rFonts w:hAnsi="Times New Roman" w:cs="Times New Roman"/>
          <w:b/>
        </w:rPr>
      </w:pPr>
      <w:r>
        <w:rPr>
          <w:rFonts w:hAnsi="Times New Roman" w:cs="Times New Roman"/>
          <w:b/>
        </w:rPr>
        <w:t>3、与《黑龙江省重点生态功能区产业准入负面清单（试行版）》的符合性分析</w:t>
      </w:r>
    </w:p>
    <w:p w14:paraId="251B10CA">
      <w:pPr>
        <w:ind w:firstLine="480"/>
        <w:rPr>
          <w:rFonts w:hAnsi="Times New Roman" w:cs="Times New Roman"/>
        </w:rPr>
      </w:pPr>
      <w:r>
        <w:rPr>
          <w:rFonts w:hAnsi="Times New Roman" w:cs="Times New Roman"/>
        </w:rPr>
        <w:t>根据《黑龙江省重点生态功能区产业准入负面清单（试行版）》中21.嫩江县产业准入负面清单，B、采矿业1019粘土及其他土砂石开采管控要求为：1、不允许在城区，二级道路、省道、国道及高速公路两侧可视范围内，以及河道两侧等水土流失重点防控区开采土砂石。2、不允许在25度以上坡度和基本农田、河道等范围内进行粘土开采。</w:t>
      </w:r>
    </w:p>
    <w:p w14:paraId="5D82DDEF">
      <w:pPr>
        <w:ind w:firstLine="480"/>
        <w:rPr>
          <w:rFonts w:hAnsi="Times New Roman" w:cs="Times New Roman"/>
        </w:rPr>
      </w:pPr>
      <w:r>
        <w:rPr>
          <w:rFonts w:hAnsi="Times New Roman" w:cs="Times New Roman"/>
        </w:rPr>
        <w:t>嫩江市塔溪乡马厂河北东50m处，距离北侧省道最近距离为3.7km，占地类型为林地。项目不位于城区，二级道路、省道、国道及高速公路两侧可视范围内，也不位于河道两侧等水土流失重点防控区，不涉及基本农田，项目建设符合《黑龙江省重点生态功能区产业准入负面清单（试行版）》要求。</w:t>
      </w:r>
    </w:p>
    <w:p w14:paraId="0BA843D8">
      <w:pPr>
        <w:pStyle w:val="5"/>
        <w:spacing w:before="120" w:after="120"/>
      </w:pPr>
      <w:r>
        <w:t>与相关规划符合性分析</w:t>
      </w:r>
    </w:p>
    <w:p w14:paraId="110E800E">
      <w:pPr>
        <w:ind w:firstLine="482"/>
        <w:rPr>
          <w:rFonts w:hAnsi="Times New Roman" w:cs="Times New Roman"/>
          <w:b/>
        </w:rPr>
      </w:pPr>
      <w:r>
        <w:rPr>
          <w:rFonts w:hAnsi="Times New Roman" w:cs="Times New Roman"/>
          <w:b/>
        </w:rPr>
        <w:t>1、与《黑龙江省矿产资源总体规划（2021—2025年）》的符合性分析</w:t>
      </w:r>
    </w:p>
    <w:p w14:paraId="778E2D5F">
      <w:pPr>
        <w:ind w:firstLine="482"/>
        <w:rPr>
          <w:rFonts w:hAnsi="Times New Roman" w:cs="Times New Roman"/>
          <w:b/>
        </w:rPr>
      </w:pPr>
      <w:r>
        <w:rPr>
          <w:rFonts w:hAnsi="Times New Roman" w:cs="Times New Roman"/>
          <w:b/>
        </w:rPr>
        <w:t>（1）与《黑龙江省矿产资源总体规划（2021—2025年）》的符合性</w:t>
      </w:r>
    </w:p>
    <w:p w14:paraId="5869CB4B">
      <w:pPr>
        <w:ind w:firstLine="480"/>
        <w:rPr>
          <w:rFonts w:hAnsi="Times New Roman" w:cs="Times New Roman"/>
        </w:rPr>
      </w:pPr>
      <w:r>
        <w:rPr>
          <w:rFonts w:hAnsi="Times New Roman" w:cs="Times New Roman"/>
        </w:rPr>
        <w:t>根据《黑龙江省矿产资源总体规划（2021~2025）》“</w:t>
      </w:r>
      <w:r>
        <w:rPr>
          <w:rFonts w:hAnsi="Times New Roman" w:cs="Times New Roman"/>
          <w:b/>
        </w:rPr>
        <w:t>第五章 开发利用与资源保护</w:t>
      </w:r>
      <w:r>
        <w:rPr>
          <w:rFonts w:hAnsi="Times New Roman" w:cs="Times New Roman"/>
        </w:rPr>
        <w:t>”中“</w:t>
      </w:r>
      <w:r>
        <w:rPr>
          <w:rFonts w:hAnsi="Times New Roman" w:cs="Times New Roman"/>
          <w:b/>
        </w:rPr>
        <w:t>四、矿产资源开发管理</w:t>
      </w:r>
      <w:r>
        <w:rPr>
          <w:rFonts w:hAnsi="Times New Roman" w:cs="Times New Roman"/>
        </w:rPr>
        <w:t>”的相关要求：</w:t>
      </w:r>
    </w:p>
    <w:p w14:paraId="183D4A72">
      <w:pPr>
        <w:ind w:firstLine="482"/>
        <w:rPr>
          <w:rFonts w:hAnsi="Times New Roman" w:cs="Times New Roman"/>
          <w:b/>
        </w:rPr>
      </w:pPr>
      <w:r>
        <w:rPr>
          <w:rFonts w:hAnsi="Times New Roman" w:cs="Times New Roman"/>
          <w:b/>
        </w:rPr>
        <w:t>（一）全面加强规划管控</w:t>
      </w:r>
    </w:p>
    <w:p w14:paraId="131F9347">
      <w:pPr>
        <w:ind w:firstLine="480"/>
        <w:rPr>
          <w:rFonts w:hAnsi="Times New Roman" w:cs="Times New Roman"/>
        </w:rPr>
      </w:pPr>
      <w:r>
        <w:rPr>
          <w:rFonts w:hAnsi="Times New Roman" w:cs="Times New Roman"/>
        </w:rPr>
        <w:t>全面落实生态文明建设要求，充分发挥国土空间规划、矿产资源规划、各级各类保护区管控作用，优先保障生态安全。拟出让矿业权项目报同级人民政府同意，由政府组织自然资源、生态环境等相关部门联合审查，共同会商，经现场踏查依法依规据实划定开采范围。</w:t>
      </w:r>
    </w:p>
    <w:p w14:paraId="4E0DE100">
      <w:pPr>
        <w:ind w:firstLine="482"/>
        <w:rPr>
          <w:rFonts w:hAnsi="Times New Roman" w:cs="Times New Roman"/>
          <w:b/>
        </w:rPr>
      </w:pPr>
      <w:r>
        <w:rPr>
          <w:rFonts w:hAnsi="Times New Roman" w:cs="Times New Roman"/>
          <w:b/>
        </w:rPr>
        <w:t>（二）严格矿权出让管理</w:t>
      </w:r>
    </w:p>
    <w:p w14:paraId="43BD6E6F">
      <w:pPr>
        <w:ind w:firstLine="480"/>
        <w:rPr>
          <w:rFonts w:hAnsi="Times New Roman" w:cs="Times New Roman"/>
        </w:rPr>
      </w:pPr>
      <w:r>
        <w:rPr>
          <w:rFonts w:hAnsi="Times New Roman" w:cs="Times New Roman"/>
        </w:rPr>
        <w:t>全面推进矿业权市场化进程，完善矿业权出让及合同管理，矿业权出让原则上以招标、拍卖、挂牌等市场竞争方式为主，纳入全省统一的公共资源交易平台交易。健全完善“政府主导、部门协作、市场决定、科学配置”的矿产资源“净矿”出让制度，有序开展普通建筑用砂石土、大理岩、煤的“净矿”出让试点工作。</w:t>
      </w:r>
    </w:p>
    <w:p w14:paraId="2E5445D9">
      <w:pPr>
        <w:ind w:firstLine="482"/>
        <w:rPr>
          <w:rFonts w:hAnsi="Times New Roman" w:cs="Times New Roman"/>
          <w:b/>
        </w:rPr>
      </w:pPr>
      <w:r>
        <w:rPr>
          <w:rFonts w:hAnsi="Times New Roman" w:cs="Times New Roman"/>
          <w:b/>
        </w:rPr>
        <w:t>（三）完善依法监管体系</w:t>
      </w:r>
    </w:p>
    <w:p w14:paraId="77B3E147">
      <w:pPr>
        <w:ind w:firstLine="480"/>
        <w:rPr>
          <w:rFonts w:hAnsi="Times New Roman" w:cs="Times New Roman"/>
        </w:rPr>
      </w:pPr>
      <w:r>
        <w:rPr>
          <w:rFonts w:hAnsi="Times New Roman" w:cs="Times New Roman"/>
        </w:rPr>
        <w:t>全面推行“双随机、一公开”制度，建立社会监督、政府抽查、诚信退出相配套的监管体系。加强矿业权人开采活动和履行法定义务的日常监管，加大违法开采行为的惩治力度，明确监管任务，规范监管程序。完善矿业权人勘查开采信息公示制度，强化矿业权人异常名录和严重违法名单管理，严肃查处违法企业，引导形成从业主体自治、行业自律、社会监督、政府监管的格局。</w:t>
      </w:r>
    </w:p>
    <w:p w14:paraId="48BE6EF6">
      <w:pPr>
        <w:ind w:firstLine="482"/>
        <w:rPr>
          <w:rFonts w:hAnsi="Times New Roman" w:cs="Times New Roman"/>
          <w:b/>
        </w:rPr>
      </w:pPr>
      <w:r>
        <w:rPr>
          <w:rFonts w:hAnsi="Times New Roman" w:cs="Times New Roman"/>
          <w:b/>
        </w:rPr>
        <w:t>（四）规范砂石土矿管理</w:t>
      </w:r>
    </w:p>
    <w:p w14:paraId="776380F9">
      <w:pPr>
        <w:ind w:firstLine="480"/>
        <w:rPr>
          <w:rFonts w:hAnsi="Times New Roman" w:cs="Times New Roman"/>
        </w:rPr>
      </w:pPr>
      <w:r>
        <w:rPr>
          <w:rFonts w:hAnsi="Times New Roman" w:cs="Times New Roman"/>
        </w:rPr>
        <w:t>根据经济运输半径、区域供需平衡、重大工程建设等因素，市县级矿产资源规划应有序投放砂石土采矿权，合理设置砂石土集中开采区，优化砂石土开发空间布局，引导集中开采、规模开采、绿色开采，最大限度减轻对生态环境的破坏。积极推进砂源替代利用，鼓励利用废石以及矿山尾矿生产机制砂石。为保障民生，县级矿产资源规划应依法依规合理设置居民自用取料点，建立砂石土矿供需动态调整机制，满足重大工程或应急项目对资源的需求。</w:t>
      </w:r>
    </w:p>
    <w:p w14:paraId="489A4E44">
      <w:pPr>
        <w:ind w:firstLine="480"/>
        <w:rPr>
          <w:rFonts w:hAnsi="Times New Roman" w:cs="Times New Roman"/>
        </w:rPr>
      </w:pPr>
      <w:r>
        <w:rPr>
          <w:rFonts w:hAnsi="Times New Roman" w:cs="Times New Roman"/>
        </w:rPr>
        <w:t xml:space="preserve"> “</w:t>
      </w:r>
      <w:r>
        <w:rPr>
          <w:rFonts w:hAnsi="Times New Roman" w:cs="Times New Roman"/>
          <w:b/>
        </w:rPr>
        <w:t>第七章 生态保护与修复治理</w:t>
      </w:r>
      <w:r>
        <w:rPr>
          <w:rFonts w:hAnsi="Times New Roman" w:cs="Times New Roman"/>
        </w:rPr>
        <w:t>”中要求：</w:t>
      </w:r>
    </w:p>
    <w:p w14:paraId="6C270379">
      <w:pPr>
        <w:ind w:firstLine="482"/>
        <w:rPr>
          <w:rFonts w:hAnsi="Times New Roman" w:cs="Times New Roman"/>
          <w:b/>
        </w:rPr>
      </w:pPr>
      <w:r>
        <w:rPr>
          <w:rFonts w:hAnsi="Times New Roman" w:cs="Times New Roman"/>
          <w:b/>
        </w:rPr>
        <w:t>一、严格新建矿山管理</w:t>
      </w:r>
    </w:p>
    <w:p w14:paraId="725B666F">
      <w:pPr>
        <w:ind w:firstLine="482"/>
        <w:rPr>
          <w:rFonts w:hAnsi="Times New Roman" w:cs="Times New Roman"/>
          <w:b/>
        </w:rPr>
      </w:pPr>
      <w:r>
        <w:rPr>
          <w:rFonts w:hAnsi="Times New Roman" w:cs="Times New Roman"/>
          <w:b/>
        </w:rPr>
        <w:t>（一）强化准入条件</w:t>
      </w:r>
    </w:p>
    <w:p w14:paraId="67B0ADAC">
      <w:pPr>
        <w:ind w:firstLine="480"/>
        <w:rPr>
          <w:rFonts w:hAnsi="Times New Roman" w:cs="Times New Roman"/>
        </w:rPr>
      </w:pPr>
      <w:r>
        <w:rPr>
          <w:rFonts w:hAnsi="Times New Roman" w:cs="Times New Roman"/>
        </w:rPr>
        <w:t>落实《矿山地质环境保护规定》和《黑龙江省地质环境保护条例》相关要求，全面实行矿产资源开发利用方案和矿山地质环境保护与土地复垦方案同步编制、同步审查、同步实施的“三同步”制度和社会公示制度，构建矿山生态保护源头预防、过程控制、采后修复机制。</w:t>
      </w:r>
    </w:p>
    <w:p w14:paraId="2AD3B20F">
      <w:pPr>
        <w:ind w:firstLine="482"/>
        <w:rPr>
          <w:rFonts w:hAnsi="Times New Roman" w:cs="Times New Roman"/>
          <w:b/>
        </w:rPr>
      </w:pPr>
      <w:r>
        <w:rPr>
          <w:rFonts w:hAnsi="Times New Roman" w:cs="Times New Roman"/>
          <w:b/>
        </w:rPr>
        <w:t>（二）严格土地复垦</w:t>
      </w:r>
    </w:p>
    <w:p w14:paraId="031E4683">
      <w:pPr>
        <w:ind w:firstLine="480"/>
        <w:rPr>
          <w:rFonts w:hAnsi="Times New Roman" w:cs="Times New Roman"/>
        </w:rPr>
      </w:pPr>
      <w:r>
        <w:rPr>
          <w:rFonts w:hAnsi="Times New Roman" w:cs="Times New Roman"/>
        </w:rPr>
        <w:t>严格实施土地复垦制度，建立土地复垦监测和监管制度，鼓励“边开采、边保护、边复垦”。建设环境友好型矿山，严格执行供地政策，保护耕地，节约集约用地，提高采矿损毁土地复垦和修复标准，从源头上避免和减少采矿对土地的损毁和压占。</w:t>
      </w:r>
    </w:p>
    <w:p w14:paraId="4C89C017">
      <w:pPr>
        <w:ind w:firstLine="480"/>
        <w:rPr>
          <w:rFonts w:hAnsi="Times New Roman" w:cs="Times New Roman"/>
        </w:rPr>
      </w:pPr>
      <w:r>
        <w:rPr>
          <w:rFonts w:hAnsi="Times New Roman" w:cs="Times New Roman"/>
        </w:rPr>
        <w:t>本项目矿区隶属嫩江市管辖，项目选址不占用基本农田，位于生态保护红线范围外，城镇开发边界外；项目属于规模开采、绿色开采，最大限度减轻对生态环境的破坏。矿山闭矿后严格实施土地复垦制度，建立土地复垦监测和监管制度。所以，本项目的建设符合《黑龙江省矿产资源总体规划（2021-2025年）》的要求。</w:t>
      </w:r>
    </w:p>
    <w:p w14:paraId="31940A1F">
      <w:pPr>
        <w:ind w:firstLine="482"/>
        <w:rPr>
          <w:rFonts w:hAnsi="Times New Roman" w:cs="Times New Roman"/>
          <w:b/>
        </w:rPr>
      </w:pPr>
      <w:r>
        <w:rPr>
          <w:rFonts w:hAnsi="Times New Roman" w:cs="Times New Roman"/>
          <w:b/>
        </w:rPr>
        <w:t>（2）与《黑龙江省矿产资源总体规划（2021—2025年）环境影响报告书》及其审查意见的符合性</w:t>
      </w:r>
    </w:p>
    <w:p w14:paraId="22DF4E10">
      <w:pPr>
        <w:ind w:firstLine="480"/>
        <w:rPr>
          <w:rFonts w:hAnsi="Times New Roman" w:cs="Times New Roman"/>
        </w:rPr>
      </w:pPr>
      <w:r>
        <w:rPr>
          <w:rFonts w:hAnsi="Times New Roman" w:cs="Times New Roman"/>
        </w:rPr>
        <w:t>《黑龙江省矿产资源总体规划（2021-2025年）环境影响报告书》已于2022年7月20日通过中华人民共和国生态环境部的审查（环审〔2022〕104号），规划环评中对新建矿山准入的政策措施提出：</w:t>
      </w:r>
      <w:r>
        <w:rPr>
          <w:rFonts w:hint="eastAsia" w:ascii="宋体" w:hAnsi="宋体" w:eastAsia="宋体"/>
        </w:rPr>
        <w:t>①</w:t>
      </w:r>
      <w:r>
        <w:rPr>
          <w:rFonts w:hAnsi="Times New Roman" w:cs="Times New Roman"/>
        </w:rPr>
        <w:t>最低开采规模，严格执行新建矿山最低开采规模和最低服务年限要求。矿山开采规模必须与矿山所占有的矿产资源储量规模相适应。</w:t>
      </w:r>
      <w:r>
        <w:rPr>
          <w:rFonts w:hint="eastAsia" w:ascii="宋体" w:hAnsi="宋体" w:eastAsia="宋体"/>
        </w:rPr>
        <w:t>②</w:t>
      </w:r>
      <w:r>
        <w:rPr>
          <w:rFonts w:hAnsi="Times New Roman" w:cs="Times New Roman"/>
        </w:rPr>
        <w:t>环境保护条件，坚持预防为主，防护优先的方针，严格控制新的矿山环境污染和地质环境破坏，坚持“谁开发、谁保护，谁破坏、谁治理”的原则。必须避让“三线两区”两侧可视范围，严格落实国土资源部《矿山地质环境保护规定》（国土资源部令第64号）和《黑龙江省地质环境保护条例》，严格执行矿山地质环境影响评价准入制度；强化源头预防，全面实行矿产开发利用（设计）方案和矿山地质环境保护与土地复垦方案同步编制、同步审查、同步实施的三同时制度和社会公示制度。</w:t>
      </w:r>
      <w:r>
        <w:rPr>
          <w:rFonts w:hint="eastAsia" w:ascii="宋体" w:hAnsi="宋体" w:eastAsia="宋体"/>
        </w:rPr>
        <w:t>③</w:t>
      </w:r>
      <w:r>
        <w:rPr>
          <w:rFonts w:hAnsi="Times New Roman" w:cs="Times New Roman"/>
        </w:rPr>
        <w:t>绿色矿山条件，新建矿山必须达到绿色矿山建设要求，严格执行国家和地方的法律、法规，并符合有关规划、产业政策、行业准入条件以及相关强制性标准、规范等要求。在矿产资源开发全过程中，按照《绿色矿山建设规范》要求进行规划、设计、建设和运行管理。要实现矿区环境生态化、开采方式科学化、资源利用高效化、管理信息数字化和矿区社区和谐化。矿山生产生活区，要运行有序、管理规范，矿区整体环境整洁美观，绿化覆盖率应达到100%；采用先进的工艺技术与装备，做到绿色开采、绿色生产、绿色存贮，绿色运输；贯彻落实“边开采，边恢复”的原则，最大限度地减少对自然环境的扰动和破坏；配备洒水车、高压喷雾车、加装高效除尘设备等措施处置粉尘；实现雨污分流、清污分流，配备生产废水处理系统，经过固液分离处理后的清水循环利用率应达到100%；采取节能减排措施，提高资源综合利用水平。开采实施科学有序化，要遵循矿区资源赋存状况、生态环境特征等条件，因地制宜选择资源利用率高、废物产生量小、水重复利用率高且对矿区生态破坏小的减排保护开采技术，不可采用行业限制和淘汰技术。采取节能减排措施，生产中粉尘、废水、噪声的排放要达到相关标准要求提高资源综合利用水平，提高产品质量。对于需要选冶的矿产资源，要因矿制宜，采用高效的选冶方法，优化选矿工艺。</w:t>
      </w:r>
    </w:p>
    <w:p w14:paraId="3327662C">
      <w:pPr>
        <w:ind w:firstLine="480"/>
        <w:rPr>
          <w:rFonts w:hAnsi="Times New Roman" w:cs="Times New Roman"/>
        </w:rPr>
      </w:pPr>
      <w:r>
        <w:rPr>
          <w:rFonts w:hAnsi="Times New Roman" w:cs="Times New Roman"/>
        </w:rPr>
        <w:t>审查意见提出：坚持生态优先，绿色发展。处理好生态环境保护与矿产资源开发的关系，合理控制矿产资源开发规模与强度，不得占用依法应当禁止开发的区域，优先避让生态环境敏感区域。严格保护生态空间，优化《规划》布局。将生态保护红线作为保障和维护区域生态安全的底线，进一步优化矿业权设置和空间布局，依法依规对生态空间实施严格保护。严格产业准入，合理控制矿山开采种类和规模。科学调控普通建筑用砂石土矿山数量和开采总量，禁止开采砂金、湿地泥炭、可耕地砖瓦用粘土、砷和放射性等有毒有害物质超标准的矿产。严格尾矿库的新建和管理，确保符合相关要求。严格环境准入，保护区域生态功能。严格控制涉及生物多样性保护优先区域、国家重点生态功能区、水土流失重点防治区等具有重要生态功能的区域矿产开采活动，并采取严格有针对性的保护措施，防止对区域生态功能产生不良环境影响。加强矿山生态修复和环境治理。重视关闭矿山及历史遗留矿山的生态环境问题，明确污染治理及生态修复的任务、要求和时限。对可能造成重金属污染等环境问题的矿区，进一步优化开发方式、推进结构调整，加大治理投入。</w:t>
      </w:r>
    </w:p>
    <w:p w14:paraId="520B9AA3">
      <w:pPr>
        <w:ind w:firstLine="480"/>
        <w:rPr>
          <w:rFonts w:hAnsi="Times New Roman" w:cs="Times New Roman"/>
        </w:rPr>
      </w:pPr>
      <w:r>
        <w:rPr>
          <w:rFonts w:hAnsi="Times New Roman" w:cs="Times New Roman"/>
        </w:rPr>
        <w:t>本项目已完成了《资源储量核实报告》《矿产资源开发利用方案》以及《矿区生态修复方案》等。本项目选址不在生态保护红线范围内，不在自然保护区、饮用水水源保护区、风景名胜区、森林公园、地质公园、重要湿地等环境敏感区范围内。本项目为建筑用凝灰岩开采项目，为普通建筑用砂石土矿山开采，无有毒有害物质超标准的矿产。</w:t>
      </w:r>
    </w:p>
    <w:p w14:paraId="67649D43">
      <w:pPr>
        <w:ind w:firstLine="480"/>
        <w:rPr>
          <w:rFonts w:hAnsi="Times New Roman" w:cs="Times New Roman"/>
        </w:rPr>
      </w:pPr>
      <w:r>
        <w:rPr>
          <w:rFonts w:hAnsi="Times New Roman" w:cs="Times New Roman"/>
        </w:rPr>
        <w:t>项目地处黑龙江省黑河市嫩江市境内，距离最近居民点为5.0km（直线距离）外的塔溪乡，本项目矿山所在区域不属于自然保护区、风景名胜区、文化遗产保护区、饮用水源保护区、城市建成区等区域。在矿山运行期产生的废气、废水、噪声、固废均能得到有效治理，污染物排放满足国家标准要求；采取严格生态保护措施，防治水土流失。服务期满后企业依据矿山地质环境保护与治理恢复方案及土地复垦方案的设计要求进行矿山地质环境恢复治理工作。矿山地质环境恢复治理工程结束后，区域的水源涵养、水土保持、生物多样性等生态系统能得到最大程度的恢复。</w:t>
      </w:r>
    </w:p>
    <w:p w14:paraId="372A3F21">
      <w:pPr>
        <w:ind w:firstLine="480"/>
        <w:rPr>
          <w:rFonts w:hAnsi="Times New Roman" w:cs="Times New Roman"/>
        </w:rPr>
      </w:pPr>
      <w:r>
        <w:rPr>
          <w:rFonts w:hAnsi="Times New Roman" w:cs="Times New Roman"/>
        </w:rPr>
        <w:t>因此，本项目建设符合《黑龙江省矿产资源总体规划（2021</w:t>
      </w:r>
      <w:r>
        <w:rPr>
          <w:rFonts w:hAnsi="Times New Roman" w:cs="Times New Roman"/>
          <w:b/>
        </w:rPr>
        <w:t>—</w:t>
      </w:r>
      <w:r>
        <w:rPr>
          <w:rFonts w:hAnsi="Times New Roman" w:cs="Times New Roman"/>
        </w:rPr>
        <w:t>2025年）环境影响报告书》审查意见中的相关要求。</w:t>
      </w:r>
    </w:p>
    <w:p w14:paraId="08FC5B05">
      <w:pPr>
        <w:ind w:firstLine="482"/>
        <w:rPr>
          <w:rFonts w:hAnsi="Times New Roman" w:cs="Times New Roman"/>
          <w:b/>
        </w:rPr>
      </w:pPr>
      <w:bookmarkStart w:id="26" w:name="bookmark74"/>
      <w:bookmarkEnd w:id="26"/>
      <w:r>
        <w:rPr>
          <w:rFonts w:hint="eastAsia" w:hAnsi="Times New Roman" w:cs="Times New Roman"/>
          <w:b/>
        </w:rPr>
        <w:t>2</w:t>
      </w:r>
      <w:r>
        <w:rPr>
          <w:rFonts w:hAnsi="Times New Roman" w:cs="Times New Roman"/>
          <w:b/>
        </w:rPr>
        <w:t>、与《黑河市矿产资源总体规划（2021—2025年）》的符合性分析</w:t>
      </w:r>
    </w:p>
    <w:p w14:paraId="2E2D0F38">
      <w:pPr>
        <w:ind w:firstLine="480"/>
        <w:rPr>
          <w:rFonts w:hAnsi="Times New Roman" w:cs="Times New Roman"/>
        </w:rPr>
      </w:pPr>
      <w:r>
        <w:rPr>
          <w:rFonts w:hAnsi="Times New Roman" w:cs="Times New Roman"/>
        </w:rPr>
        <w:t>根据“</w:t>
      </w:r>
      <w:r>
        <w:rPr>
          <w:rFonts w:hAnsi="Times New Roman" w:cs="Times New Roman"/>
          <w:b/>
        </w:rPr>
        <w:t>第三章规划目标</w:t>
      </w:r>
      <w:r>
        <w:rPr>
          <w:rFonts w:hAnsi="Times New Roman" w:cs="Times New Roman"/>
        </w:rPr>
        <w:t>”中要求：</w:t>
      </w:r>
    </w:p>
    <w:p w14:paraId="2207ABF5">
      <w:pPr>
        <w:ind w:firstLine="480"/>
        <w:rPr>
          <w:rFonts w:hAnsi="Times New Roman" w:cs="Times New Roman"/>
        </w:rPr>
      </w:pPr>
      <w:r>
        <w:rPr>
          <w:rFonts w:hAnsi="Times New Roman" w:cs="Times New Roman"/>
        </w:rPr>
        <w:t>“</w:t>
      </w:r>
      <w:r>
        <w:rPr>
          <w:rFonts w:hAnsi="Times New Roman" w:cs="Times New Roman"/>
          <w:b/>
        </w:rPr>
        <w:t>（四）矿山环境状况明显改善</w:t>
      </w:r>
    </w:p>
    <w:p w14:paraId="1F17BB58">
      <w:pPr>
        <w:ind w:firstLine="480"/>
        <w:rPr>
          <w:rFonts w:hAnsi="Times New Roman" w:cs="Times New Roman"/>
        </w:rPr>
      </w:pPr>
      <w:r>
        <w:rPr>
          <w:rFonts w:hAnsi="Times New Roman" w:cs="Times New Roman"/>
        </w:rPr>
        <w:t>“大力发展绿色矿业，所有新建矿山按照绿色矿山标准进行规划、设计、建设和运营管理，新建金属矿山全部达到绿色智能要求，已建矿山增加一处绿色矿山。增强战略性矿产资源储备能力。推进矿山“三化”建设，通过机械化换人、自动化减人、智能化管控措施，建设智能矿山。</w:t>
      </w:r>
    </w:p>
    <w:p w14:paraId="7A0EAC3F">
      <w:pPr>
        <w:ind w:firstLine="480"/>
        <w:rPr>
          <w:rFonts w:hAnsi="Times New Roman" w:cs="Times New Roman"/>
        </w:rPr>
      </w:pPr>
      <w:r>
        <w:rPr>
          <w:rFonts w:hAnsi="Times New Roman" w:cs="Times New Roman"/>
        </w:rPr>
        <w:t>“新建矿山和生产矿山不得新增生态环境问题，在生产期可以有一定缓冲期，确保承诺期限内完成生态修复；大力推进历史遗留矿山生态环境问题修复。到2025年，完成矿山地质环境修复治理面积25.5平方千米以上；即将闭坑的矿山，在闭坑前完成生态修复。”</w:t>
      </w:r>
    </w:p>
    <w:p w14:paraId="20119684">
      <w:pPr>
        <w:ind w:firstLine="480"/>
        <w:rPr>
          <w:rFonts w:hAnsi="Times New Roman" w:cs="Times New Roman"/>
        </w:rPr>
      </w:pPr>
      <w:r>
        <w:rPr>
          <w:rFonts w:hAnsi="Times New Roman" w:cs="Times New Roman"/>
        </w:rPr>
        <w:t>“</w:t>
      </w:r>
      <w:r>
        <w:rPr>
          <w:rFonts w:hAnsi="Times New Roman" w:cs="Times New Roman"/>
          <w:b/>
        </w:rPr>
        <w:t>第六章 绿色矿山建设和矿区生态保护</w:t>
      </w:r>
      <w:r>
        <w:rPr>
          <w:rFonts w:hAnsi="Times New Roman" w:cs="Times New Roman"/>
        </w:rPr>
        <w:t>”中要求：</w:t>
      </w:r>
    </w:p>
    <w:p w14:paraId="7588E5D2">
      <w:pPr>
        <w:ind w:firstLine="480"/>
        <w:rPr>
          <w:rFonts w:hAnsi="Times New Roman" w:cs="Times New Roman"/>
          <w:b/>
        </w:rPr>
      </w:pPr>
      <w:r>
        <w:rPr>
          <w:rFonts w:hAnsi="Times New Roman" w:cs="Times New Roman"/>
        </w:rPr>
        <w:t>“</w:t>
      </w:r>
      <w:r>
        <w:rPr>
          <w:rFonts w:hAnsi="Times New Roman" w:cs="Times New Roman"/>
          <w:b/>
        </w:rPr>
        <w:t>三、严格开采准入条件</w:t>
      </w:r>
    </w:p>
    <w:p w14:paraId="28510152">
      <w:pPr>
        <w:ind w:firstLine="480"/>
        <w:rPr>
          <w:rFonts w:hAnsi="Times New Roman" w:cs="Times New Roman"/>
        </w:rPr>
      </w:pPr>
      <w:r>
        <w:rPr>
          <w:rFonts w:hAnsi="Times New Roman" w:cs="Times New Roman"/>
        </w:rPr>
        <w:t>“依据国家产业政策和矿产资源开采技术要求，以综合利用、集约开发、规模经营为原则，合理确定开采方式，满足最低资源储量规模、开采规模、服务年限、相邻矿山最小安全距离和生态环境安全。</w:t>
      </w:r>
    </w:p>
    <w:p w14:paraId="232AEA23">
      <w:pPr>
        <w:ind w:firstLine="480"/>
        <w:rPr>
          <w:rFonts w:hAnsi="Times New Roman" w:cs="Times New Roman"/>
        </w:rPr>
      </w:pPr>
      <w:r>
        <w:rPr>
          <w:rFonts w:hAnsi="Times New Roman" w:cs="Times New Roman"/>
        </w:rPr>
        <w:t>“</w:t>
      </w:r>
      <w:r>
        <w:rPr>
          <w:rFonts w:hAnsi="Times New Roman" w:cs="Times New Roman"/>
          <w:b/>
        </w:rPr>
        <w:t>（一）严格控制矿山开采规模</w:t>
      </w:r>
    </w:p>
    <w:p w14:paraId="16ABC62C">
      <w:pPr>
        <w:ind w:firstLine="480"/>
        <w:rPr>
          <w:rFonts w:hAnsi="Times New Roman" w:cs="Times New Roman"/>
        </w:rPr>
      </w:pPr>
      <w:r>
        <w:rPr>
          <w:rFonts w:hAnsi="Times New Roman" w:cs="Times New Roman"/>
        </w:rPr>
        <w:t>“坚持矿山设计开采规模与矿区资源储量规模相适应的原则，实施最低开采规模准入制度，新建矿山必须符合规划布局、资源保护、节约利用、生态保护修复等指标和准入要求。已建矿山开采规模与资源储量规模不适应的，通过技术改造、资源整合等措施，逐步达到最低开采规模要求。</w:t>
      </w:r>
    </w:p>
    <w:p w14:paraId="544FBF43">
      <w:pPr>
        <w:ind w:firstLine="480"/>
        <w:rPr>
          <w:rFonts w:hAnsi="Times New Roman" w:cs="Times New Roman"/>
        </w:rPr>
      </w:pPr>
      <w:r>
        <w:rPr>
          <w:rFonts w:hAnsi="Times New Roman" w:cs="Times New Roman"/>
        </w:rPr>
        <w:t>“</w:t>
      </w:r>
      <w:r>
        <w:rPr>
          <w:rFonts w:hAnsi="Times New Roman" w:cs="Times New Roman"/>
          <w:b/>
        </w:rPr>
        <w:t>（二）空间准入条件</w:t>
      </w:r>
    </w:p>
    <w:p w14:paraId="7D87FFE7">
      <w:pPr>
        <w:ind w:firstLine="480"/>
        <w:rPr>
          <w:rFonts w:hAnsi="Times New Roman" w:cs="Times New Roman"/>
        </w:rPr>
      </w:pPr>
      <w:r>
        <w:rPr>
          <w:rFonts w:hAnsi="Times New Roman" w:cs="Times New Roman"/>
        </w:rPr>
        <w:t>“新建矿山应与国土空间总体规划等相衔接，矿山与生态保护红线、永久基本农田、城镇开发边界、各类自然保护地、交通干道（铁路、高速公路、国道、省道）、居民区、河流湖泊沿线等空间的位置关系要符合相关规定。</w:t>
      </w:r>
    </w:p>
    <w:p w14:paraId="4324F4E0">
      <w:pPr>
        <w:ind w:firstLine="480"/>
        <w:rPr>
          <w:rFonts w:hAnsi="Times New Roman" w:cs="Times New Roman"/>
        </w:rPr>
      </w:pPr>
      <w:r>
        <w:rPr>
          <w:rFonts w:hAnsi="Times New Roman" w:cs="Times New Roman"/>
        </w:rPr>
        <w:t>“</w:t>
      </w:r>
      <w:r>
        <w:rPr>
          <w:rFonts w:hAnsi="Times New Roman" w:cs="Times New Roman"/>
          <w:b/>
        </w:rPr>
        <w:t>（三）开发利用水平</w:t>
      </w:r>
    </w:p>
    <w:p w14:paraId="1D1B4AA6">
      <w:pPr>
        <w:ind w:firstLine="480"/>
        <w:rPr>
          <w:rFonts w:hAnsi="Times New Roman" w:cs="Times New Roman"/>
        </w:rPr>
      </w:pPr>
      <w:r>
        <w:rPr>
          <w:rFonts w:hAnsi="Times New Roman" w:cs="Times New Roman"/>
        </w:rPr>
        <w:t>“遵循“安全、高效、经济和充分利用资源”的原则，在经济合理的情况下，采取先进的开采技术，推进贫矿及共伴生矿、矿业废弃物及节能降耗技术的研究应用，提高资源综合利用水平。</w:t>
      </w:r>
    </w:p>
    <w:p w14:paraId="1B146141">
      <w:pPr>
        <w:ind w:firstLine="480"/>
        <w:rPr>
          <w:rFonts w:hAnsi="Times New Roman" w:cs="Times New Roman"/>
        </w:rPr>
      </w:pPr>
      <w:r>
        <w:rPr>
          <w:rFonts w:hAnsi="Times New Roman" w:cs="Times New Roman"/>
        </w:rPr>
        <w:t>“</w:t>
      </w:r>
      <w:r>
        <w:rPr>
          <w:rFonts w:hAnsi="Times New Roman" w:cs="Times New Roman"/>
          <w:b/>
        </w:rPr>
        <w:t>（四）矿区生态保护修复</w:t>
      </w:r>
    </w:p>
    <w:p w14:paraId="14DBC9D4">
      <w:pPr>
        <w:ind w:firstLine="480"/>
        <w:rPr>
          <w:rFonts w:hAnsi="Times New Roman" w:cs="Times New Roman"/>
        </w:rPr>
      </w:pPr>
      <w:r>
        <w:rPr>
          <w:rFonts w:hAnsi="Times New Roman" w:cs="Times New Roman"/>
        </w:rPr>
        <w:t>“坚持“谁开发，谁保护；谁污染，谁治理；谁破坏，谁恢复”的原则，严格执行《矿产资源开发利用方案》《矿山地质环境保护与土地复垦方案》，开展保护修复和复垦工作。”</w:t>
      </w:r>
    </w:p>
    <w:p w14:paraId="09430E4E">
      <w:pPr>
        <w:ind w:firstLine="480"/>
        <w:rPr>
          <w:rFonts w:hAnsi="Times New Roman" w:cs="Times New Roman"/>
        </w:rPr>
      </w:pPr>
      <w:r>
        <w:rPr>
          <w:rFonts w:hAnsi="Times New Roman" w:cs="Times New Roman"/>
        </w:rPr>
        <w:t>本项目年产建筑用凝灰岩30万吨，属于大型矿山。符合开采规模要求，项目占用林地，采矿权已审批通过。根据分区管控分析报告，占地范围不涉及限制用地范围。建设单位已委托编制《矿产资源开发利用方案》《矿区生态修复方案》，项目运行期间应严格执行《矿产资源开发利用方案》及《矿区生态修复方案》，开展保护修复和复垦工作。综上，本项目符合《黑河市矿产资源总体规划（2021—2025年）》。</w:t>
      </w:r>
    </w:p>
    <w:p w14:paraId="4CAD3C04">
      <w:pPr>
        <w:ind w:firstLine="482"/>
        <w:rPr>
          <w:rFonts w:hAnsi="Times New Roman" w:cs="Times New Roman"/>
          <w:b/>
        </w:rPr>
      </w:pPr>
      <w:r>
        <w:rPr>
          <w:rFonts w:hAnsi="Times New Roman" w:cs="Times New Roman"/>
          <w:b/>
        </w:rPr>
        <w:t>3、与《嫩江市矿产资源总体规划（2021—2025年）》符合性</w:t>
      </w:r>
    </w:p>
    <w:p w14:paraId="7FB7E2C5">
      <w:pPr>
        <w:ind w:firstLine="480"/>
        <w:rPr>
          <w:rFonts w:hAnsi="Times New Roman" w:cs="Times New Roman"/>
        </w:rPr>
      </w:pPr>
      <w:r>
        <w:rPr>
          <w:rFonts w:hAnsi="Times New Roman" w:cs="Times New Roman"/>
        </w:rPr>
        <w:t>《嫩江市矿产资源总体规划（2021—2025年）》中提出：</w:t>
      </w:r>
    </w:p>
    <w:p w14:paraId="71D41C67">
      <w:pPr>
        <w:ind w:firstLine="480"/>
        <w:rPr>
          <w:rFonts w:hAnsi="Times New Roman" w:cs="Times New Roman"/>
          <w:b/>
        </w:rPr>
      </w:pPr>
      <w:bookmarkStart w:id="27" w:name="_Toc486606933"/>
      <w:bookmarkStart w:id="28" w:name="_Toc31356"/>
      <w:bookmarkStart w:id="29" w:name="_Toc32553"/>
      <w:bookmarkStart w:id="30" w:name="_Toc27240"/>
      <w:r>
        <w:rPr>
          <w:rFonts w:hAnsi="Times New Roman" w:cs="Times New Roman"/>
        </w:rPr>
        <w:t>“</w:t>
      </w:r>
      <w:bookmarkEnd w:id="27"/>
      <w:bookmarkEnd w:id="28"/>
      <w:bookmarkEnd w:id="29"/>
      <w:bookmarkEnd w:id="30"/>
      <w:bookmarkStart w:id="31" w:name="_Toc133440847"/>
      <w:r>
        <w:rPr>
          <w:rFonts w:hAnsi="Times New Roman" w:cs="Times New Roman"/>
          <w:b/>
        </w:rPr>
        <w:t>五、矿产资源开发与保护</w:t>
      </w:r>
      <w:bookmarkEnd w:id="31"/>
    </w:p>
    <w:p w14:paraId="08DBF358">
      <w:pPr>
        <w:ind w:firstLine="480"/>
        <w:rPr>
          <w:rFonts w:hAnsi="Times New Roman" w:cs="Times New Roman"/>
        </w:rPr>
      </w:pPr>
      <w:bookmarkStart w:id="32" w:name="_Toc17692"/>
      <w:bookmarkStart w:id="33" w:name="_Toc28046"/>
      <w:bookmarkStart w:id="34" w:name="_Toc20086"/>
      <w:bookmarkStart w:id="35" w:name="_Toc474765387"/>
      <w:bookmarkStart w:id="36" w:name="_Toc472005959"/>
      <w:bookmarkStart w:id="37" w:name="_Toc313263995"/>
      <w:r>
        <w:rPr>
          <w:rFonts w:hAnsi="Times New Roman" w:cs="Times New Roman"/>
        </w:rPr>
        <w:t>“</w:t>
      </w:r>
      <w:bookmarkStart w:id="38" w:name="_Toc133440848"/>
      <w:r>
        <w:rPr>
          <w:rFonts w:hAnsi="Times New Roman" w:cs="Times New Roman"/>
        </w:rPr>
        <w:t>（一）合理确定开发强度</w:t>
      </w:r>
      <w:bookmarkEnd w:id="38"/>
    </w:p>
    <w:p w14:paraId="657B2518">
      <w:pPr>
        <w:ind w:firstLine="480"/>
        <w:rPr>
          <w:rFonts w:hAnsi="Times New Roman" w:cs="Times New Roman"/>
        </w:rPr>
      </w:pPr>
      <w:r>
        <w:rPr>
          <w:rFonts w:hAnsi="Times New Roman" w:cs="Times New Roman"/>
        </w:rPr>
        <w:t>“加强矿产资源开采调控，制定科学的开采规划和管理制度，加强对矿产资源的保护和管理，确保矿产资源的可持续利用。</w:t>
      </w:r>
    </w:p>
    <w:p w14:paraId="342EB7F2">
      <w:pPr>
        <w:ind w:firstLine="480"/>
        <w:rPr>
          <w:rFonts w:hAnsi="Times New Roman" w:cs="Times New Roman"/>
        </w:rPr>
      </w:pPr>
      <w:r>
        <w:rPr>
          <w:rFonts w:hAnsi="Times New Roman" w:cs="Times New Roman"/>
        </w:rPr>
        <w:t>“（二）优化开发利用结构</w:t>
      </w:r>
    </w:p>
    <w:p w14:paraId="70F503E0">
      <w:pPr>
        <w:ind w:firstLine="480"/>
        <w:rPr>
          <w:rFonts w:hAnsi="Times New Roman" w:cs="Times New Roman"/>
        </w:rPr>
      </w:pPr>
      <w:bookmarkStart w:id="39" w:name="_Toc133440850"/>
      <w:r>
        <w:rPr>
          <w:rFonts w:hAnsi="Times New Roman" w:cs="Times New Roman"/>
        </w:rPr>
        <w:t>“矿业结构和布局进一步优化。进一步规范矿产资源开发秩序围绕多宝山铜矿，针对铜多金属矿，加强对共伴生、低品位和尾矿中有用资源的综合利用。</w:t>
      </w:r>
    </w:p>
    <w:p w14:paraId="249D0CA5">
      <w:pPr>
        <w:ind w:firstLine="480"/>
        <w:rPr>
          <w:rFonts w:hAnsi="Times New Roman" w:cs="Times New Roman"/>
        </w:rPr>
      </w:pPr>
      <w:r>
        <w:rPr>
          <w:rFonts w:hAnsi="Times New Roman" w:cs="Times New Roman"/>
        </w:rPr>
        <w:t>“（三）严格开采准入条件</w:t>
      </w:r>
      <w:bookmarkEnd w:id="39"/>
    </w:p>
    <w:p w14:paraId="5662B612">
      <w:pPr>
        <w:ind w:firstLine="480"/>
        <w:rPr>
          <w:rFonts w:hAnsi="Times New Roman" w:cs="Times New Roman"/>
        </w:rPr>
      </w:pPr>
      <w:r>
        <w:rPr>
          <w:rFonts w:hAnsi="Times New Roman" w:cs="Times New Roman"/>
        </w:rPr>
        <w:t>“加强对矿山开发的调控力度，严格按照矿山准入条件，依法进行审批。”</w:t>
      </w:r>
    </w:p>
    <w:p w14:paraId="3AC62B7B">
      <w:pPr>
        <w:ind w:firstLine="480"/>
        <w:rPr>
          <w:rFonts w:hAnsi="Times New Roman" w:cs="Times New Roman"/>
        </w:rPr>
      </w:pPr>
      <w:r>
        <w:rPr>
          <w:rFonts w:hAnsi="Times New Roman" w:cs="Times New Roman"/>
        </w:rPr>
        <w:t>……</w:t>
      </w:r>
    </w:p>
    <w:p w14:paraId="2BFD89D5">
      <w:pPr>
        <w:ind w:firstLine="480"/>
        <w:rPr>
          <w:rFonts w:hAnsi="Times New Roman" w:cs="Times New Roman"/>
          <w:b/>
        </w:rPr>
      </w:pPr>
      <w:r>
        <w:rPr>
          <w:rFonts w:hAnsi="Times New Roman" w:cs="Times New Roman"/>
        </w:rPr>
        <w:t>“</w:t>
      </w:r>
      <w:bookmarkEnd w:id="32"/>
      <w:bookmarkEnd w:id="33"/>
      <w:bookmarkEnd w:id="34"/>
      <w:bookmarkEnd w:id="35"/>
      <w:bookmarkEnd w:id="36"/>
      <w:r>
        <w:rPr>
          <w:rFonts w:hAnsi="Times New Roman" w:cs="Times New Roman"/>
          <w:b/>
        </w:rPr>
        <w:t>六、绿色矿山建设和矿区生态保护</w:t>
      </w:r>
    </w:p>
    <w:p w14:paraId="4085F936">
      <w:pPr>
        <w:ind w:firstLine="480"/>
        <w:rPr>
          <w:rFonts w:hAnsi="Times New Roman" w:cs="Times New Roman"/>
        </w:rPr>
      </w:pPr>
      <w:bookmarkStart w:id="40" w:name="_Toc133440852"/>
      <w:r>
        <w:rPr>
          <w:rFonts w:hAnsi="Times New Roman" w:cs="Times New Roman"/>
        </w:rPr>
        <w:t>“（一）绿色矿山建设</w:t>
      </w:r>
      <w:bookmarkEnd w:id="40"/>
    </w:p>
    <w:p w14:paraId="43161453">
      <w:pPr>
        <w:ind w:firstLine="480"/>
        <w:rPr>
          <w:rFonts w:hAnsi="Times New Roman" w:cs="Times New Roman"/>
        </w:rPr>
      </w:pPr>
      <w:r>
        <w:rPr>
          <w:rFonts w:hAnsi="Times New Roman" w:cs="Times New Roman"/>
        </w:rPr>
        <w:t>“1、加快推进绿色矿山建设</w:t>
      </w:r>
    </w:p>
    <w:p w14:paraId="466F77BF">
      <w:pPr>
        <w:ind w:firstLine="480"/>
        <w:rPr>
          <w:rFonts w:hAnsi="Times New Roman" w:cs="Times New Roman"/>
        </w:rPr>
      </w:pPr>
      <w:r>
        <w:rPr>
          <w:rFonts w:hAnsi="Times New Roman" w:cs="Times New Roman"/>
        </w:rPr>
        <w:t>“（1）建设总体布局。贯彻落实省级、市级规划提出发展绿色矿山的目标任务，按照国家关于绿色矿山建设的要求，制定发展绿色矿业、建设绿色矿山规划。按照“试点先行，整体推进”原则，选择水泥用大理岩、铜矿等矿山企业进行试点，努力探索出绿色矿山建设有效途径，整体推进全市绿色矿山建设工作有效开展。</w:t>
      </w:r>
    </w:p>
    <w:p w14:paraId="23268A40">
      <w:pPr>
        <w:ind w:firstLine="480"/>
        <w:rPr>
          <w:rFonts w:hAnsi="Times New Roman" w:cs="Times New Roman"/>
        </w:rPr>
      </w:pPr>
      <w:r>
        <w:rPr>
          <w:rFonts w:hAnsi="Times New Roman" w:cs="Times New Roman"/>
        </w:rPr>
        <w:t>“（2）绿色矿山建设目标。一是</w:t>
      </w:r>
      <w:bookmarkStart w:id="41" w:name="_Toc141673653"/>
      <w:r>
        <w:rPr>
          <w:rFonts w:hAnsi="Times New Roman" w:cs="Times New Roman"/>
        </w:rPr>
        <w:t>推进绿色矿山建设，基本形成绿色矿山建设新格局。新建矿山要按照绿色矿山建设标准进行规划、设计、建设和运营；生产矿山加快改造升级，逐步达标。二是转方式，探索矿业发展方式转变新途径。坚持转方式与稳增长相协调，创新资源节约集约循环利用产业发展新模式和经济增长新途径。三是促改革，建立绿色矿业发展工作新机制。坚持绿色转型与管理改革相互促进，研究协同建立国家省市县四级联创、企业主建、第三方评估、社会监督的绿色矿山建设工作体系。</w:t>
      </w:r>
    </w:p>
    <w:p w14:paraId="0E538BC3">
      <w:pPr>
        <w:ind w:firstLine="480"/>
        <w:rPr>
          <w:rFonts w:hAnsi="Times New Roman" w:cs="Times New Roman"/>
        </w:rPr>
      </w:pPr>
      <w:r>
        <w:rPr>
          <w:rFonts w:hAnsi="Times New Roman" w:cs="Times New Roman"/>
        </w:rPr>
        <w:t>“落实上级规划布置的绿色矿业示范带，大力推进多宝山铜矿、铜山铜矿、永新金矿、二道坎银矿绿色矿山建设。已建成绿色矿山的矿山企业要追求更高水平的绿色矿业，发挥示范引领作用，不仅要做到黑河地区的龙头矿山企业，更要成为省内的绿色矿业标兵。示范带内引导和支持生产要素聚集，鼓励矿山企业提高智能化水平，确保点上绿色开发、面上反哺生态，实现转型发展、绿色发展、共享发展、和谐发展。</w:t>
      </w:r>
    </w:p>
    <w:bookmarkEnd w:id="41"/>
    <w:p w14:paraId="358D86F5">
      <w:pPr>
        <w:ind w:firstLine="480"/>
        <w:rPr>
          <w:rFonts w:hAnsi="Times New Roman" w:cs="Times New Roman"/>
        </w:rPr>
      </w:pPr>
      <w:r>
        <w:rPr>
          <w:rFonts w:hAnsi="Times New Roman" w:cs="Times New Roman"/>
        </w:rPr>
        <w:t>“（3）绿色矿山建设方向。新建矿山要认真履行合同约定，严格执行矿山开发利用、地质环境恢复治理与土地复垦方案，严格执行绿色矿山准入标准。长期停产、复工（改扩建）投产的矿山，按新设矿山要求建设绿色矿山。积极引导矿山企业进行技术升级，提高矿山生产智能化、自动化水平，提升矿山职工工作安全感、生活幸福感。绿色矿山深部及周边不宜另设矿权的零星资源，按规定程序优先以协议方式有偿出让给绿色矿山企业。</w:t>
      </w:r>
    </w:p>
    <w:p w14:paraId="2D12A2BE">
      <w:pPr>
        <w:ind w:firstLine="480"/>
        <w:rPr>
          <w:rFonts w:hAnsi="Times New Roman" w:cs="Times New Roman"/>
        </w:rPr>
      </w:pPr>
      <w:r>
        <w:rPr>
          <w:rFonts w:hAnsi="Times New Roman" w:cs="Times New Roman"/>
        </w:rPr>
        <w:t>“全市所有生产矿山应全部纳入绿色矿山建设范围。通过多种形式，确立企业是绿色矿山建设主体的观念。充分调动矿山企业的积极性，加强行业自律，促进矿山企业依法办矿，规范管理，加强科技创新，建设企业文化，使矿山企业将高效利用资源、保护环境、促进矿地和谐的外在要求转化为企业发展的内在动力，自觉承担起节约集约利用资源、节能减排、环境重建、土地复垦、带动地方经济社会发展的企业责任。</w:t>
      </w:r>
    </w:p>
    <w:p w14:paraId="49E42F50">
      <w:pPr>
        <w:ind w:firstLine="480"/>
        <w:rPr>
          <w:rFonts w:hAnsi="Times New Roman" w:cs="Times New Roman"/>
        </w:rPr>
      </w:pPr>
      <w:r>
        <w:rPr>
          <w:rFonts w:hAnsi="Times New Roman" w:cs="Times New Roman"/>
        </w:rPr>
        <w:t xml:space="preserve">“（4）绿色矿山建设政策和管理措施。充分认清推进绿色矿山建设对生态环境的重大意义，坚决贯彻落实上级决策部署，各有关部门协调联系，构建互联互通工作机制，建立健全相关政策，形成合力，共同引导矿山企业有序推进绿色矿山建设。 </w:t>
      </w:r>
    </w:p>
    <w:p w14:paraId="2DE31C4E">
      <w:pPr>
        <w:ind w:firstLine="480"/>
        <w:rPr>
          <w:rFonts w:hAnsi="Times New Roman" w:cs="Times New Roman"/>
        </w:rPr>
      </w:pPr>
      <w:r>
        <w:rPr>
          <w:rFonts w:hAnsi="Times New Roman" w:cs="Times New Roman"/>
        </w:rPr>
        <w:t>“充分利用门户网站、政务公众号等多种平台、多种形式媒体资源，广泛宣传矿业绿色发展理念和绿色矿山建设的重大意义，广泛宣传绿色矿山建设企业典型经验和先进成效，提高全民认识，使社会民众了解绿色矿山、认识绿色矿山、认同绿色矿山，调动各方面积极性和支持力度，助推全县绿色矿山建设。</w:t>
      </w:r>
    </w:p>
    <w:bookmarkEnd w:id="37"/>
    <w:p w14:paraId="70B9FB30">
      <w:pPr>
        <w:ind w:firstLine="480"/>
        <w:rPr>
          <w:rFonts w:hAnsi="Times New Roman" w:cs="Times New Roman"/>
          <w:kern w:val="0"/>
        </w:rPr>
      </w:pPr>
      <w:bookmarkStart w:id="42" w:name="_Toc461023094"/>
      <w:bookmarkStart w:id="43" w:name="_Toc2179_WPSOffice_Level2"/>
      <w:bookmarkStart w:id="44" w:name="OLE_LINK13"/>
      <w:bookmarkStart w:id="45" w:name="OLE_LINK4"/>
      <w:bookmarkStart w:id="46" w:name="_Toc12542_WPSOffice_Level2"/>
      <w:bookmarkStart w:id="47" w:name="_Toc133440853"/>
      <w:r>
        <w:rPr>
          <w:rFonts w:hAnsi="Times New Roman" w:cs="Times New Roman"/>
        </w:rPr>
        <w:t>“</w:t>
      </w:r>
      <w:r>
        <w:rPr>
          <w:rFonts w:hAnsi="Times New Roman" w:cs="Times New Roman"/>
          <w:kern w:val="0"/>
        </w:rPr>
        <w:t>（二）</w:t>
      </w:r>
      <w:bookmarkEnd w:id="42"/>
      <w:bookmarkEnd w:id="43"/>
      <w:bookmarkEnd w:id="44"/>
      <w:bookmarkEnd w:id="45"/>
      <w:bookmarkEnd w:id="46"/>
      <w:r>
        <w:rPr>
          <w:rFonts w:hAnsi="Times New Roman" w:cs="Times New Roman"/>
          <w:kern w:val="0"/>
        </w:rPr>
        <w:t>矿区生态保护修复</w:t>
      </w:r>
      <w:bookmarkEnd w:id="47"/>
    </w:p>
    <w:p w14:paraId="04C8231F">
      <w:pPr>
        <w:ind w:firstLine="480"/>
        <w:rPr>
          <w:rFonts w:hAnsi="Times New Roman" w:cs="Times New Roman"/>
          <w:kern w:val="0"/>
        </w:rPr>
      </w:pPr>
      <w:r>
        <w:rPr>
          <w:rFonts w:hAnsi="Times New Roman" w:cs="Times New Roman"/>
        </w:rPr>
        <w:t>“</w:t>
      </w:r>
      <w:r>
        <w:rPr>
          <w:rFonts w:hAnsi="Times New Roman" w:cs="Times New Roman"/>
          <w:kern w:val="0"/>
        </w:rPr>
        <w:t>1、新建矿山地质环境保护</w:t>
      </w:r>
    </w:p>
    <w:p w14:paraId="28976BA8">
      <w:pPr>
        <w:ind w:firstLine="480"/>
        <w:rPr>
          <w:rFonts w:hAnsi="Times New Roman" w:cs="Times New Roman"/>
          <w:kern w:val="0"/>
        </w:rPr>
      </w:pPr>
      <w:r>
        <w:rPr>
          <w:rFonts w:hAnsi="Times New Roman" w:cs="Times New Roman"/>
          <w:kern w:val="0"/>
        </w:rPr>
        <w:t>新建（扩建）矿山应严格落实国家关于绿色矿山建设的要求，编制矿山地质环境保护与治理恢复方案，把环境保护贯穿于矿山开发的全过程。</w:t>
      </w:r>
      <w:r>
        <w:rPr>
          <w:rFonts w:hAnsi="Times New Roman" w:cs="Times New Roman"/>
        </w:rPr>
        <w:t>”</w:t>
      </w:r>
    </w:p>
    <w:p w14:paraId="409874BB">
      <w:pPr>
        <w:ind w:firstLine="480"/>
        <w:rPr>
          <w:rFonts w:hAnsi="Times New Roman" w:cs="Times New Roman"/>
        </w:rPr>
      </w:pPr>
      <w:r>
        <w:rPr>
          <w:rFonts w:hAnsi="Times New Roman" w:cs="Times New Roman"/>
        </w:rPr>
        <w:t>本项目位于嫩江市塔溪乡马厂河北东50m处，项目矿区面积为0.1101km</w:t>
      </w:r>
      <w:r>
        <w:rPr>
          <w:rFonts w:hAnsi="Times New Roman" w:cs="Times New Roman"/>
          <w:vertAlign w:val="superscript"/>
        </w:rPr>
        <w:t>2</w:t>
      </w:r>
      <w:r>
        <w:rPr>
          <w:rFonts w:hAnsi="Times New Roman" w:cs="Times New Roman"/>
        </w:rPr>
        <w:t>，开采规模30</w:t>
      </w:r>
      <w:r>
        <w:rPr>
          <w:rFonts w:hint="eastAsia" w:hAnsi="Times New Roman" w:cs="Times New Roman"/>
        </w:rPr>
        <w:t>.00</w:t>
      </w:r>
      <w:r>
        <w:rPr>
          <w:rFonts w:hAnsi="Times New Roman" w:cs="Times New Roman"/>
        </w:rPr>
        <w:t>×10</w:t>
      </w:r>
      <w:r>
        <w:rPr>
          <w:rFonts w:hAnsi="Times New Roman" w:cs="Times New Roman"/>
          <w:vertAlign w:val="superscript"/>
        </w:rPr>
        <w:t>4</w:t>
      </w:r>
      <w:r>
        <w:rPr>
          <w:rFonts w:hAnsi="Times New Roman" w:cs="Times New Roman"/>
        </w:rPr>
        <w:t>m</w:t>
      </w:r>
      <w:r>
        <w:rPr>
          <w:rFonts w:hAnsi="Times New Roman" w:cs="Times New Roman"/>
          <w:vertAlign w:val="superscript"/>
        </w:rPr>
        <w:t>3</w:t>
      </w:r>
      <w:r>
        <w:rPr>
          <w:rFonts w:hAnsi="Times New Roman" w:cs="Times New Roman"/>
        </w:rPr>
        <w:t>/a，不占用生态保护红线，2025年5月哈尔滨向达规划设计有限公司编制了《黑龙江省嫩江市塔溪乡马厂河采石场建筑用凝灰岩矿产资源开发利用方案》，2025年8月黑龙江众林勘察技术咨询有限公司编制了《黑龙江省黑河市瑞峰建筑工程有限责任公司塔溪乡马厂河采石场建筑用凝灰岩矿矿区生态修复方案》，本项目所采矿种、矿山规模、开采技术参数符合国家和地方要求，通过科学有序进行矿产资源的点状开发并做好生态恢复，本项目严格按照绿色矿山标准建设，认真落实矿山地质环境保护与土地复垦方案的要求，开采结束后，矿区范围及进场道路进行复垦，恢复为林地，土地复垦率100%，建设单位应落实“边开采、边修复”等要求，项目建设符合《嫩江市矿产资源总体规划（2021—2025年）》。</w:t>
      </w:r>
    </w:p>
    <w:p w14:paraId="7BBD8E5D">
      <w:pPr>
        <w:ind w:firstLine="482"/>
        <w:rPr>
          <w:rFonts w:hAnsi="Times New Roman" w:cs="Times New Roman"/>
          <w:b/>
        </w:rPr>
      </w:pPr>
      <w:r>
        <w:rPr>
          <w:rFonts w:hAnsi="Times New Roman" w:cs="Times New Roman"/>
          <w:b/>
        </w:rPr>
        <w:t>4、与《黑龙江省水土保持规划（2015-2030年）》符合性分析</w:t>
      </w:r>
    </w:p>
    <w:p w14:paraId="616199AC">
      <w:pPr>
        <w:ind w:firstLine="480"/>
        <w:rPr>
          <w:rFonts w:hAnsi="Times New Roman" w:cs="Times New Roman"/>
        </w:rPr>
      </w:pPr>
      <w:r>
        <w:rPr>
          <w:rFonts w:hAnsi="Times New Roman" w:cs="Times New Roman"/>
        </w:rPr>
        <w:t>根据《黑龙江省水土保持规划》（2015-2030年）水土保持区划，塔溪乡属于东北漫川漫岗水土流失重点治理区（中部漫川漫岗土保持区(I-3-1t)）：</w:t>
      </w:r>
    </w:p>
    <w:p w14:paraId="1943B627">
      <w:pPr>
        <w:ind w:firstLine="480"/>
        <w:rPr>
          <w:rFonts w:hAnsi="Times New Roman" w:cs="Times New Roman"/>
        </w:rPr>
      </w:pPr>
      <w:r>
        <w:rPr>
          <w:rFonts w:hAnsi="Times New Roman" w:cs="Times New Roman"/>
        </w:rPr>
        <w:t>（1）分区范围</w:t>
      </w:r>
    </w:p>
    <w:p w14:paraId="2BA5BF16">
      <w:pPr>
        <w:ind w:firstLine="480"/>
        <w:rPr>
          <w:rFonts w:hAnsi="Times New Roman" w:cs="Times New Roman"/>
        </w:rPr>
      </w:pPr>
      <w:r>
        <w:rPr>
          <w:rFonts w:hAnsi="Times New Roman" w:cs="Times New Roman"/>
        </w:rPr>
        <w:t>本区包括宾县等39个县(市、区)，土地总面积125618km</w:t>
      </w:r>
      <w:r>
        <w:rPr>
          <w:rFonts w:hAnsi="Times New Roman" w:cs="Times New Roman"/>
          <w:vertAlign w:val="superscript"/>
        </w:rPr>
        <w:t>2</w:t>
      </w:r>
      <w:r>
        <w:rPr>
          <w:rFonts w:hAnsi="Times New Roman" w:cs="Times New Roman"/>
        </w:rPr>
        <w:t>，水土流失面积40006km</w:t>
      </w:r>
      <w:r>
        <w:rPr>
          <w:rFonts w:hAnsi="Times New Roman" w:cs="Times New Roman"/>
          <w:vertAlign w:val="superscript"/>
        </w:rPr>
        <w:t>2</w:t>
      </w:r>
      <w:r>
        <w:rPr>
          <w:rFonts w:hAnsi="Times New Roman" w:cs="Times New Roman"/>
        </w:rPr>
        <w:t>。</w:t>
      </w:r>
    </w:p>
    <w:p w14:paraId="1DE75CF8">
      <w:pPr>
        <w:ind w:firstLine="480"/>
        <w:rPr>
          <w:rFonts w:hAnsi="Times New Roman" w:cs="Times New Roman"/>
        </w:rPr>
      </w:pPr>
      <w:r>
        <w:rPr>
          <w:rFonts w:hAnsi="Times New Roman" w:cs="Times New Roman"/>
        </w:rPr>
        <w:t>（2）水土流失治理方向</w:t>
      </w:r>
    </w:p>
    <w:p w14:paraId="11D6EE2C">
      <w:pPr>
        <w:ind w:firstLine="480"/>
        <w:rPr>
          <w:rFonts w:hAnsi="Times New Roman" w:cs="Times New Roman"/>
        </w:rPr>
      </w:pPr>
      <w:r>
        <w:rPr>
          <w:rFonts w:hAnsi="Times New Roman" w:cs="Times New Roman"/>
        </w:rPr>
        <w:t>本区是黑龙江省黑土主要分布区，农地为主，植被稀疏，耕地坡缓坡长，侵蚀沟普遍发育，水土流失严重。水土流失主要发生在坡耕地中。本区宜开展以小流域为单元的水土流失综合治理、坡耕地治理专项工程、侵蚀沟治理专项工程等；</w:t>
      </w:r>
    </w:p>
    <w:p w14:paraId="7870743D">
      <w:pPr>
        <w:ind w:firstLine="480"/>
        <w:rPr>
          <w:rFonts w:hAnsi="Times New Roman" w:cs="Times New Roman"/>
        </w:rPr>
      </w:pPr>
      <w:r>
        <w:rPr>
          <w:rFonts w:hAnsi="Times New Roman" w:cs="Times New Roman"/>
        </w:rPr>
        <w:t>（3）主导基础功能及社会经济功能</w:t>
      </w:r>
    </w:p>
    <w:p w14:paraId="558224DE">
      <w:pPr>
        <w:ind w:firstLine="480"/>
        <w:rPr>
          <w:rFonts w:hAnsi="Times New Roman" w:cs="Times New Roman"/>
        </w:rPr>
      </w:pPr>
      <w:r>
        <w:rPr>
          <w:rFonts w:hAnsi="Times New Roman" w:cs="Times New Roman"/>
        </w:rPr>
        <w:t>水土保持主导基础功能为土壤保持、农田防护、拦沙减沙；社会经济功能为粮食生产、土地生产力保护、减少河湖库淤积。</w:t>
      </w:r>
    </w:p>
    <w:p w14:paraId="43F51CC6">
      <w:pPr>
        <w:ind w:firstLine="480"/>
        <w:rPr>
          <w:rFonts w:hAnsi="Times New Roman" w:cs="Times New Roman"/>
        </w:rPr>
      </w:pPr>
      <w:r>
        <w:rPr>
          <w:rFonts w:hAnsi="Times New Roman" w:cs="Times New Roman"/>
        </w:rPr>
        <w:t>项目区属于国家级水土流失重点治理区，按照“综合治理、因地制宜”的水土保持工作方针，对适宜治理的水蚀区、水蚀风蚀交错区进行综合治理。根据规划的目标、任务和总体布局的要求，规划期内需对全省适宜治理的水土流失地区全面实施综合治理，全省实施综合治理的面积3.77万km</w:t>
      </w:r>
      <w:r>
        <w:rPr>
          <w:rFonts w:hAnsi="Times New Roman" w:cs="Times New Roman"/>
          <w:vertAlign w:val="superscript"/>
        </w:rPr>
        <w:t>2</w:t>
      </w:r>
      <w:r>
        <w:rPr>
          <w:rFonts w:hAnsi="Times New Roman" w:cs="Times New Roman"/>
        </w:rPr>
        <w:t>。</w:t>
      </w:r>
    </w:p>
    <w:p w14:paraId="6A90F6CC">
      <w:pPr>
        <w:ind w:firstLine="480"/>
        <w:rPr>
          <w:rFonts w:hAnsi="Times New Roman" w:cs="Times New Roman"/>
        </w:rPr>
      </w:pPr>
      <w:r>
        <w:rPr>
          <w:rFonts w:hAnsi="Times New Roman" w:cs="Times New Roman"/>
        </w:rPr>
        <w:t>项目按照《水土保持法》及其配套的法律法规，全面实施天然林资源保护工程，保护和恢复天然植被，防止乱砍滥伐，同时加强生产建设项目监督管理，搞好局部严重水土流失地区的综合治理工作。</w:t>
      </w:r>
    </w:p>
    <w:p w14:paraId="2B8DBE6C">
      <w:pPr>
        <w:ind w:firstLine="480"/>
        <w:rPr>
          <w:rFonts w:hAnsi="Times New Roman" w:cs="Times New Roman"/>
        </w:rPr>
      </w:pPr>
      <w:r>
        <w:rPr>
          <w:rFonts w:hAnsi="Times New Roman" w:cs="Times New Roman"/>
        </w:rPr>
        <w:t>本项目用地类型为乔木林地，项目闭矿后进行土地复垦，复垦面积0.1101km</w:t>
      </w:r>
      <w:r>
        <w:rPr>
          <w:rFonts w:hAnsi="Times New Roman" w:cs="Times New Roman"/>
          <w:vertAlign w:val="superscript"/>
        </w:rPr>
        <w:t>2</w:t>
      </w:r>
      <w:r>
        <w:rPr>
          <w:rFonts w:hAnsi="Times New Roman" w:cs="Times New Roman"/>
        </w:rPr>
        <w:t>，建设单位通过严格落实生态恢复措施及环保措施，并按国家要求及时开展水土保持方案编制工作和水土保持设施验收工作，可有效预防及控制水土流失，本项目的建设符合《黑龙江省水土保持规划（2015-2030年）》要求。</w:t>
      </w:r>
    </w:p>
    <w:p w14:paraId="74E3F59E">
      <w:pPr>
        <w:pStyle w:val="178"/>
        <w:rPr>
          <w:rFonts w:ascii="Times New Roman" w:hAnsi="Times New Roman"/>
        </w:rPr>
      </w:pPr>
      <w:r>
        <w:rPr>
          <w:rFonts w:ascii="Times New Roman" w:hAnsi="Times New Roman"/>
        </w:rPr>
        <w:pict>
          <v:shape id="自选图形 9090" o:spid="_x0000_s1121" o:spt="62" type="#_x0000_t62" style="position:absolute;left:0pt;margin-left:193.95pt;margin-top:186.75pt;height:19.85pt;width:53.85pt;z-index:251662336;mso-width-relative:page;mso-height-relative:page;" coordsize="21600,21600" adj="-4249,39488">
            <v:path/>
            <v:fill focussize="0,0"/>
            <v:stroke joinstyle="miter"/>
            <v:imagedata o:title=""/>
            <o:lock v:ext="edit"/>
            <v:textbox>
              <w:txbxContent>
                <w:p w14:paraId="4455F40C">
                  <w:pPr>
                    <w:pStyle w:val="179"/>
                  </w:pPr>
                  <w:r>
                    <w:t>本项目</w:t>
                  </w:r>
                </w:p>
              </w:txbxContent>
            </v:textbox>
          </v:shape>
        </w:pict>
      </w:r>
      <w:r>
        <w:rPr>
          <w:rFonts w:ascii="Times New Roman" w:hAnsi="Times New Roman"/>
        </w:rPr>
        <w:pict>
          <v:shape id="自选图形 9674" o:spid="_x0000_s1122" o:spt="12" type="#_x0000_t12" style="position:absolute;left:0pt;margin-left:178.35pt;margin-top:218.9pt;height:8.5pt;width:8.5pt;z-index:251663360;mso-width-relative:page;mso-height-relative:page;" fillcolor="#FF0000" filled="t" coordsize="21600,21600">
            <v:path/>
            <v:fill on="t" focussize="0,0"/>
            <v:stroke joinstyle="miter"/>
            <v:imagedata o:title=""/>
            <o:lock v:ext="edit"/>
          </v:shape>
        </w:pict>
      </w:r>
      <w:r>
        <w:rPr>
          <w:rFonts w:ascii="Times New Roman" w:hAnsi="Times New Roman"/>
        </w:rPr>
        <w:drawing>
          <wp:inline distT="0" distB="0" distL="0" distR="0">
            <wp:extent cx="4643120" cy="6492875"/>
            <wp:effectExtent l="19050" t="0" r="4899" b="0"/>
            <wp:docPr id="94" name="图片 83" descr="黑龙江省水土保持规划（责任页版） (1)_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83" descr="黑龙江省水土保持规划（责任页版） (1)_87"/>
                    <pic:cNvPicPr>
                      <a:picLocks noChangeAspect="1" noChangeArrowheads="1"/>
                    </pic:cNvPicPr>
                  </pic:nvPicPr>
                  <pic:blipFill>
                    <a:blip r:embed="rId29"/>
                    <a:srcRect l="7921" t="7561" r="6058" b="7347"/>
                    <a:stretch>
                      <a:fillRect/>
                    </a:stretch>
                  </pic:blipFill>
                  <pic:spPr>
                    <a:xfrm>
                      <a:off x="0" y="0"/>
                      <a:ext cx="4643301" cy="6493329"/>
                    </a:xfrm>
                    <a:prstGeom prst="rect">
                      <a:avLst/>
                    </a:prstGeom>
                    <a:noFill/>
                    <a:ln w="9525" cmpd="sng">
                      <a:noFill/>
                      <a:miter lim="800000"/>
                      <a:headEnd/>
                      <a:tailEnd/>
                    </a:ln>
                    <a:effectLst/>
                  </pic:spPr>
                </pic:pic>
              </a:graphicData>
            </a:graphic>
          </wp:inline>
        </w:drawing>
      </w:r>
    </w:p>
    <w:p w14:paraId="583E4373">
      <w:pPr>
        <w:pStyle w:val="178"/>
        <w:rPr>
          <w:rFonts w:ascii="Times New Roman" w:hAnsi="Times New Roman"/>
        </w:rPr>
      </w:pPr>
      <w:r>
        <w:rPr>
          <w:rFonts w:ascii="Times New Roman"/>
        </w:rPr>
        <w:t>图</w:t>
      </w:r>
      <w:r>
        <w:rPr>
          <w:rFonts w:ascii="Times New Roman" w:hAnsi="Times New Roman"/>
        </w:rPr>
        <w:t>1.4-</w:t>
      </w:r>
      <w:r>
        <w:rPr>
          <w:rFonts w:hint="eastAsia" w:ascii="Times New Roman" w:hAnsi="Times New Roman"/>
        </w:rPr>
        <w:t xml:space="preserve">1  </w:t>
      </w:r>
      <w:r>
        <w:rPr>
          <w:rFonts w:ascii="Times New Roman"/>
        </w:rPr>
        <w:t>黑龙江省水土保持重点预防区和重点治理区划分图</w:t>
      </w:r>
    </w:p>
    <w:p w14:paraId="0D643E6F">
      <w:pPr>
        <w:ind w:firstLine="482"/>
        <w:rPr>
          <w:rFonts w:hAnsi="Times New Roman" w:cs="Times New Roman"/>
          <w:b/>
        </w:rPr>
      </w:pPr>
      <w:r>
        <w:rPr>
          <w:rFonts w:hAnsi="Times New Roman" w:cs="Times New Roman"/>
          <w:b/>
        </w:rPr>
        <w:t>5、与《黑河市国土空间总体规划（2021—2035年）》的符合性分析</w:t>
      </w:r>
    </w:p>
    <w:p w14:paraId="631985B2">
      <w:pPr>
        <w:ind w:firstLine="480"/>
        <w:rPr>
          <w:rFonts w:hAnsi="Times New Roman" w:cs="Times New Roman"/>
        </w:rPr>
      </w:pPr>
      <w:r>
        <w:rPr>
          <w:rFonts w:hAnsi="Times New Roman" w:cs="Times New Roman"/>
        </w:rPr>
        <w:t>根据规划相关内容：“以黑龙江省宏观调控政策为基础，统筹兼顾黑河市经济发展需求及产业规划，确定矿产资源勘查开发方向。重点推进金、铜、钨、钼、铁、煤战略性矿产资源勘查开发，加强矿泉水、大理岩、玛瑙、珍珠岩、沸石、浮石地方优势矿产资源开发力度。禁止开采砂金、泥炭及可耕地的砖瓦用粘土。”</w:t>
      </w:r>
    </w:p>
    <w:p w14:paraId="5CCEBAB8">
      <w:pPr>
        <w:ind w:firstLine="480"/>
        <w:rPr>
          <w:rFonts w:hAnsi="Times New Roman" w:cs="Times New Roman"/>
        </w:rPr>
      </w:pPr>
      <w:r>
        <w:rPr>
          <w:rFonts w:hAnsi="Times New Roman" w:cs="Times New Roman"/>
        </w:rPr>
        <w:t>“</w:t>
      </w:r>
      <w:r>
        <w:rPr>
          <w:rFonts w:hAnsi="Times New Roman" w:cs="Times New Roman"/>
          <w:b/>
        </w:rPr>
        <w:t>第69条矿产资源开发与利用</w:t>
      </w:r>
      <w:r>
        <w:rPr>
          <w:rFonts w:hAnsi="Times New Roman" w:cs="Times New Roman"/>
        </w:rPr>
        <w:t xml:space="preserve">” </w:t>
      </w:r>
    </w:p>
    <w:p w14:paraId="1D91D6C9">
      <w:pPr>
        <w:ind w:firstLine="480"/>
        <w:rPr>
          <w:rFonts w:hAnsi="Times New Roman" w:cs="Times New Roman"/>
        </w:rPr>
      </w:pPr>
      <w:r>
        <w:rPr>
          <w:rFonts w:hAnsi="Times New Roman" w:cs="Times New Roman"/>
        </w:rPr>
        <w:t>“1.科学合理确定开发强度</w:t>
      </w:r>
    </w:p>
    <w:p w14:paraId="5888823C">
      <w:pPr>
        <w:ind w:firstLine="480"/>
        <w:rPr>
          <w:rFonts w:hAnsi="Times New Roman" w:cs="Times New Roman"/>
        </w:rPr>
      </w:pPr>
      <w:r>
        <w:rPr>
          <w:rFonts w:hAnsi="Times New Roman" w:cs="Times New Roman"/>
        </w:rPr>
        <w:t>“贯彻绿色发展理念，依法科学开发、有序开发、综合开发。矿业活动要避让生态保护、基本农田、城镇开发等空间管控边界。对战略性矿产实施保护性开采。重点开发金、银、铜、铁、煤、矿泉水等矿产，以及建筑用石料、沸石等优势矿产。对低品位及露天方式开采的矿产，要科学论证、严格管理、合理开发。</w:t>
      </w:r>
    </w:p>
    <w:p w14:paraId="4F06844B">
      <w:pPr>
        <w:ind w:firstLine="480"/>
        <w:rPr>
          <w:rFonts w:hAnsi="Times New Roman" w:cs="Times New Roman"/>
        </w:rPr>
      </w:pPr>
      <w:r>
        <w:rPr>
          <w:rFonts w:hAnsi="Times New Roman" w:cs="Times New Roman"/>
        </w:rPr>
        <w:t>“2.优化开发利用结构</w:t>
      </w:r>
    </w:p>
    <w:p w14:paraId="4BE0403D">
      <w:pPr>
        <w:ind w:firstLine="480"/>
        <w:rPr>
          <w:rFonts w:hAnsi="Times New Roman" w:cs="Times New Roman"/>
        </w:rPr>
      </w:pPr>
      <w:r>
        <w:rPr>
          <w:rFonts w:hAnsi="Times New Roman" w:cs="Times New Roman"/>
        </w:rPr>
        <w:t>“围绕有色金属等矿产资源勘查开发利用，加快建设一批“探采加”一体化大项目，加大资金投入力度。根据国民经济发展、消费结构变化以及国内外市场需求，合理配置采选冶加工生产能力，加快科技创新步伐，重点提高精深细产品加工和生产能力，提高矿产资源选冶及深加工能力，延长产品链条，提高矿产品附加值和企业经济效益，加快非金属矿产开发绿色改造升级，扩大新型矿产品在国内市场的占有份额，加速推进黑河市矿业高质量发展。”</w:t>
      </w:r>
    </w:p>
    <w:p w14:paraId="22FAB88E">
      <w:pPr>
        <w:ind w:firstLine="480"/>
        <w:rPr>
          <w:rFonts w:hAnsi="Times New Roman" w:cs="Times New Roman"/>
        </w:rPr>
      </w:pPr>
      <w:r>
        <w:rPr>
          <w:rFonts w:hAnsi="Times New Roman" w:cs="Times New Roman"/>
        </w:rPr>
        <w:t>“</w:t>
      </w:r>
      <w:r>
        <w:rPr>
          <w:rFonts w:hAnsi="Times New Roman" w:cs="Times New Roman"/>
          <w:b/>
        </w:rPr>
        <w:t>第70条矿产资源保护与管理</w:t>
      </w:r>
    </w:p>
    <w:p w14:paraId="0D3B07EB">
      <w:pPr>
        <w:ind w:firstLine="480"/>
        <w:rPr>
          <w:rFonts w:hAnsi="Times New Roman" w:cs="Times New Roman"/>
        </w:rPr>
      </w:pPr>
      <w:r>
        <w:rPr>
          <w:rFonts w:hAnsi="Times New Roman" w:cs="Times New Roman"/>
        </w:rPr>
        <w:t>“依据国家产业政策和矿产资源开采技术要求，以综合利用、集约开发、规模经营为原则，合理确定开采方式，满足最低资源储量规模、开采规模、服务年限、相邻矿山最小安全距离（设计规范规定保留安全间距）和生态环境、安全准入。</w:t>
      </w:r>
    </w:p>
    <w:p w14:paraId="75B41DCC">
      <w:pPr>
        <w:ind w:firstLine="480"/>
        <w:rPr>
          <w:rFonts w:hAnsi="Times New Roman" w:cs="Times New Roman"/>
        </w:rPr>
      </w:pPr>
      <w:r>
        <w:rPr>
          <w:rFonts w:hAnsi="Times New Roman" w:cs="Times New Roman"/>
        </w:rPr>
        <w:t>“1.严格控制矿山开采规模</w:t>
      </w:r>
    </w:p>
    <w:p w14:paraId="15E32583">
      <w:pPr>
        <w:ind w:firstLine="480"/>
        <w:rPr>
          <w:rFonts w:hAnsi="Times New Roman" w:cs="Times New Roman"/>
        </w:rPr>
      </w:pPr>
      <w:r>
        <w:rPr>
          <w:rFonts w:hAnsi="Times New Roman" w:cs="Times New Roman"/>
        </w:rPr>
        <w:t>“坚持矿山设计开采规模与矿区资源储量规模相适应的原则，实施最低开采规模准入制度，新建矿山必须符合规划布局、资源保护、节约利用、生态保护修复等指标和准入要求。已建矿山开采规模与资源储量规模不适应的，通过技术改造、资源整合等措施，逐步达到最低开采规模要求。</w:t>
      </w:r>
    </w:p>
    <w:p w14:paraId="368B469A">
      <w:pPr>
        <w:ind w:firstLine="480"/>
        <w:rPr>
          <w:rFonts w:hAnsi="Times New Roman" w:cs="Times New Roman"/>
        </w:rPr>
      </w:pPr>
      <w:r>
        <w:rPr>
          <w:rFonts w:hAnsi="Times New Roman" w:cs="Times New Roman"/>
        </w:rPr>
        <w:t>“2.设置空间准入条件</w:t>
      </w:r>
    </w:p>
    <w:p w14:paraId="3237FA96">
      <w:pPr>
        <w:ind w:firstLine="480"/>
        <w:rPr>
          <w:rFonts w:hAnsi="Times New Roman" w:cs="Times New Roman"/>
        </w:rPr>
      </w:pPr>
      <w:r>
        <w:rPr>
          <w:rFonts w:hAnsi="Times New Roman" w:cs="Times New Roman"/>
        </w:rPr>
        <w:t>“新建矿山应以国土空间总体规划为依据，与相关专项规划衔接。矿山与生态保护红线、永久基本农田、城镇开发边界、各类自然保护地、交通干道（铁路、高速公路、国道、省道）、居民区、河流湖泊沿线等空间的位置关系要符合相关规定。</w:t>
      </w:r>
    </w:p>
    <w:p w14:paraId="379587BA">
      <w:pPr>
        <w:ind w:firstLine="480"/>
        <w:rPr>
          <w:rFonts w:hAnsi="Times New Roman" w:cs="Times New Roman"/>
        </w:rPr>
      </w:pPr>
      <w:r>
        <w:rPr>
          <w:rFonts w:hAnsi="Times New Roman" w:cs="Times New Roman"/>
        </w:rPr>
        <w:t>“3.控制开发利用水平</w:t>
      </w:r>
    </w:p>
    <w:p w14:paraId="32740898">
      <w:pPr>
        <w:ind w:firstLine="480"/>
        <w:rPr>
          <w:rFonts w:hAnsi="Times New Roman" w:cs="Times New Roman"/>
        </w:rPr>
      </w:pPr>
      <w:r>
        <w:rPr>
          <w:rFonts w:hAnsi="Times New Roman" w:cs="Times New Roman"/>
        </w:rPr>
        <w:t>“遵循“安全、高效、经济和充分利用资源”的原则，在经济合理的情况下，采取先进的开采技术，推进贫矿及共伴生矿、矿业废弃物及节能降耗技术的研究应用，提高资源综合利用水平。</w:t>
      </w:r>
    </w:p>
    <w:p w14:paraId="72FF043E">
      <w:pPr>
        <w:ind w:firstLine="480"/>
        <w:rPr>
          <w:rFonts w:hAnsi="Times New Roman" w:cs="Times New Roman"/>
        </w:rPr>
      </w:pPr>
      <w:r>
        <w:rPr>
          <w:rFonts w:hAnsi="Times New Roman" w:cs="Times New Roman"/>
        </w:rPr>
        <w:t>“4.战略资源保护储备</w:t>
      </w:r>
    </w:p>
    <w:p w14:paraId="3739AC9B">
      <w:pPr>
        <w:ind w:firstLine="480"/>
        <w:rPr>
          <w:rFonts w:hAnsi="Times New Roman" w:cs="Times New Roman"/>
        </w:rPr>
      </w:pPr>
      <w:r>
        <w:rPr>
          <w:rFonts w:hAnsi="Times New Roman" w:cs="Times New Roman"/>
        </w:rPr>
        <w:t>“开展矿产资源国情调查，全面摸清全市矿产资源数量、质量、结构和空间分布及变化情况，提升掌控资源家底能力。对全市经济有重要意义的煤炭以及其他需要储备的矿产进行矿产资源保护与储备，构建产品产能产地储备相结合的国家战略资源能源储备体系。</w:t>
      </w:r>
    </w:p>
    <w:p w14:paraId="5401EDD3">
      <w:pPr>
        <w:ind w:firstLine="480"/>
        <w:rPr>
          <w:rFonts w:hAnsi="Times New Roman" w:cs="Times New Roman"/>
        </w:rPr>
      </w:pPr>
      <w:r>
        <w:rPr>
          <w:rFonts w:hAnsi="Times New Roman" w:cs="Times New Roman"/>
        </w:rPr>
        <w:t>“5.规范砂石土矿管理</w:t>
      </w:r>
    </w:p>
    <w:p w14:paraId="2367A810">
      <w:pPr>
        <w:ind w:firstLine="480"/>
        <w:rPr>
          <w:rFonts w:hAnsi="Times New Roman" w:cs="Times New Roman"/>
        </w:rPr>
      </w:pPr>
      <w:r>
        <w:rPr>
          <w:rFonts w:hAnsi="Times New Roman" w:cs="Times New Roman"/>
        </w:rPr>
        <w:t>“根据经济运输半径、区域供需平衡、重大工程建设等因素，有效确定砂石土矿山数量，合理设置砂石土集中开采区，优化砂石土开发空间布局，引导集中开采、规模开采、绿色开采，最大限度减轻对生态环境的破坏。鼓励利用废石以及矿山尾矿生产机制砂石。新立矿山必须按照砂石土专项规划和绿色矿山标准建设。建立砂石土矿供需动态调整机制，满足重大工程或应急项目对资源的需求。</w:t>
      </w:r>
    </w:p>
    <w:p w14:paraId="2ECDE683">
      <w:pPr>
        <w:ind w:firstLine="480"/>
        <w:rPr>
          <w:rFonts w:hAnsi="Times New Roman" w:cs="Times New Roman"/>
        </w:rPr>
      </w:pPr>
      <w:r>
        <w:rPr>
          <w:rFonts w:hAnsi="Times New Roman" w:cs="Times New Roman"/>
        </w:rPr>
        <w:t>“全面打造安全高效、智能绿色、和谐发展的现代化矿山企业，推动黑河矿山机械化、自动化、信息化水平不断提高，逐渐找到安全、绿色、高效、智能发展新路径。坚持绿色矿业发展，尊重自然、保护优先，自然恢复和适度人工修复相结合，加强绿色矿山建设，引领矿业高质量发展。”</w:t>
      </w:r>
    </w:p>
    <w:p w14:paraId="1239DFB0">
      <w:pPr>
        <w:ind w:firstLine="480"/>
        <w:rPr>
          <w:rFonts w:hAnsi="Times New Roman" w:cs="Times New Roman"/>
        </w:rPr>
      </w:pPr>
      <w:r>
        <w:rPr>
          <w:rFonts w:hAnsi="Times New Roman" w:cs="Times New Roman"/>
        </w:rPr>
        <w:t>本项目为新建矿山，开采矿种为建筑用凝灰岩，年开采量为30万立方米，属于大型矿山，符合开采规模要求；不属于禁止开采的砂金、泥炭及可耕地的砖瓦用粘土。矿山与生态保护红线、永久基本农田、城镇开发边界、各类自然保护地、交通干道（铁路、高速公路、国道、省道）、居民区、河流湖泊沿线等空间的位置关系要符合相关规定，选址占地均为林地，项目单位按照国家规定缴纳林地补偿费，由当地的林业部门按照“占一补一”的原则，对区域内林地进行林地补偿。通过科学有序进行矿产资源的点状开发并做好生态恢复，本项目严格按照绿色矿山标准建设，认真落实矿山地质环境保护与土地复垦方案的要求，开采结束后，矿区范围及进场道路进行复垦，恢复为林地，土地复垦率100%，建设单位应落实“边开采、边修复”等要求，项目与《黑河市国土空间总体规划（2021—2035年）》相协调。</w:t>
      </w:r>
    </w:p>
    <w:p w14:paraId="2A28BCBE">
      <w:pPr>
        <w:ind w:firstLine="482"/>
        <w:rPr>
          <w:rFonts w:hAnsi="Times New Roman" w:cs="Times New Roman"/>
          <w:b/>
        </w:rPr>
      </w:pPr>
      <w:r>
        <w:rPr>
          <w:rFonts w:hint="eastAsia" w:hAnsi="Times New Roman" w:cs="Times New Roman"/>
          <w:b/>
        </w:rPr>
        <w:t>6</w:t>
      </w:r>
      <w:r>
        <w:rPr>
          <w:rFonts w:hAnsi="Times New Roman" w:cs="Times New Roman"/>
          <w:b/>
        </w:rPr>
        <w:t>、与《嫩江市砂石土资源开发利用专项规划（2021—2025年）》符合性分析</w:t>
      </w:r>
    </w:p>
    <w:p w14:paraId="477D097D">
      <w:pPr>
        <w:ind w:firstLine="480"/>
        <w:rPr>
          <w:rFonts w:hAnsi="Times New Roman" w:cs="Times New Roman"/>
          <w:b/>
        </w:rPr>
      </w:pPr>
      <w:r>
        <w:rPr>
          <w:rFonts w:hAnsi="Times New Roman" w:cs="Times New Roman"/>
        </w:rPr>
        <w:t>根据《嫩江市砂石土资源开发利用专项规划（2021—2025年）》“</w:t>
      </w:r>
      <w:r>
        <w:rPr>
          <w:rFonts w:hAnsi="Times New Roman" w:cs="Times New Roman"/>
          <w:b/>
        </w:rPr>
        <w:t>砂石土资源开发利用与保护</w:t>
      </w:r>
      <w:r>
        <w:rPr>
          <w:rFonts w:hAnsi="Times New Roman" w:cs="Times New Roman"/>
        </w:rPr>
        <w:t>”部分“</w:t>
      </w:r>
      <w:r>
        <w:rPr>
          <w:rFonts w:hAnsi="Times New Roman" w:cs="Times New Roman"/>
          <w:b/>
        </w:rPr>
        <w:t>（二）优化开采布局</w:t>
      </w:r>
      <w:r>
        <w:rPr>
          <w:rFonts w:hAnsi="Times New Roman" w:cs="Times New Roman"/>
        </w:rPr>
        <w:t>”的要求</w:t>
      </w:r>
    </w:p>
    <w:p w14:paraId="0D0E6C63">
      <w:pPr>
        <w:ind w:firstLine="480"/>
        <w:rPr>
          <w:rFonts w:hAnsi="Times New Roman" w:cs="Times New Roman"/>
        </w:rPr>
      </w:pPr>
      <w:r>
        <w:rPr>
          <w:rFonts w:hAnsi="Times New Roman" w:cs="Times New Roman"/>
        </w:rPr>
        <w:t>“1、禁止开采区</w:t>
      </w:r>
    </w:p>
    <w:p w14:paraId="12D705CE">
      <w:pPr>
        <w:ind w:firstLine="480"/>
        <w:rPr>
          <w:rFonts w:hAnsi="Times New Roman" w:cs="Times New Roman"/>
        </w:rPr>
      </w:pPr>
      <w:r>
        <w:rPr>
          <w:rFonts w:hAnsi="Times New Roman" w:cs="Times New Roman"/>
        </w:rPr>
        <w:t>“本《规划》将生态保护区（包括自然保护区）、城乡建设用地区、基本农田保护区、一般农地区（现状为耕地的）划定为砂石土禁止开采区。</w:t>
      </w:r>
    </w:p>
    <w:p w14:paraId="69ADCEC2">
      <w:pPr>
        <w:ind w:firstLine="480"/>
        <w:rPr>
          <w:rFonts w:hAnsi="Times New Roman" w:cs="Times New Roman"/>
        </w:rPr>
      </w:pPr>
      <w:r>
        <w:rPr>
          <w:rFonts w:hAnsi="Times New Roman" w:cs="Times New Roman"/>
        </w:rPr>
        <w:t>“除此之外，铁路、公路、国道、旅游公路、河流、湖泊及两侧可视范围内等其它重要区域也视为禁止开采区，其范围遵从其规定。</w:t>
      </w:r>
    </w:p>
    <w:p w14:paraId="611B13A4">
      <w:pPr>
        <w:ind w:firstLine="480"/>
        <w:rPr>
          <w:rFonts w:hAnsi="Times New Roman" w:cs="Times New Roman"/>
        </w:rPr>
      </w:pPr>
      <w:r>
        <w:rPr>
          <w:rFonts w:hAnsi="Times New Roman" w:cs="Times New Roman"/>
        </w:rPr>
        <w:t>“依据生态红线保护界线、耕地保护界线、城乡建设保护界线，划定的禁止开采区，共计7799.08平方千米，其中：生态保护功能区总面积766.55平方千米；耕地保护功能区总面积6825.41平方千米；城乡建设用地区总面积207.12平方千米。</w:t>
      </w:r>
    </w:p>
    <w:p w14:paraId="48D1D38B">
      <w:pPr>
        <w:ind w:firstLine="480"/>
        <w:rPr>
          <w:rFonts w:hAnsi="Times New Roman" w:cs="Times New Roman"/>
        </w:rPr>
      </w:pPr>
      <w:r>
        <w:rPr>
          <w:rFonts w:hAnsi="Times New Roman" w:cs="Times New Roman"/>
        </w:rPr>
        <w:t>“禁止开采区内，不得新设砂石土资源开发项目，按照国家和省政府的统一部署，全面清理该区域内已设置的采矿权，在禁止开采区划定之前已存在的合法矿权，分类提出差别化的补偿和退出方案，在保证矿业权人合法权益的前提下，依法有序退出。”</w:t>
      </w:r>
    </w:p>
    <w:p w14:paraId="1F800EDC">
      <w:pPr>
        <w:ind w:firstLine="480"/>
        <w:rPr>
          <w:rFonts w:hAnsi="Times New Roman" w:cs="Times New Roman"/>
        </w:rPr>
      </w:pPr>
      <w:r>
        <w:rPr>
          <w:rFonts w:hAnsi="Times New Roman" w:cs="Times New Roman"/>
        </w:rPr>
        <w:t>“2、允许开采区</w:t>
      </w:r>
    </w:p>
    <w:p w14:paraId="066BCE4B">
      <w:pPr>
        <w:ind w:firstLine="480"/>
        <w:rPr>
          <w:rFonts w:hAnsi="Times New Roman" w:cs="Times New Roman"/>
        </w:rPr>
      </w:pPr>
      <w:r>
        <w:rPr>
          <w:rFonts w:hAnsi="Times New Roman" w:cs="Times New Roman"/>
        </w:rPr>
        <w:t>禁止开采区外，适宜进行砂石土资源开采的区域均为允许开采区。</w:t>
      </w:r>
    </w:p>
    <w:p w14:paraId="1278A919">
      <w:pPr>
        <w:ind w:firstLine="480"/>
        <w:rPr>
          <w:rFonts w:hAnsi="Times New Roman" w:cs="Times New Roman"/>
        </w:rPr>
      </w:pPr>
      <w:r>
        <w:rPr>
          <w:rFonts w:hAnsi="Times New Roman" w:cs="Times New Roman"/>
        </w:rPr>
        <w:t>允许开采区内新设采矿权必须符合本《规划》规定的矿山最低开采规模、矿山生态环境修复、绿色矿业、矿山安全生产等规划准入条件，达不到规划准入条件的已有采矿权必须进行整改，整改后仍达不到要求的，采矿权不予延续或依法注销其采矿许可证。”</w:t>
      </w:r>
    </w:p>
    <w:p w14:paraId="5FA58AD3">
      <w:pPr>
        <w:ind w:firstLine="480"/>
        <w:rPr>
          <w:rFonts w:hAnsi="Times New Roman" w:cs="Times New Roman"/>
        </w:rPr>
      </w:pPr>
      <w:r>
        <w:rPr>
          <w:rFonts w:hAnsi="Times New Roman" w:cs="Times New Roman"/>
        </w:rPr>
        <w:t>“（四）开采准入条件”部分要求如下：</w:t>
      </w:r>
    </w:p>
    <w:p w14:paraId="3F64FFFD">
      <w:pPr>
        <w:ind w:firstLine="480"/>
        <w:rPr>
          <w:rFonts w:hAnsi="Times New Roman" w:cs="Times New Roman"/>
        </w:rPr>
      </w:pPr>
      <w:r>
        <w:rPr>
          <w:rFonts w:hAnsi="Times New Roman" w:cs="Times New Roman"/>
        </w:rPr>
        <w:t>“1、矿山最低开采规模</w:t>
      </w:r>
    </w:p>
    <w:p w14:paraId="09EFA1A5">
      <w:pPr>
        <w:ind w:firstLine="480"/>
        <w:rPr>
          <w:rFonts w:hAnsi="Times New Roman" w:cs="Times New Roman"/>
        </w:rPr>
      </w:pPr>
      <w:r>
        <w:rPr>
          <w:rFonts w:hAnsi="Times New Roman" w:cs="Times New Roman"/>
        </w:rPr>
        <w:t>“全市统一提出最低开采规模标准，建筑用砂资源大型大于等于30万立方米，中型大于等于10万立方米且小于30万立方米，小型大于等于3万立方米且小于10万立方米；建筑用石资源大型大于等于30万立方米，中型大于等于10万立方米且小于30万立方米，小型大于等于3万立方米且小于10万立方米；普通粘土资源大于等于30万立方米，中型大于等于10万立方米且小于30万立方米，小型大于等于3万立方米且小于10万立方米。</w:t>
      </w:r>
    </w:p>
    <w:p w14:paraId="4953815A">
      <w:pPr>
        <w:pStyle w:val="178"/>
        <w:rPr>
          <w:rFonts w:ascii="Times New Roman" w:hAnsi="Times New Roman"/>
        </w:rPr>
      </w:pPr>
      <w:r>
        <w:rPr>
          <w:rFonts w:hint="eastAsia" w:ascii="Times New Roman"/>
        </w:rPr>
        <w:t>表1.4-3</w:t>
      </w:r>
      <w:r>
        <w:rPr>
          <w:rFonts w:ascii="Times New Roman"/>
        </w:rPr>
        <w:t>嫩江市砂石土矿山最低开采规模一览表</w:t>
      </w:r>
    </w:p>
    <w:tbl>
      <w:tblPr>
        <w:tblStyle w:val="36"/>
        <w:tblW w:w="8505"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FFFFFF"/>
        <w:tblLayout w:type="autofit"/>
        <w:tblCellMar>
          <w:top w:w="0" w:type="dxa"/>
          <w:left w:w="0" w:type="dxa"/>
          <w:bottom w:w="0" w:type="dxa"/>
          <w:right w:w="0" w:type="dxa"/>
        </w:tblCellMar>
      </w:tblPr>
      <w:tblGrid>
        <w:gridCol w:w="1735"/>
        <w:gridCol w:w="1735"/>
        <w:gridCol w:w="2517"/>
        <w:gridCol w:w="2518"/>
      </w:tblGrid>
      <w:tr w14:paraId="4486AFE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FFFFFF"/>
          <w:tblCellMar>
            <w:top w:w="0" w:type="dxa"/>
            <w:left w:w="0" w:type="dxa"/>
            <w:bottom w:w="0" w:type="dxa"/>
            <w:right w:w="0" w:type="dxa"/>
          </w:tblCellMar>
        </w:tblPrEx>
        <w:trPr>
          <w:trHeight w:val="340" w:hRule="atLeast"/>
          <w:tblHeader/>
          <w:jc w:val="center"/>
        </w:trPr>
        <w:tc>
          <w:tcPr>
            <w:tcW w:w="1020" w:type="pct"/>
            <w:shd w:val="clear" w:color="auto" w:fill="FFFFFF"/>
            <w:vAlign w:val="center"/>
          </w:tcPr>
          <w:p w14:paraId="62FDDF66">
            <w:pPr>
              <w:pStyle w:val="179"/>
              <w:rPr>
                <w:rFonts w:cs="Times New Roman"/>
                <w:b/>
              </w:rPr>
            </w:pPr>
            <w:r>
              <w:rPr>
                <w:rFonts w:cs="Times New Roman"/>
                <w:b/>
              </w:rPr>
              <w:t>矿种类别</w:t>
            </w:r>
          </w:p>
        </w:tc>
        <w:tc>
          <w:tcPr>
            <w:tcW w:w="1020" w:type="pct"/>
            <w:shd w:val="clear" w:color="auto" w:fill="FFFFFF"/>
            <w:vAlign w:val="center"/>
          </w:tcPr>
          <w:p w14:paraId="556CEF4E">
            <w:pPr>
              <w:pStyle w:val="179"/>
              <w:rPr>
                <w:rFonts w:cs="Times New Roman"/>
                <w:b/>
              </w:rPr>
            </w:pPr>
            <w:r>
              <w:rPr>
                <w:rFonts w:cs="Times New Roman"/>
                <w:b/>
              </w:rPr>
              <w:t>单位</w:t>
            </w:r>
          </w:p>
        </w:tc>
        <w:tc>
          <w:tcPr>
            <w:tcW w:w="1480" w:type="pct"/>
            <w:shd w:val="clear" w:color="auto" w:fill="FFFFFF"/>
            <w:vAlign w:val="center"/>
          </w:tcPr>
          <w:p w14:paraId="202D5EEE">
            <w:pPr>
              <w:pStyle w:val="179"/>
              <w:rPr>
                <w:rFonts w:cs="Times New Roman"/>
                <w:b/>
              </w:rPr>
            </w:pPr>
            <w:r>
              <w:rPr>
                <w:rFonts w:cs="Times New Roman"/>
                <w:b/>
              </w:rPr>
              <w:t>矿山生产建设规模级别</w:t>
            </w:r>
          </w:p>
        </w:tc>
        <w:tc>
          <w:tcPr>
            <w:tcW w:w="1480" w:type="pct"/>
            <w:shd w:val="clear" w:color="auto" w:fill="FFFFFF"/>
            <w:vAlign w:val="center"/>
          </w:tcPr>
          <w:p w14:paraId="1BB73A8B">
            <w:pPr>
              <w:pStyle w:val="179"/>
              <w:rPr>
                <w:rFonts w:cs="Times New Roman"/>
                <w:b/>
              </w:rPr>
            </w:pPr>
            <w:r>
              <w:rPr>
                <w:rFonts w:cs="Times New Roman"/>
                <w:b/>
              </w:rPr>
              <w:t>最低开采规模</w:t>
            </w:r>
          </w:p>
        </w:tc>
      </w:tr>
      <w:tr w14:paraId="3293025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0" w:type="pct"/>
            <w:shd w:val="clear" w:color="auto" w:fill="FFFFFF"/>
            <w:vAlign w:val="center"/>
          </w:tcPr>
          <w:p w14:paraId="2D905DAF">
            <w:pPr>
              <w:pStyle w:val="179"/>
              <w:rPr>
                <w:rFonts w:cs="Times New Roman"/>
              </w:rPr>
            </w:pPr>
            <w:r>
              <w:rPr>
                <w:rFonts w:cs="Times New Roman"/>
              </w:rPr>
              <w:t>建筑用石</w:t>
            </w:r>
          </w:p>
        </w:tc>
        <w:tc>
          <w:tcPr>
            <w:tcW w:w="1020" w:type="pct"/>
            <w:shd w:val="clear" w:color="auto" w:fill="FFFFFF"/>
            <w:vAlign w:val="center"/>
          </w:tcPr>
          <w:p w14:paraId="428517BE">
            <w:pPr>
              <w:pStyle w:val="179"/>
              <w:rPr>
                <w:rFonts w:cs="Times New Roman"/>
              </w:rPr>
            </w:pPr>
            <w:r>
              <w:rPr>
                <w:rFonts w:cs="Times New Roman"/>
              </w:rPr>
              <w:t>万立方米/年</w:t>
            </w:r>
          </w:p>
        </w:tc>
        <w:tc>
          <w:tcPr>
            <w:tcW w:w="1480" w:type="pct"/>
            <w:shd w:val="clear" w:color="auto" w:fill="FFFFFF"/>
            <w:vAlign w:val="center"/>
          </w:tcPr>
          <w:p w14:paraId="55B17381">
            <w:pPr>
              <w:pStyle w:val="179"/>
              <w:rPr>
                <w:rFonts w:cs="Times New Roman"/>
              </w:rPr>
            </w:pPr>
            <w:r>
              <w:rPr>
                <w:rFonts w:cs="Times New Roman"/>
              </w:rPr>
              <w:t>大型</w:t>
            </w:r>
          </w:p>
        </w:tc>
        <w:tc>
          <w:tcPr>
            <w:tcW w:w="1480" w:type="pct"/>
            <w:shd w:val="clear" w:color="auto" w:fill="FFFFFF"/>
            <w:vAlign w:val="center"/>
          </w:tcPr>
          <w:p w14:paraId="6B272A74">
            <w:pPr>
              <w:pStyle w:val="179"/>
              <w:rPr>
                <w:rFonts w:cs="Times New Roman"/>
              </w:rPr>
            </w:pPr>
            <w:r>
              <w:rPr>
                <w:rFonts w:cs="Times New Roman"/>
              </w:rPr>
              <w:t>≥30</w:t>
            </w:r>
          </w:p>
        </w:tc>
      </w:tr>
      <w:tr w14:paraId="715A8ED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FFFFFF"/>
          <w:tblCellMar>
            <w:top w:w="0" w:type="dxa"/>
            <w:left w:w="0" w:type="dxa"/>
            <w:bottom w:w="0" w:type="dxa"/>
            <w:right w:w="0" w:type="dxa"/>
          </w:tblCellMar>
        </w:tblPrEx>
        <w:trPr>
          <w:trHeight w:val="340" w:hRule="atLeast"/>
          <w:jc w:val="center"/>
        </w:trPr>
        <w:tc>
          <w:tcPr>
            <w:tcW w:w="1020" w:type="pct"/>
            <w:shd w:val="clear" w:color="auto" w:fill="FFFFFF"/>
            <w:vAlign w:val="center"/>
          </w:tcPr>
          <w:p w14:paraId="0C08814E">
            <w:pPr>
              <w:pStyle w:val="179"/>
              <w:rPr>
                <w:rFonts w:cs="Times New Roman"/>
              </w:rPr>
            </w:pPr>
            <w:r>
              <w:rPr>
                <w:rFonts w:cs="Times New Roman"/>
              </w:rPr>
              <w:t>建筑用砂</w:t>
            </w:r>
          </w:p>
        </w:tc>
        <w:tc>
          <w:tcPr>
            <w:tcW w:w="1020" w:type="pct"/>
            <w:shd w:val="clear" w:color="auto" w:fill="FFFFFF"/>
            <w:vAlign w:val="center"/>
          </w:tcPr>
          <w:p w14:paraId="27C027E6">
            <w:pPr>
              <w:pStyle w:val="179"/>
              <w:rPr>
                <w:rFonts w:cs="Times New Roman"/>
              </w:rPr>
            </w:pPr>
            <w:r>
              <w:rPr>
                <w:rFonts w:cs="Times New Roman"/>
              </w:rPr>
              <w:t>万立方米/年</w:t>
            </w:r>
          </w:p>
        </w:tc>
        <w:tc>
          <w:tcPr>
            <w:tcW w:w="1480" w:type="pct"/>
            <w:shd w:val="clear" w:color="auto" w:fill="FFFFFF"/>
            <w:vAlign w:val="center"/>
          </w:tcPr>
          <w:p w14:paraId="04D8E2FA">
            <w:pPr>
              <w:pStyle w:val="179"/>
              <w:rPr>
                <w:rFonts w:cs="Times New Roman"/>
              </w:rPr>
            </w:pPr>
            <w:r>
              <w:rPr>
                <w:rFonts w:cs="Times New Roman"/>
              </w:rPr>
              <w:t>中型</w:t>
            </w:r>
          </w:p>
        </w:tc>
        <w:tc>
          <w:tcPr>
            <w:tcW w:w="1480" w:type="pct"/>
            <w:shd w:val="clear" w:color="auto" w:fill="FFFFFF"/>
            <w:vAlign w:val="center"/>
          </w:tcPr>
          <w:p w14:paraId="1ED6CE56">
            <w:pPr>
              <w:pStyle w:val="179"/>
              <w:rPr>
                <w:rFonts w:cs="Times New Roman"/>
              </w:rPr>
            </w:pPr>
            <w:r>
              <w:rPr>
                <w:rFonts w:cs="Times New Roman"/>
              </w:rPr>
              <w:t>≥10且＜30</w:t>
            </w:r>
          </w:p>
        </w:tc>
      </w:tr>
      <w:tr w14:paraId="22D8ABC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0" w:type="pct"/>
            <w:shd w:val="clear" w:color="auto" w:fill="FFFFFF"/>
            <w:vAlign w:val="center"/>
          </w:tcPr>
          <w:p w14:paraId="6053E509">
            <w:pPr>
              <w:pStyle w:val="179"/>
              <w:rPr>
                <w:rFonts w:cs="Times New Roman"/>
              </w:rPr>
            </w:pPr>
            <w:r>
              <w:rPr>
                <w:rFonts w:cs="Times New Roman"/>
              </w:rPr>
              <w:t>普通粘土</w:t>
            </w:r>
          </w:p>
        </w:tc>
        <w:tc>
          <w:tcPr>
            <w:tcW w:w="1020" w:type="pct"/>
            <w:shd w:val="clear" w:color="auto" w:fill="FFFFFF"/>
            <w:vAlign w:val="center"/>
          </w:tcPr>
          <w:p w14:paraId="62413E71">
            <w:pPr>
              <w:pStyle w:val="179"/>
              <w:rPr>
                <w:rFonts w:cs="Times New Roman"/>
              </w:rPr>
            </w:pPr>
            <w:r>
              <w:rPr>
                <w:rFonts w:cs="Times New Roman"/>
              </w:rPr>
              <w:t>万立方米/年</w:t>
            </w:r>
          </w:p>
        </w:tc>
        <w:tc>
          <w:tcPr>
            <w:tcW w:w="1480" w:type="pct"/>
            <w:shd w:val="clear" w:color="auto" w:fill="FFFFFF"/>
            <w:vAlign w:val="center"/>
          </w:tcPr>
          <w:p w14:paraId="7B267DBB">
            <w:pPr>
              <w:pStyle w:val="179"/>
              <w:rPr>
                <w:rFonts w:cs="Times New Roman"/>
              </w:rPr>
            </w:pPr>
            <w:r>
              <w:rPr>
                <w:rFonts w:cs="Times New Roman"/>
              </w:rPr>
              <w:t>小型</w:t>
            </w:r>
          </w:p>
        </w:tc>
        <w:tc>
          <w:tcPr>
            <w:tcW w:w="1480" w:type="pct"/>
            <w:shd w:val="clear" w:color="auto" w:fill="FFFFFF"/>
            <w:vAlign w:val="center"/>
          </w:tcPr>
          <w:p w14:paraId="186004BC">
            <w:pPr>
              <w:pStyle w:val="179"/>
              <w:rPr>
                <w:rFonts w:cs="Times New Roman"/>
              </w:rPr>
            </w:pPr>
            <w:r>
              <w:rPr>
                <w:rFonts w:cs="Times New Roman"/>
              </w:rPr>
              <w:t>≥3且＜10</w:t>
            </w:r>
          </w:p>
        </w:tc>
      </w:tr>
    </w:tbl>
    <w:p w14:paraId="1034DE05">
      <w:pPr>
        <w:ind w:firstLine="480"/>
        <w:rPr>
          <w:rFonts w:hAnsi="Times New Roman" w:cs="Times New Roman"/>
        </w:rPr>
      </w:pPr>
      <w:r>
        <w:rPr>
          <w:rFonts w:hAnsi="Times New Roman" w:cs="Times New Roman"/>
        </w:rPr>
        <w:t>“2、生态环境保护</w:t>
      </w:r>
    </w:p>
    <w:p w14:paraId="35AE2870">
      <w:pPr>
        <w:ind w:firstLine="480"/>
        <w:rPr>
          <w:rFonts w:hAnsi="Times New Roman" w:cs="Times New Roman"/>
        </w:rPr>
      </w:pPr>
      <w:r>
        <w:rPr>
          <w:rFonts w:hAnsi="Times New Roman" w:cs="Times New Roman"/>
        </w:rPr>
        <w:t>“全市砂石土矿山，必须提供矿产资源开发利用、矿山地质环境保护与土地复垦方案，并且符合《黑龙江省重点生态功能区产业准入负面清单》中我市产业负面清单要求。</w:t>
      </w:r>
    </w:p>
    <w:p w14:paraId="0AD574A8">
      <w:pPr>
        <w:ind w:firstLine="480"/>
        <w:rPr>
          <w:rFonts w:hAnsi="Times New Roman" w:cs="Times New Roman"/>
        </w:rPr>
      </w:pPr>
      <w:r>
        <w:rPr>
          <w:rFonts w:hAnsi="Times New Roman" w:cs="Times New Roman"/>
        </w:rPr>
        <w:t>“砂石土矿山要依法办理环保审批手续，提交拟建矿山环境影响评价的备案或批文及保护方案，签订矿山地质环境治理责任书，并计提不得低于治理费用的基金，严格落实环境保护“三同时”制度。按照经审查批准的矿山地质环境修复和土地复垦方案开展工作，做到“边开采、边修复”，矿区可绿化覆盖率达到100%。</w:t>
      </w:r>
    </w:p>
    <w:p w14:paraId="44C7B397">
      <w:pPr>
        <w:ind w:firstLine="480"/>
        <w:rPr>
          <w:rFonts w:hAnsi="Times New Roman" w:cs="Times New Roman"/>
        </w:rPr>
      </w:pPr>
      <w:r>
        <w:rPr>
          <w:rFonts w:hAnsi="Times New Roman" w:cs="Times New Roman"/>
        </w:rPr>
        <w:t>“3、绿色矿山建设</w:t>
      </w:r>
    </w:p>
    <w:p w14:paraId="2DADD64D">
      <w:pPr>
        <w:ind w:firstLine="480"/>
        <w:rPr>
          <w:rFonts w:hAnsi="Times New Roman" w:cs="Times New Roman"/>
        </w:rPr>
      </w:pPr>
      <w:r>
        <w:rPr>
          <w:rFonts w:hAnsi="Times New Roman" w:cs="Times New Roman"/>
        </w:rPr>
        <w:t>“新建矿山按照《砂石行业绿色矿山建设规范》（DZ/T0316-2018）的相关要求，资源开发应与环境保护、资源保护和城乡建设相协调，选择资源节约型、环境友好型的开发方式，做到绿色开采、绿色生产、绿色存贮、绿色运输，遵循“采剥并举、剥离先行”的原则，最大限度保留原生自然环境，减少对矿区植被破坏引起的视觉污染和环境扰动。</w:t>
      </w:r>
    </w:p>
    <w:p w14:paraId="7502EF8F">
      <w:pPr>
        <w:ind w:firstLine="480"/>
        <w:rPr>
          <w:rFonts w:hAnsi="Times New Roman" w:cs="Times New Roman"/>
        </w:rPr>
      </w:pPr>
      <w:r>
        <w:rPr>
          <w:rFonts w:hAnsi="Times New Roman" w:cs="Times New Roman"/>
        </w:rPr>
        <w:t>“充分利用石粉、泥粉等加工副产品，提高资源综合利用水平，生产工艺技术和设备应符合相关要求，剥离表土后，砂石土矿山资源综合利用率不低于95%；降低砂石土生产能耗和设备损耗，使“三废”和噪音排放达到环保标准，加强生产粉尘和运输扬尘污染治理，减少开采和破碎过程中粉尘的无序排放；矿区应实现雨污分流、清污分流，有害废水应单独收集，经无害化处理后达标排放或循环利用；生产中所产生的废物，应做无害化处理。</w:t>
      </w:r>
    </w:p>
    <w:p w14:paraId="4461C104">
      <w:pPr>
        <w:ind w:firstLine="480"/>
        <w:rPr>
          <w:rFonts w:hAnsi="Times New Roman" w:cs="Times New Roman"/>
        </w:rPr>
      </w:pPr>
      <w:r>
        <w:rPr>
          <w:rFonts w:hAnsi="Times New Roman" w:cs="Times New Roman"/>
        </w:rPr>
        <w:t>“4、安全生产</w:t>
      </w:r>
    </w:p>
    <w:p w14:paraId="0C155C99">
      <w:pPr>
        <w:ind w:firstLine="480"/>
        <w:rPr>
          <w:rFonts w:hAnsi="Times New Roman" w:cs="Times New Roman"/>
        </w:rPr>
      </w:pPr>
      <w:r>
        <w:rPr>
          <w:rFonts w:hAnsi="Times New Roman" w:cs="Times New Roman"/>
        </w:rPr>
        <w:t>“严格执行《矿山安全法》，对新建矿山在申请采矿许可证手续时，必须提供由安全监管部门审查合格后的安全预评价报告。</w:t>
      </w:r>
    </w:p>
    <w:p w14:paraId="1931BDC1">
      <w:pPr>
        <w:ind w:firstLine="480"/>
        <w:rPr>
          <w:rFonts w:hAnsi="Times New Roman" w:cs="Times New Roman"/>
        </w:rPr>
      </w:pPr>
      <w:r>
        <w:rPr>
          <w:rFonts w:hAnsi="Times New Roman" w:cs="Times New Roman"/>
        </w:rPr>
        <w:t>“矿山必须按设计自上而下分台阶（分层）开采；落实爆破作业安全管理规定，原则上采用中深孔爆破，规范爆破操作，减少震动强度，使用机械铲装作业、机械二次破碎等生产工艺；按要求排土排废，落实边坡安全措施。</w:t>
      </w:r>
    </w:p>
    <w:p w14:paraId="5CFEBA08">
      <w:pPr>
        <w:ind w:firstLine="480"/>
        <w:rPr>
          <w:rFonts w:hAnsi="Times New Roman" w:cs="Times New Roman"/>
        </w:rPr>
      </w:pPr>
      <w:r>
        <w:rPr>
          <w:rFonts w:hAnsi="Times New Roman" w:cs="Times New Roman"/>
        </w:rPr>
        <w:t>“矿山必须证照齐全有效，安全生产管理机构健全或配备专职安全生产管理人员，安全生产责任制落实，外包工程安全管理到位；确保全员培训合格，“三项岗位人员”持证上岗。矿山经安全设施“三同时”并取得安全生产许可证后方可投入生产。”</w:t>
      </w:r>
    </w:p>
    <w:p w14:paraId="20087B80">
      <w:pPr>
        <w:ind w:firstLine="480"/>
        <w:rPr>
          <w:rFonts w:hAnsi="Times New Roman" w:cs="Times New Roman"/>
        </w:rPr>
      </w:pPr>
      <w:r>
        <w:rPr>
          <w:rFonts w:hAnsi="Times New Roman" w:cs="Times New Roman"/>
        </w:rPr>
        <w:t>本项目位于嫩江市塔溪乡马厂河北东50m处，经调整，开采范围不在生态保护区（包括自然保护区）、城乡建设用地区、基本农田保护区、一般农地区（现状为耕地的）范围内。开采区距离北侧省道S211 3.7km，不在铁路、公路、国道、旅游公路、河流、湖泊及两侧可视范围内。项目选址属于允许开采区。</w:t>
      </w:r>
    </w:p>
    <w:p w14:paraId="3408DB83">
      <w:pPr>
        <w:ind w:firstLine="480"/>
        <w:rPr>
          <w:rFonts w:hAnsi="Times New Roman" w:cs="Times New Roman"/>
        </w:rPr>
      </w:pPr>
      <w:r>
        <w:rPr>
          <w:rFonts w:hAnsi="Times New Roman" w:cs="Times New Roman"/>
        </w:rPr>
        <w:t>项目开采建筑用凝灰岩，属于建筑用石开采，开采规模为30万立方米/年，属于大型矿山，符合嫩江市砂石土矿山最低开采规模要求。企业已委托编制了《黑龙江省嫩江市塔溪乡马厂河采石场建筑用凝灰岩矿产资源开发利用方案》（2025年5月）、《黑龙江省黑河市瑞峰建筑工程有限责任公司塔溪乡马厂河采石场建筑用凝灰岩矿矿区生态修复方案》（2025年8月），且符合《黑龙江省重点生态功能区产业准入负面清单》中嫩江市产业负面清单要求。</w:t>
      </w:r>
    </w:p>
    <w:p w14:paraId="35E7F0AD">
      <w:pPr>
        <w:ind w:firstLine="480"/>
        <w:rPr>
          <w:rFonts w:hAnsi="Times New Roman" w:cs="Times New Roman"/>
        </w:rPr>
      </w:pPr>
      <w:r>
        <w:rPr>
          <w:rFonts w:hAnsi="Times New Roman" w:cs="Times New Roman"/>
        </w:rPr>
        <w:t>环评要求企业严格落实环境保护“三同时”制度。按照经审查批准的矿山地质环境修复和土地复垦方案开展工作，做到“边开采、边修复”，矿区可绿化覆盖率达到100%。</w:t>
      </w:r>
    </w:p>
    <w:p w14:paraId="1289ECFE">
      <w:pPr>
        <w:ind w:firstLine="480"/>
        <w:rPr>
          <w:rFonts w:hAnsi="Times New Roman" w:cs="Times New Roman"/>
        </w:rPr>
      </w:pPr>
      <w:r>
        <w:rPr>
          <w:rFonts w:hAnsi="Times New Roman" w:cs="Times New Roman"/>
        </w:rPr>
        <w:t>项目按照《砂石行业绿色矿山建设规范》（DZ/T0316-2018）的相关要求建设，选择资源节约型、环境友好型的开发方式，做到绿色开采、绿色生产、绿色存贮、绿色运输，遵循“采剥并举、剥离先行”的原则，最大限度保留原生自然环境，减少对矿区植被破坏引起的视觉污染和环境扰动。</w:t>
      </w:r>
    </w:p>
    <w:p w14:paraId="4DD4FB2A">
      <w:pPr>
        <w:ind w:firstLine="480"/>
        <w:rPr>
          <w:rFonts w:hAnsi="Times New Roman" w:cs="Times New Roman"/>
        </w:rPr>
      </w:pPr>
      <w:r>
        <w:rPr>
          <w:rFonts w:hAnsi="Times New Roman" w:cs="Times New Roman"/>
        </w:rPr>
        <w:t>矿山必须按设计自上而下分台阶（分层）开采；项目不涉及爆破，使用机械铲装作业、机械二次破碎等生产工艺；按要求排土排废，落实边坡安全措施。</w:t>
      </w:r>
    </w:p>
    <w:p w14:paraId="36116A58">
      <w:pPr>
        <w:ind w:firstLine="480"/>
        <w:rPr>
          <w:rFonts w:hAnsi="Times New Roman" w:cs="Times New Roman"/>
        </w:rPr>
      </w:pPr>
      <w:r>
        <w:rPr>
          <w:rFonts w:hAnsi="Times New Roman" w:cs="Times New Roman"/>
        </w:rPr>
        <w:t>矿山必须证照齐全有效，安全生产管理机构健全或配备专职安全生产管理人员，安全生产责任制落实，外包工程安全管理到位；确保全员培训合格，“三项岗位人员”持证上岗。矿山经安全设施“三同时”并取得安全生产许可证后方可投入生产。</w:t>
      </w:r>
    </w:p>
    <w:p w14:paraId="35A7756C">
      <w:pPr>
        <w:ind w:firstLine="480"/>
        <w:rPr>
          <w:rFonts w:hAnsi="Times New Roman" w:cs="Times New Roman"/>
        </w:rPr>
      </w:pPr>
      <w:r>
        <w:rPr>
          <w:rFonts w:hAnsi="Times New Roman" w:cs="Times New Roman"/>
        </w:rPr>
        <w:t>综上，项目符合《嫩江市砂石土资源开发利用专项规划（2021—2025年）》规定的矿山最低开采规模、矿山生态环境修复、绿色矿业、矿山安全生产等规划准入条件</w:t>
      </w:r>
      <w:r>
        <w:rPr>
          <w:rFonts w:hint="eastAsia" w:hAnsi="Times New Roman" w:cs="Times New Roman"/>
        </w:rPr>
        <w:t>等</w:t>
      </w:r>
      <w:r>
        <w:rPr>
          <w:rFonts w:hAnsi="Times New Roman" w:cs="Times New Roman"/>
        </w:rPr>
        <w:t>相关要求。</w:t>
      </w:r>
    </w:p>
    <w:p w14:paraId="7845327E">
      <w:pPr>
        <w:pStyle w:val="4"/>
        <w:spacing w:before="180" w:after="120"/>
        <w:rPr>
          <w:rFonts w:hAnsi="Times New Roman" w:cs="Times New Roman"/>
        </w:rPr>
      </w:pPr>
      <w:bookmarkStart w:id="48" w:name="_Toc61013627"/>
      <w:bookmarkStart w:id="49" w:name="_Toc61013012"/>
      <w:bookmarkStart w:id="50" w:name="_Toc61013217"/>
      <w:bookmarkStart w:id="51" w:name="_Toc503272322"/>
      <w:bookmarkStart w:id="52" w:name="_Toc61012536"/>
      <w:bookmarkStart w:id="53" w:name="_Toc61013422"/>
      <w:bookmarkStart w:id="54" w:name="_Toc12279292"/>
      <w:bookmarkStart w:id="55" w:name="_Toc61012933"/>
      <w:bookmarkStart w:id="56" w:name="_Toc19117"/>
      <w:bookmarkStart w:id="57" w:name="_Toc61013832"/>
      <w:bookmarkStart w:id="58" w:name="_Toc12649278"/>
      <w:r>
        <w:rPr>
          <w:rFonts w:hAnsi="Times New Roman" w:cs="Times New Roman"/>
        </w:rPr>
        <w:t>与其他相关政策、规范等符合性分析</w:t>
      </w:r>
    </w:p>
    <w:p w14:paraId="4A8F0A21">
      <w:pPr>
        <w:pStyle w:val="5"/>
        <w:spacing w:before="120" w:after="120"/>
      </w:pPr>
      <w:r>
        <w:t>与《矿山生态环境保护与污染防治技术政策》（环发〔2005〕109号）符合性</w:t>
      </w:r>
    </w:p>
    <w:p w14:paraId="6B4D7422">
      <w:pPr>
        <w:ind w:firstLine="480"/>
        <w:rPr>
          <w:rFonts w:hAnsi="Times New Roman" w:cs="Times New Roman"/>
        </w:rPr>
      </w:pPr>
      <w:r>
        <w:rPr>
          <w:rFonts w:hAnsi="Times New Roman" w:cs="Times New Roman"/>
        </w:rPr>
        <w:t>本项目与《矿山生态环境保护与污染防治技术政策》符合性分析见表1.4-</w:t>
      </w:r>
      <w:r>
        <w:rPr>
          <w:rFonts w:hint="eastAsia" w:hAnsi="Times New Roman" w:cs="Times New Roman"/>
        </w:rPr>
        <w:t>4</w:t>
      </w:r>
      <w:r>
        <w:rPr>
          <w:rFonts w:hAnsi="Times New Roman" w:cs="Times New Roman"/>
        </w:rPr>
        <w:t>。</w:t>
      </w:r>
    </w:p>
    <w:p w14:paraId="32D98572">
      <w:pPr>
        <w:pStyle w:val="178"/>
        <w:rPr>
          <w:rFonts w:ascii="Times New Roman" w:hAnsi="Times New Roman"/>
        </w:rPr>
      </w:pPr>
      <w:r>
        <w:rPr>
          <w:rFonts w:ascii="Times New Roman"/>
        </w:rPr>
        <w:t>表</w:t>
      </w:r>
      <w:r>
        <w:rPr>
          <w:rFonts w:ascii="Times New Roman" w:hAnsi="Times New Roman"/>
        </w:rPr>
        <w:t>1.4-</w:t>
      </w:r>
      <w:r>
        <w:rPr>
          <w:rFonts w:hint="eastAsia" w:ascii="Times New Roman" w:hAnsi="Times New Roman"/>
        </w:rPr>
        <w:t xml:space="preserve">4  </w:t>
      </w:r>
      <w:r>
        <w:rPr>
          <w:rFonts w:ascii="Times New Roman"/>
        </w:rPr>
        <w:t>与《矿山生态环境保护与污染防治技术政策》符合性分析</w:t>
      </w:r>
    </w:p>
    <w:tbl>
      <w:tblPr>
        <w:tblStyle w:val="36"/>
        <w:tblW w:w="8505"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57" w:type="dxa"/>
          <w:bottom w:w="0" w:type="dxa"/>
          <w:right w:w="57" w:type="dxa"/>
        </w:tblCellMar>
      </w:tblPr>
      <w:tblGrid>
        <w:gridCol w:w="5343"/>
        <w:gridCol w:w="2369"/>
        <w:gridCol w:w="793"/>
      </w:tblGrid>
      <w:tr w14:paraId="13A8EC3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tblHeader/>
          <w:jc w:val="center"/>
        </w:trPr>
        <w:tc>
          <w:tcPr>
            <w:tcW w:w="3141" w:type="pct"/>
            <w:vAlign w:val="center"/>
          </w:tcPr>
          <w:p w14:paraId="6D9B7AFD">
            <w:pPr>
              <w:pStyle w:val="179"/>
              <w:rPr>
                <w:rFonts w:cs="Times New Roman"/>
                <w:b/>
              </w:rPr>
            </w:pPr>
            <w:r>
              <w:rPr>
                <w:rFonts w:cs="Times New Roman"/>
                <w:b/>
              </w:rPr>
              <w:t>政策要求</w:t>
            </w:r>
          </w:p>
        </w:tc>
        <w:tc>
          <w:tcPr>
            <w:tcW w:w="1393" w:type="pct"/>
            <w:vAlign w:val="center"/>
          </w:tcPr>
          <w:p w14:paraId="691F17FA">
            <w:pPr>
              <w:pStyle w:val="179"/>
              <w:rPr>
                <w:rFonts w:cs="Times New Roman"/>
                <w:b/>
              </w:rPr>
            </w:pPr>
            <w:r>
              <w:rPr>
                <w:rFonts w:cs="Times New Roman"/>
                <w:b/>
              </w:rPr>
              <w:t>本项目执行情况</w:t>
            </w:r>
          </w:p>
        </w:tc>
        <w:tc>
          <w:tcPr>
            <w:tcW w:w="467" w:type="pct"/>
            <w:vAlign w:val="center"/>
          </w:tcPr>
          <w:p w14:paraId="53F36CFB">
            <w:pPr>
              <w:pStyle w:val="179"/>
              <w:rPr>
                <w:rFonts w:cs="Times New Roman"/>
                <w:b/>
              </w:rPr>
            </w:pPr>
            <w:r>
              <w:rPr>
                <w:rFonts w:cs="Times New Roman"/>
                <w:b/>
              </w:rPr>
              <w:t>符合性</w:t>
            </w:r>
          </w:p>
        </w:tc>
      </w:tr>
      <w:tr w14:paraId="17D447D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3141" w:type="pct"/>
            <w:vAlign w:val="center"/>
          </w:tcPr>
          <w:p w14:paraId="516851D8">
            <w:pPr>
              <w:pStyle w:val="179"/>
              <w:jc w:val="both"/>
              <w:rPr>
                <w:rFonts w:cs="Times New Roman"/>
              </w:rPr>
            </w:pPr>
            <w:r>
              <w:rPr>
                <w:rFonts w:cs="Times New Roman"/>
              </w:rPr>
              <w:t>矿产资源开发规划与设计：</w:t>
            </w:r>
          </w:p>
          <w:p w14:paraId="1D449B2B">
            <w:pPr>
              <w:pStyle w:val="179"/>
              <w:jc w:val="both"/>
              <w:rPr>
                <w:rFonts w:cs="Times New Roman"/>
              </w:rPr>
            </w:pPr>
            <w:r>
              <w:rPr>
                <w:rFonts w:cs="Times New Roman"/>
              </w:rPr>
              <w:t>（一）禁止的矿产资源开发活动</w:t>
            </w:r>
          </w:p>
          <w:p w14:paraId="778F260D">
            <w:pPr>
              <w:pStyle w:val="179"/>
              <w:jc w:val="both"/>
              <w:rPr>
                <w:rFonts w:cs="Times New Roman"/>
              </w:rPr>
            </w:pPr>
            <w:r>
              <w:rPr>
                <w:rFonts w:hAnsi="宋体" w:cs="Times New Roman"/>
              </w:rPr>
              <w:t>①</w:t>
            </w:r>
            <w:r>
              <w:rPr>
                <w:rFonts w:cs="Times New Roman"/>
              </w:rPr>
              <w:t>禁止在依法划定的自然保护区（核心区、缓冲区）、风景名胜区、森林公园、饮用水水源保护区、重要湖泊周边、文物古迹所在地、地质遗迹保护区、农田等区域内采矿。</w:t>
            </w:r>
            <w:r>
              <w:rPr>
                <w:rFonts w:hAnsi="宋体" w:cs="Times New Roman"/>
              </w:rPr>
              <w:t>②</w:t>
            </w:r>
            <w:r>
              <w:rPr>
                <w:rFonts w:cs="Times New Roman"/>
              </w:rPr>
              <w:t>禁止在铁路、国道、省道两侧的直观可视范围内进行露天开采。</w:t>
            </w:r>
            <w:r>
              <w:rPr>
                <w:rFonts w:hAnsi="宋体" w:cs="Times New Roman"/>
              </w:rPr>
              <w:t>③</w:t>
            </w:r>
            <w:r>
              <w:rPr>
                <w:rFonts w:cs="Times New Roman"/>
              </w:rPr>
              <w:t>禁止在地质灾害危险区开采矿产资源。</w:t>
            </w:r>
            <w:r>
              <w:rPr>
                <w:rFonts w:hAnsi="宋体" w:cs="Times New Roman"/>
              </w:rPr>
              <w:t>④</w:t>
            </w:r>
            <w:r>
              <w:rPr>
                <w:rFonts w:cs="Times New Roman"/>
              </w:rPr>
              <w:t>禁止土法采、选冶金矿和土法冶炼汞、砷、铅、锌、焦、硫、钒等矿产资源开发活动。</w:t>
            </w:r>
            <w:r>
              <w:rPr>
                <w:rFonts w:hAnsi="宋体" w:cs="Times New Roman"/>
              </w:rPr>
              <w:t>⑤</w:t>
            </w:r>
            <w:r>
              <w:rPr>
                <w:rFonts w:cs="Times New Roman"/>
              </w:rPr>
              <w:t>禁止新建对生态环境产生不可恢复利用的、产生破坏性影响的矿产资源开发项目。</w:t>
            </w:r>
            <w:r>
              <w:rPr>
                <w:rFonts w:hAnsi="宋体" w:cs="Times New Roman"/>
              </w:rPr>
              <w:t>⑥</w:t>
            </w:r>
            <w:r>
              <w:rPr>
                <w:rFonts w:cs="Times New Roman"/>
              </w:rPr>
              <w:t>禁止新建煤层含硫量大于3%的煤矿。</w:t>
            </w:r>
          </w:p>
        </w:tc>
        <w:tc>
          <w:tcPr>
            <w:tcW w:w="1393" w:type="pct"/>
            <w:vAlign w:val="center"/>
          </w:tcPr>
          <w:p w14:paraId="36435901">
            <w:pPr>
              <w:pStyle w:val="179"/>
              <w:rPr>
                <w:rFonts w:cs="Times New Roman"/>
              </w:rPr>
            </w:pPr>
            <w:r>
              <w:rPr>
                <w:rFonts w:cs="Times New Roman"/>
              </w:rPr>
              <w:t>本项目位于嫩江市塔溪乡马厂河北东50m处，距离北侧省道（S211）3.7km，不在可视范围内。因此本项目可视范围内不存在国道、省道、铁路等主要交通干线，不处于自然保护区（核心区、缓冲区）、风景名胜区、森林公园、饮用水水源保护区、重要湖泊周边、文物古迹所在地、地质遗迹保护区、基本农田保护区等区域。</w:t>
            </w:r>
          </w:p>
        </w:tc>
        <w:tc>
          <w:tcPr>
            <w:tcW w:w="467" w:type="pct"/>
            <w:vAlign w:val="center"/>
          </w:tcPr>
          <w:p w14:paraId="1264C0D0">
            <w:pPr>
              <w:pStyle w:val="179"/>
              <w:rPr>
                <w:rFonts w:cs="Times New Roman"/>
              </w:rPr>
            </w:pPr>
            <w:r>
              <w:rPr>
                <w:rFonts w:cs="Times New Roman"/>
              </w:rPr>
              <w:t>符合</w:t>
            </w:r>
          </w:p>
        </w:tc>
      </w:tr>
      <w:tr w14:paraId="2C8E5FC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3141" w:type="pct"/>
            <w:vAlign w:val="center"/>
          </w:tcPr>
          <w:p w14:paraId="7FEDBD9E">
            <w:pPr>
              <w:pStyle w:val="179"/>
              <w:jc w:val="both"/>
              <w:rPr>
                <w:rFonts w:cs="Times New Roman"/>
              </w:rPr>
            </w:pPr>
            <w:r>
              <w:rPr>
                <w:rFonts w:cs="Times New Roman"/>
              </w:rPr>
              <w:t>（二）限制的矿产资源开发活动</w:t>
            </w:r>
          </w:p>
          <w:p w14:paraId="093146CF">
            <w:pPr>
              <w:pStyle w:val="179"/>
              <w:jc w:val="both"/>
              <w:rPr>
                <w:rFonts w:cs="Times New Roman"/>
              </w:rPr>
            </w:pPr>
            <w:r>
              <w:rPr>
                <w:rFonts w:cs="Times New Roman"/>
              </w:rPr>
              <w:t>1.限制在生态功能保护区和自然保护区（过渡区）内开采矿产资源。</w:t>
            </w:r>
          </w:p>
          <w:p w14:paraId="335E8773">
            <w:pPr>
              <w:pStyle w:val="179"/>
              <w:jc w:val="both"/>
              <w:rPr>
                <w:rFonts w:cs="Times New Roman"/>
              </w:rPr>
            </w:pPr>
            <w:r>
              <w:rPr>
                <w:rFonts w:cs="Times New Roman"/>
              </w:rPr>
              <w:t>生态功能保护区内的开采活动必须符合当地的环境功能区规划，并按规定进行控制性开采，开采活动不得影响本功能区内的主导生态功能。</w:t>
            </w:r>
          </w:p>
          <w:p w14:paraId="4FE71381">
            <w:pPr>
              <w:pStyle w:val="179"/>
              <w:jc w:val="both"/>
              <w:rPr>
                <w:rFonts w:cs="Times New Roman"/>
              </w:rPr>
            </w:pPr>
            <w:r>
              <w:rPr>
                <w:rFonts w:cs="Times New Roman"/>
              </w:rPr>
              <w:t>2.限制在地质灾害易发区、水土流失严重区域等生态脆弱区内开采矿产资源。</w:t>
            </w:r>
          </w:p>
        </w:tc>
        <w:tc>
          <w:tcPr>
            <w:tcW w:w="1393" w:type="pct"/>
            <w:vAlign w:val="center"/>
          </w:tcPr>
          <w:p w14:paraId="2BE1B8C9">
            <w:pPr>
              <w:pStyle w:val="179"/>
              <w:rPr>
                <w:rFonts w:cs="Times New Roman"/>
              </w:rPr>
            </w:pPr>
            <w:r>
              <w:rPr>
                <w:rFonts w:cs="Times New Roman"/>
              </w:rPr>
              <w:t>项目不位于生态功能保护区和自然保护区（过渡区）、地质灾害易发区、水土流失严重区。项目开采符合当地的环境功能区规划，严格按照开发利用方案进行开采，开采活动未影响本功能区内的主导生态功能。</w:t>
            </w:r>
          </w:p>
        </w:tc>
        <w:tc>
          <w:tcPr>
            <w:tcW w:w="467" w:type="pct"/>
            <w:vAlign w:val="center"/>
          </w:tcPr>
          <w:p w14:paraId="33F5F768">
            <w:pPr>
              <w:pStyle w:val="179"/>
              <w:rPr>
                <w:rFonts w:cs="Times New Roman"/>
              </w:rPr>
            </w:pPr>
            <w:r>
              <w:rPr>
                <w:rFonts w:cs="Times New Roman"/>
              </w:rPr>
              <w:t>符合</w:t>
            </w:r>
          </w:p>
        </w:tc>
      </w:tr>
      <w:tr w14:paraId="63E0AA2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3141" w:type="pct"/>
            <w:vAlign w:val="center"/>
          </w:tcPr>
          <w:p w14:paraId="6508702C">
            <w:pPr>
              <w:pStyle w:val="179"/>
              <w:jc w:val="both"/>
              <w:rPr>
                <w:rFonts w:cs="Times New Roman"/>
              </w:rPr>
            </w:pPr>
            <w:r>
              <w:rPr>
                <w:rFonts w:cs="Times New Roman"/>
              </w:rPr>
              <w:t>（三）矿产资源开发规划</w:t>
            </w:r>
          </w:p>
          <w:p w14:paraId="09418A8B">
            <w:pPr>
              <w:pStyle w:val="179"/>
              <w:jc w:val="both"/>
              <w:rPr>
                <w:rFonts w:cs="Times New Roman"/>
              </w:rPr>
            </w:pPr>
            <w:r>
              <w:rPr>
                <w:rFonts w:cs="Times New Roman"/>
              </w:rPr>
              <w:t>1.矿产资源开发应符合国家产业政策要求，选址、布局应符合所在地的区域发展规划。</w:t>
            </w:r>
          </w:p>
          <w:p w14:paraId="4B6F752B">
            <w:pPr>
              <w:pStyle w:val="179"/>
              <w:jc w:val="both"/>
              <w:rPr>
                <w:rFonts w:cs="Times New Roman"/>
              </w:rPr>
            </w:pPr>
            <w:r>
              <w:rPr>
                <w:rFonts w:cs="Times New Roman"/>
              </w:rPr>
              <w:t>2.矿产资源开发企业应制定矿产资源综合开发规划，并应进行环境影响评价，规划内容包括资源开发利用、生态环境保护、地质灾害防治、水土保持、废弃地复垦等。</w:t>
            </w:r>
          </w:p>
          <w:p w14:paraId="7CF0A700">
            <w:pPr>
              <w:pStyle w:val="179"/>
              <w:jc w:val="both"/>
              <w:rPr>
                <w:rFonts w:cs="Times New Roman"/>
              </w:rPr>
            </w:pPr>
            <w:r>
              <w:rPr>
                <w:rFonts w:cs="Times New Roman"/>
              </w:rPr>
              <w:t>3.在矿产资源的开发规划阶段，应对矿区内的生态环境进行充分调查，建立矿区的水文、地质、土壤和动植物等生态环境和人文环境基础状况数据库。</w:t>
            </w:r>
          </w:p>
          <w:p w14:paraId="5B7B3FC5">
            <w:pPr>
              <w:pStyle w:val="179"/>
              <w:jc w:val="both"/>
              <w:rPr>
                <w:rFonts w:cs="Times New Roman"/>
              </w:rPr>
            </w:pPr>
            <w:r>
              <w:rPr>
                <w:rFonts w:cs="Times New Roman"/>
              </w:rPr>
              <w:t>同时，应对矿床开采可能产生的区域地质环境问题进行预测和评价。</w:t>
            </w:r>
          </w:p>
          <w:p w14:paraId="30E695D4">
            <w:pPr>
              <w:pStyle w:val="179"/>
              <w:jc w:val="both"/>
              <w:rPr>
                <w:rFonts w:cs="Times New Roman"/>
              </w:rPr>
            </w:pPr>
            <w:r>
              <w:rPr>
                <w:rFonts w:cs="Times New Roman"/>
              </w:rPr>
              <w:t>4.矿产资源开发规划阶段还应注重对矿山所在区域生态环境的保护。</w:t>
            </w:r>
          </w:p>
        </w:tc>
        <w:tc>
          <w:tcPr>
            <w:tcW w:w="1393" w:type="pct"/>
            <w:vAlign w:val="center"/>
          </w:tcPr>
          <w:p w14:paraId="6418F2BD">
            <w:pPr>
              <w:pStyle w:val="179"/>
              <w:rPr>
                <w:rFonts w:cs="Times New Roman"/>
              </w:rPr>
            </w:pPr>
            <w:r>
              <w:rPr>
                <w:rFonts w:cs="Times New Roman"/>
              </w:rPr>
              <w:t>本项目矿产资源开发符合国家产业政策要求，选址及布局符合调整后《黑河市矿产资源总体规划(2021-2025年)》，企业制定矿产资源综合开发规划，规划阶段对水文、地质、土壤和动植物等生态环境进行调查，并进行环境影响评价。</w:t>
            </w:r>
          </w:p>
        </w:tc>
        <w:tc>
          <w:tcPr>
            <w:tcW w:w="467" w:type="pct"/>
            <w:vAlign w:val="center"/>
          </w:tcPr>
          <w:p w14:paraId="3AB042E6">
            <w:pPr>
              <w:pStyle w:val="179"/>
              <w:rPr>
                <w:rFonts w:cs="Times New Roman"/>
              </w:rPr>
            </w:pPr>
            <w:r>
              <w:rPr>
                <w:rFonts w:cs="Times New Roman"/>
              </w:rPr>
              <w:t>符合</w:t>
            </w:r>
          </w:p>
        </w:tc>
      </w:tr>
      <w:tr w14:paraId="739D5BD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3141" w:type="pct"/>
            <w:vAlign w:val="center"/>
          </w:tcPr>
          <w:p w14:paraId="79794DF5">
            <w:pPr>
              <w:pStyle w:val="179"/>
              <w:jc w:val="both"/>
              <w:rPr>
                <w:rFonts w:cs="Times New Roman"/>
              </w:rPr>
            </w:pPr>
            <w:r>
              <w:rPr>
                <w:rFonts w:cs="Times New Roman"/>
              </w:rPr>
              <w:t>（四）矿产资源开发设计</w:t>
            </w:r>
          </w:p>
          <w:p w14:paraId="0C2C3A79">
            <w:pPr>
              <w:pStyle w:val="179"/>
              <w:jc w:val="both"/>
              <w:rPr>
                <w:rFonts w:cs="Times New Roman"/>
              </w:rPr>
            </w:pPr>
            <w:r>
              <w:rPr>
                <w:rFonts w:cs="Times New Roman"/>
              </w:rPr>
              <w:t>1.应优先选择废物产生量少、水重复利用率高，对矿区生态环境影响小的采、选矿生产工艺与技术。</w:t>
            </w:r>
          </w:p>
          <w:p w14:paraId="13FF5569">
            <w:pPr>
              <w:pStyle w:val="179"/>
              <w:jc w:val="both"/>
              <w:rPr>
                <w:rFonts w:cs="Times New Roman"/>
              </w:rPr>
            </w:pPr>
            <w:r>
              <w:rPr>
                <w:rFonts w:cs="Times New Roman"/>
              </w:rPr>
              <w:t>2.应考虑低污染、高附加值的产业链延伸建设，把资源优势转化为经济优势。</w:t>
            </w:r>
          </w:p>
          <w:p w14:paraId="2EEF2B09">
            <w:pPr>
              <w:pStyle w:val="179"/>
              <w:jc w:val="both"/>
              <w:rPr>
                <w:rFonts w:cs="Times New Roman"/>
              </w:rPr>
            </w:pPr>
            <w:r>
              <w:rPr>
                <w:rFonts w:cs="Times New Roman"/>
              </w:rPr>
              <w:t>提倡煤－电、煤－化工、煤－焦、煤－建材、铁矿石－铁精矿－球团矿等低污染、高附加值的产业链延伸建设。</w:t>
            </w:r>
          </w:p>
          <w:p w14:paraId="5C5ACC79">
            <w:pPr>
              <w:pStyle w:val="179"/>
              <w:jc w:val="both"/>
              <w:rPr>
                <w:rFonts w:cs="Times New Roman"/>
              </w:rPr>
            </w:pPr>
            <w:r>
              <w:rPr>
                <w:rFonts w:cs="Times New Roman"/>
              </w:rPr>
              <w:t>3.矿井水、选矿水和矿山其它外排水应统筹规划、分类管理、综合利用。</w:t>
            </w:r>
          </w:p>
          <w:p w14:paraId="1EF22162">
            <w:pPr>
              <w:pStyle w:val="179"/>
              <w:jc w:val="both"/>
              <w:rPr>
                <w:rFonts w:cs="Times New Roman"/>
              </w:rPr>
            </w:pPr>
            <w:r>
              <w:rPr>
                <w:rFonts w:cs="Times New Roman"/>
              </w:rPr>
              <w:t>4.选矿厂设计时，应考虑最大限度地提高矿产资源的回收利用率，并同时考虑共、伴生资源的综合利用。</w:t>
            </w:r>
          </w:p>
          <w:p w14:paraId="260A7086">
            <w:pPr>
              <w:pStyle w:val="179"/>
              <w:jc w:val="both"/>
              <w:rPr>
                <w:rFonts w:cs="Times New Roman"/>
              </w:rPr>
            </w:pPr>
            <w:r>
              <w:rPr>
                <w:rFonts w:cs="Times New Roman"/>
              </w:rPr>
              <w:t>5.地面运输系统设计时，宜考虑采用封闭运输通道运输矿物和固体废物。</w:t>
            </w:r>
          </w:p>
        </w:tc>
        <w:tc>
          <w:tcPr>
            <w:tcW w:w="1393" w:type="pct"/>
            <w:vAlign w:val="center"/>
          </w:tcPr>
          <w:p w14:paraId="552A8908">
            <w:pPr>
              <w:pStyle w:val="179"/>
              <w:rPr>
                <w:rFonts w:cs="Times New Roman"/>
              </w:rPr>
            </w:pPr>
            <w:r>
              <w:rPr>
                <w:rFonts w:cs="Times New Roman"/>
              </w:rPr>
              <w:t>本项目开采建筑用凝灰岩，开采过程无需用水，开采标高位于最低侵蚀基准面标高上方，</w:t>
            </w:r>
            <w:r>
              <w:rPr>
                <w:rFonts w:hint="eastAsia" w:cs="Times New Roman"/>
              </w:rPr>
              <w:t>无</w:t>
            </w:r>
            <w:r>
              <w:rPr>
                <w:rFonts w:cs="Times New Roman"/>
              </w:rPr>
              <w:t xml:space="preserve">矿井水产生。无外排废水，矿区产生的初期雨水经收集后用于降尘。 </w:t>
            </w:r>
          </w:p>
        </w:tc>
        <w:tc>
          <w:tcPr>
            <w:tcW w:w="467" w:type="pct"/>
            <w:vAlign w:val="center"/>
          </w:tcPr>
          <w:p w14:paraId="226FA77A">
            <w:pPr>
              <w:pStyle w:val="179"/>
              <w:rPr>
                <w:rFonts w:cs="Times New Roman"/>
              </w:rPr>
            </w:pPr>
            <w:r>
              <w:rPr>
                <w:rFonts w:cs="Times New Roman"/>
              </w:rPr>
              <w:t>符合</w:t>
            </w:r>
          </w:p>
        </w:tc>
      </w:tr>
      <w:tr w14:paraId="72FAA46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3141" w:type="pct"/>
            <w:vAlign w:val="center"/>
          </w:tcPr>
          <w:p w14:paraId="5C6CC39E">
            <w:pPr>
              <w:pStyle w:val="179"/>
              <w:jc w:val="both"/>
              <w:rPr>
                <w:rFonts w:cs="Times New Roman"/>
              </w:rPr>
            </w:pPr>
            <w:r>
              <w:rPr>
                <w:rFonts w:cs="Times New Roman"/>
              </w:rPr>
              <w:t>采矿：</w:t>
            </w:r>
          </w:p>
          <w:p w14:paraId="75A0D4C1">
            <w:pPr>
              <w:pStyle w:val="179"/>
              <w:jc w:val="both"/>
              <w:rPr>
                <w:rFonts w:cs="Times New Roman"/>
              </w:rPr>
            </w:pPr>
            <w:r>
              <w:rPr>
                <w:rFonts w:cs="Times New Roman"/>
              </w:rPr>
              <w:t>（一）鼓励采用的采矿技术</w:t>
            </w:r>
          </w:p>
          <w:p w14:paraId="762C044D">
            <w:pPr>
              <w:pStyle w:val="179"/>
              <w:jc w:val="both"/>
              <w:rPr>
                <w:rFonts w:cs="Times New Roman"/>
              </w:rPr>
            </w:pPr>
            <w:r>
              <w:rPr>
                <w:rFonts w:cs="Times New Roman"/>
              </w:rPr>
              <w:t>1.对于露天开采的矿山，宜推广剥离—排土—造地—复垦一体化技术。</w:t>
            </w:r>
          </w:p>
          <w:p w14:paraId="74054BC8">
            <w:pPr>
              <w:pStyle w:val="179"/>
              <w:jc w:val="both"/>
              <w:rPr>
                <w:rFonts w:cs="Times New Roman"/>
              </w:rPr>
            </w:pPr>
            <w:r>
              <w:rPr>
                <w:rFonts w:cs="Times New Roman"/>
              </w:rPr>
              <w:t>2.对于水力开采的矿山，宜推广水重复利用率高的开采技术。</w:t>
            </w:r>
          </w:p>
          <w:p w14:paraId="1946FB86">
            <w:pPr>
              <w:pStyle w:val="179"/>
              <w:jc w:val="both"/>
              <w:rPr>
                <w:rFonts w:cs="Times New Roman"/>
              </w:rPr>
            </w:pPr>
            <w:r>
              <w:rPr>
                <w:rFonts w:cs="Times New Roman"/>
              </w:rPr>
              <w:t>3.推广应用充填采矿工艺技术，提倡废石不出井，利用尾砂、废石充填采空区。</w:t>
            </w:r>
          </w:p>
          <w:p w14:paraId="48D23901">
            <w:pPr>
              <w:pStyle w:val="179"/>
              <w:jc w:val="both"/>
              <w:rPr>
                <w:rFonts w:cs="Times New Roman"/>
              </w:rPr>
            </w:pPr>
            <w:r>
              <w:rPr>
                <w:rFonts w:cs="Times New Roman"/>
              </w:rPr>
              <w:t>4.推广减轻地表沉陷的开采技术，如条带开采、分层间隙开采等技术。</w:t>
            </w:r>
          </w:p>
          <w:p w14:paraId="341B1E5E">
            <w:pPr>
              <w:pStyle w:val="179"/>
              <w:jc w:val="both"/>
              <w:rPr>
                <w:rFonts w:cs="Times New Roman"/>
              </w:rPr>
            </w:pPr>
            <w:r>
              <w:rPr>
                <w:rFonts w:cs="Times New Roman"/>
              </w:rPr>
              <w:t>5.对于有色、稀土等矿山，宜研究推广溶浸采矿工艺技术，发展集采、选、冶于一体，直接从矿床中获取金属的工艺技术。</w:t>
            </w:r>
          </w:p>
          <w:p w14:paraId="5120C372">
            <w:pPr>
              <w:pStyle w:val="179"/>
              <w:jc w:val="both"/>
              <w:rPr>
                <w:rFonts w:cs="Times New Roman"/>
              </w:rPr>
            </w:pPr>
            <w:r>
              <w:rPr>
                <w:rFonts w:cs="Times New Roman"/>
              </w:rPr>
              <w:t>6.加大煤炭地下气化与开采技术的研究力度，推广煤层气开发技术，提高煤层气的开发利用水平。</w:t>
            </w:r>
          </w:p>
          <w:p w14:paraId="4CD6B71D">
            <w:pPr>
              <w:pStyle w:val="179"/>
              <w:jc w:val="both"/>
              <w:rPr>
                <w:rFonts w:cs="Times New Roman"/>
              </w:rPr>
            </w:pPr>
            <w:r>
              <w:rPr>
                <w:rFonts w:cs="Times New Roman"/>
              </w:rPr>
              <w:t>7.在不能对基础设施、道路、河流、湖泊、林木等进行拆迁或异地补偿的情况下，在矿山开采中应保留安全矿柱，确保地面塌陷在允许范围内。</w:t>
            </w:r>
          </w:p>
        </w:tc>
        <w:tc>
          <w:tcPr>
            <w:tcW w:w="1393" w:type="pct"/>
            <w:vAlign w:val="center"/>
          </w:tcPr>
          <w:p w14:paraId="31A26FEB">
            <w:pPr>
              <w:pStyle w:val="179"/>
              <w:rPr>
                <w:rFonts w:cs="Times New Roman"/>
              </w:rPr>
            </w:pPr>
            <w:r>
              <w:rPr>
                <w:rFonts w:cs="Times New Roman"/>
              </w:rPr>
              <w:t>本项目为建筑用凝灰岩开采项目，为露天开采，采用剥离—排土—造地—复垦一体化技术。</w:t>
            </w:r>
          </w:p>
          <w:p w14:paraId="14BB1F1C">
            <w:pPr>
              <w:pStyle w:val="179"/>
              <w:rPr>
                <w:rFonts w:cs="Times New Roman"/>
              </w:rPr>
            </w:pPr>
            <w:r>
              <w:rPr>
                <w:rFonts w:cs="Times New Roman"/>
              </w:rPr>
              <w:t>项目采用自上而下水平分台阶机械化开采技术。</w:t>
            </w:r>
          </w:p>
        </w:tc>
        <w:tc>
          <w:tcPr>
            <w:tcW w:w="467" w:type="pct"/>
            <w:vAlign w:val="center"/>
          </w:tcPr>
          <w:p w14:paraId="38E267C7">
            <w:pPr>
              <w:pStyle w:val="179"/>
              <w:rPr>
                <w:rFonts w:cs="Times New Roman"/>
              </w:rPr>
            </w:pPr>
            <w:r>
              <w:rPr>
                <w:rFonts w:cs="Times New Roman"/>
              </w:rPr>
              <w:t>符合</w:t>
            </w:r>
          </w:p>
        </w:tc>
      </w:tr>
      <w:tr w14:paraId="1DB58DB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3141" w:type="pct"/>
            <w:vAlign w:val="center"/>
          </w:tcPr>
          <w:p w14:paraId="5068DC5D">
            <w:pPr>
              <w:pStyle w:val="179"/>
              <w:jc w:val="both"/>
              <w:rPr>
                <w:rFonts w:cs="Times New Roman"/>
              </w:rPr>
            </w:pPr>
            <w:r>
              <w:rPr>
                <w:rFonts w:cs="Times New Roman"/>
              </w:rPr>
              <w:t>（二）矿坑水的综合利用和废水、废气的处理</w:t>
            </w:r>
          </w:p>
          <w:p w14:paraId="256019F5">
            <w:pPr>
              <w:pStyle w:val="179"/>
              <w:jc w:val="both"/>
              <w:rPr>
                <w:rFonts w:cs="Times New Roman"/>
              </w:rPr>
            </w:pPr>
            <w:r>
              <w:rPr>
                <w:rFonts w:cs="Times New Roman"/>
              </w:rPr>
              <w:t>1.鼓励将矿坑水优先利用为生产用水，作为辅助水源加以利用。</w:t>
            </w:r>
          </w:p>
          <w:p w14:paraId="436B50E9">
            <w:pPr>
              <w:pStyle w:val="179"/>
              <w:jc w:val="both"/>
              <w:rPr>
                <w:rFonts w:cs="Times New Roman"/>
              </w:rPr>
            </w:pPr>
            <w:r>
              <w:rPr>
                <w:rFonts w:cs="Times New Roman"/>
              </w:rPr>
              <w:t>在干旱缺水地区，鼓励将外排矿坑水用于农林灌溉，其水质应达到相应标准要求。</w:t>
            </w:r>
          </w:p>
          <w:p w14:paraId="452527BE">
            <w:pPr>
              <w:pStyle w:val="179"/>
              <w:jc w:val="both"/>
              <w:rPr>
                <w:rFonts w:cs="Times New Roman"/>
              </w:rPr>
            </w:pPr>
            <w:r>
              <w:rPr>
                <w:rFonts w:cs="Times New Roman"/>
              </w:rPr>
              <w:t>2.宜采取修筑排水沟、引流渠，预先截堵水，防渗漏处理等措施，防止或减少各种水源进入露天采场和地下井巷。</w:t>
            </w:r>
          </w:p>
          <w:p w14:paraId="0DB686CD">
            <w:pPr>
              <w:pStyle w:val="179"/>
              <w:jc w:val="both"/>
              <w:rPr>
                <w:rFonts w:cs="Times New Roman"/>
              </w:rPr>
            </w:pPr>
            <w:r>
              <w:rPr>
                <w:rFonts w:cs="Times New Roman"/>
              </w:rPr>
              <w:t>3.宜采取灌浆等工程措施，避免和减少采矿活动破坏地下水均衡系统。</w:t>
            </w:r>
          </w:p>
          <w:p w14:paraId="5909E43E">
            <w:pPr>
              <w:pStyle w:val="179"/>
              <w:jc w:val="both"/>
              <w:rPr>
                <w:rFonts w:cs="Times New Roman"/>
              </w:rPr>
            </w:pPr>
            <w:r>
              <w:rPr>
                <w:rFonts w:cs="Times New Roman"/>
              </w:rPr>
              <w:t>4.研究推广酸性矿坑废水、高矿化度矿坑废水和含氟、锰等特殊污染物矿坑水的高效处理工艺与技术。</w:t>
            </w:r>
          </w:p>
          <w:p w14:paraId="504651D1">
            <w:pPr>
              <w:pStyle w:val="179"/>
              <w:jc w:val="both"/>
              <w:rPr>
                <w:rFonts w:cs="Times New Roman"/>
              </w:rPr>
            </w:pPr>
            <w:r>
              <w:rPr>
                <w:rFonts w:cs="Times New Roman"/>
              </w:rPr>
              <w:t>5.积极推广煤矿瓦斯抽放回收利用技术，将其用于发电、制造炭黑、民用燃料、制造化工产品等。</w:t>
            </w:r>
          </w:p>
          <w:p w14:paraId="604554E3">
            <w:pPr>
              <w:pStyle w:val="179"/>
              <w:jc w:val="both"/>
              <w:rPr>
                <w:rFonts w:cs="Times New Roman"/>
              </w:rPr>
            </w:pPr>
            <w:r>
              <w:rPr>
                <w:rFonts w:cs="Times New Roman"/>
              </w:rPr>
              <w:t>6.宜采用安装除尘装置，湿式作业，个体防护等措施，防治凿岩、铲装、运输等采矿作业中的粉尘污染。</w:t>
            </w:r>
          </w:p>
        </w:tc>
        <w:tc>
          <w:tcPr>
            <w:tcW w:w="1393" w:type="pct"/>
            <w:vAlign w:val="center"/>
          </w:tcPr>
          <w:p w14:paraId="443A6736">
            <w:pPr>
              <w:pStyle w:val="179"/>
              <w:rPr>
                <w:rFonts w:cs="Times New Roman"/>
              </w:rPr>
            </w:pPr>
            <w:r>
              <w:rPr>
                <w:rFonts w:cs="Times New Roman"/>
              </w:rPr>
              <w:t>项目为露天开采，开采标高位于最低侵蚀基准面标高上方，无矿坑水产生；项目开采过程中根据地势在沿采场外围设置环形截水沟，拦截外部径流，防止雨水流入采坑。台阶平台内侧设纵向排水沟，引导水流至</w:t>
            </w:r>
            <w:r>
              <w:rPr>
                <w:rFonts w:hint="eastAsia" w:cs="Times New Roman"/>
              </w:rPr>
              <w:t>采场西北侧自然流出</w:t>
            </w:r>
            <w:r>
              <w:rPr>
                <w:rFonts w:cs="Times New Roman"/>
              </w:rPr>
              <w:t>。</w:t>
            </w:r>
          </w:p>
          <w:p w14:paraId="6AEC5788">
            <w:pPr>
              <w:pStyle w:val="179"/>
              <w:rPr>
                <w:rFonts w:cs="Times New Roman"/>
              </w:rPr>
            </w:pPr>
            <w:r>
              <w:rPr>
                <w:rFonts w:cs="Times New Roman"/>
              </w:rPr>
              <w:t>运输车辆加盖篷布，装卸过程采用湿式作业；集堆铲装过程产生的粉尘采取洒水降尘。</w:t>
            </w:r>
          </w:p>
        </w:tc>
        <w:tc>
          <w:tcPr>
            <w:tcW w:w="467" w:type="pct"/>
            <w:vAlign w:val="center"/>
          </w:tcPr>
          <w:p w14:paraId="42E21EBB">
            <w:pPr>
              <w:pStyle w:val="179"/>
              <w:rPr>
                <w:rFonts w:cs="Times New Roman"/>
              </w:rPr>
            </w:pPr>
            <w:r>
              <w:rPr>
                <w:rFonts w:cs="Times New Roman"/>
              </w:rPr>
              <w:t>符合</w:t>
            </w:r>
          </w:p>
        </w:tc>
      </w:tr>
      <w:tr w14:paraId="0C2CD17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3141" w:type="pct"/>
            <w:vAlign w:val="center"/>
          </w:tcPr>
          <w:p w14:paraId="61F7C84B">
            <w:pPr>
              <w:pStyle w:val="179"/>
              <w:jc w:val="both"/>
              <w:rPr>
                <w:rFonts w:cs="Times New Roman"/>
              </w:rPr>
            </w:pPr>
            <w:r>
              <w:rPr>
                <w:rFonts w:cs="Times New Roman"/>
              </w:rPr>
              <w:t>（三）固体废物贮存和综合利用</w:t>
            </w:r>
          </w:p>
          <w:p w14:paraId="05B5D75D">
            <w:pPr>
              <w:pStyle w:val="179"/>
              <w:jc w:val="both"/>
              <w:rPr>
                <w:rFonts w:cs="Times New Roman"/>
              </w:rPr>
            </w:pPr>
            <w:r>
              <w:rPr>
                <w:rFonts w:cs="Times New Roman"/>
              </w:rPr>
              <w:t>1.对采矿活动所产生的固体废物，应使用专用场所堆放，并采取有效措施防止二次环境污染及诱发次生地质灾害。</w:t>
            </w:r>
          </w:p>
          <w:p w14:paraId="2DA5FA51">
            <w:pPr>
              <w:pStyle w:val="179"/>
              <w:jc w:val="both"/>
              <w:rPr>
                <w:rFonts w:cs="Times New Roman"/>
              </w:rPr>
            </w:pPr>
            <w:r>
              <w:rPr>
                <w:rFonts w:cs="Times New Roman"/>
              </w:rPr>
              <w:t>（1）应根据采矿固体废物的性质、贮存场所的工程地质情况，采用完善的防渗、集排水措施，防止淋溶水污染地表水和地下水；</w:t>
            </w:r>
          </w:p>
          <w:p w14:paraId="06E2C529">
            <w:pPr>
              <w:pStyle w:val="179"/>
              <w:jc w:val="both"/>
              <w:rPr>
                <w:rFonts w:cs="Times New Roman"/>
              </w:rPr>
            </w:pPr>
            <w:r>
              <w:rPr>
                <w:rFonts w:cs="Times New Roman"/>
              </w:rPr>
              <w:t>（2）宜采用水覆盖法、湿地法、碱性物料回填等方法，预防和降低废石场的酸性废水污染；</w:t>
            </w:r>
          </w:p>
          <w:p w14:paraId="25FDCC31">
            <w:pPr>
              <w:pStyle w:val="179"/>
              <w:jc w:val="both"/>
              <w:rPr>
                <w:rFonts w:cs="Times New Roman"/>
              </w:rPr>
            </w:pPr>
            <w:r>
              <w:rPr>
                <w:rFonts w:cs="Times New Roman"/>
              </w:rPr>
              <w:t>（3）煤矸石堆存时，宜采取分层压实，粘土覆盖，快速建立植被等措施，防止矸石山氧化自燃。</w:t>
            </w:r>
          </w:p>
          <w:p w14:paraId="127B0170">
            <w:pPr>
              <w:pStyle w:val="179"/>
              <w:jc w:val="both"/>
              <w:rPr>
                <w:rFonts w:cs="Times New Roman"/>
              </w:rPr>
            </w:pPr>
            <w:r>
              <w:rPr>
                <w:rFonts w:cs="Times New Roman"/>
              </w:rPr>
              <w:t>2.大力推广采矿固体废物的综合利用技术。</w:t>
            </w:r>
          </w:p>
          <w:p w14:paraId="7E5E48E1">
            <w:pPr>
              <w:pStyle w:val="179"/>
              <w:jc w:val="both"/>
              <w:rPr>
                <w:rFonts w:cs="Times New Roman"/>
              </w:rPr>
            </w:pPr>
            <w:r>
              <w:rPr>
                <w:rFonts w:cs="Times New Roman"/>
              </w:rPr>
              <w:t>（1）推广表外矿和废石中有价元素和矿物的回收技术，如采用生物浸出－溶剂萃取－电积技术回收废石中的铜等；</w:t>
            </w:r>
          </w:p>
          <w:p w14:paraId="5B90C95A">
            <w:pPr>
              <w:pStyle w:val="179"/>
              <w:jc w:val="both"/>
              <w:rPr>
                <w:rFonts w:cs="Times New Roman"/>
              </w:rPr>
            </w:pPr>
            <w:r>
              <w:rPr>
                <w:rFonts w:cs="Times New Roman"/>
              </w:rPr>
              <w:t>（2）推广利用采矿固体废物加工生产建筑材料及制品技术，如生产铺路材料、制砖等；</w:t>
            </w:r>
          </w:p>
          <w:p w14:paraId="218139D3">
            <w:pPr>
              <w:pStyle w:val="179"/>
              <w:jc w:val="both"/>
              <w:rPr>
                <w:rFonts w:cs="Times New Roman"/>
              </w:rPr>
            </w:pPr>
            <w:r>
              <w:rPr>
                <w:rFonts w:cs="Times New Roman"/>
              </w:rPr>
              <w:t>（3）推广煤矸石的综合利用技术，如利用煤矸石发电、生产水泥和肥料、制砖等。</w:t>
            </w:r>
          </w:p>
        </w:tc>
        <w:tc>
          <w:tcPr>
            <w:tcW w:w="1393" w:type="pct"/>
            <w:vAlign w:val="center"/>
          </w:tcPr>
          <w:p w14:paraId="2E517123">
            <w:pPr>
              <w:pStyle w:val="179"/>
              <w:rPr>
                <w:rFonts w:cs="Times New Roman"/>
              </w:rPr>
            </w:pPr>
            <w:r>
              <w:rPr>
                <w:rFonts w:cs="Times New Roman"/>
              </w:rPr>
              <w:t>项目开采出的凝灰岩全部利用，无废石产生；生活垃圾由市政部门统一处理；贮水池沉渣用于矿区土地平整等。</w:t>
            </w:r>
          </w:p>
        </w:tc>
        <w:tc>
          <w:tcPr>
            <w:tcW w:w="467" w:type="pct"/>
            <w:vAlign w:val="center"/>
          </w:tcPr>
          <w:p w14:paraId="78D085D6">
            <w:pPr>
              <w:pStyle w:val="179"/>
              <w:rPr>
                <w:rFonts w:cs="Times New Roman"/>
              </w:rPr>
            </w:pPr>
            <w:r>
              <w:rPr>
                <w:rFonts w:cs="Times New Roman"/>
              </w:rPr>
              <w:t>符合</w:t>
            </w:r>
          </w:p>
        </w:tc>
      </w:tr>
    </w:tbl>
    <w:p w14:paraId="204EA4E2">
      <w:pPr>
        <w:ind w:firstLine="480"/>
        <w:rPr>
          <w:rFonts w:hAnsi="Times New Roman" w:cs="Times New Roman"/>
        </w:rPr>
      </w:pPr>
      <w:r>
        <w:rPr>
          <w:rFonts w:hAnsi="Times New Roman" w:cs="Times New Roman"/>
        </w:rPr>
        <w:t>综上，项目符合</w:t>
      </w:r>
      <w:r>
        <w:t>《矿山生态环境保护与污染防治技术政策》相关要求。</w:t>
      </w:r>
    </w:p>
    <w:p w14:paraId="05E58E0A">
      <w:pPr>
        <w:pStyle w:val="5"/>
        <w:spacing w:before="120" w:after="120"/>
      </w:pPr>
      <w:r>
        <w:t>与《矿山生态环境保护与恢复治理技术规范》（HJ651-2013）符合性分析</w:t>
      </w:r>
    </w:p>
    <w:p w14:paraId="70968FE8">
      <w:pPr>
        <w:ind w:firstLine="480"/>
        <w:rPr>
          <w:rFonts w:hAnsi="Times New Roman" w:cs="Times New Roman"/>
        </w:rPr>
      </w:pPr>
      <w:r>
        <w:rPr>
          <w:rFonts w:hAnsi="Times New Roman" w:cs="Times New Roman"/>
        </w:rPr>
        <w:t>项目与《矿山生态环境保护与恢复治理技术规范》（HJ651-2013）符合性分析见下表。</w:t>
      </w:r>
    </w:p>
    <w:p w14:paraId="4D5CED23">
      <w:pPr>
        <w:pStyle w:val="178"/>
        <w:rPr>
          <w:rFonts w:ascii="Times New Roman" w:hAnsi="Times New Roman"/>
        </w:rPr>
      </w:pPr>
      <w:r>
        <w:rPr>
          <w:rFonts w:ascii="Times New Roman" w:hAnsi="Times New Roman"/>
        </w:rPr>
        <w:t>表1.4-</w:t>
      </w:r>
      <w:r>
        <w:rPr>
          <w:rFonts w:hint="eastAsia" w:ascii="Times New Roman" w:hAnsi="Times New Roman"/>
        </w:rPr>
        <w:t>5</w:t>
      </w:r>
      <w:r>
        <w:rPr>
          <w:rFonts w:ascii="Times New Roman" w:hAnsi="Times New Roman"/>
        </w:rPr>
        <w:t xml:space="preserve">  与《矿山生态环境保护与恢复治理技术规范》（HJ651-2013）符合性分析</w:t>
      </w:r>
    </w:p>
    <w:tbl>
      <w:tblPr>
        <w:tblStyle w:val="36"/>
        <w:tblW w:w="8505"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57" w:type="dxa"/>
          <w:bottom w:w="0" w:type="dxa"/>
          <w:right w:w="57" w:type="dxa"/>
        </w:tblCellMar>
      </w:tblPr>
      <w:tblGrid>
        <w:gridCol w:w="4645"/>
        <w:gridCol w:w="2994"/>
        <w:gridCol w:w="866"/>
      </w:tblGrid>
      <w:tr w14:paraId="6018064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tblHeader/>
          <w:jc w:val="center"/>
        </w:trPr>
        <w:tc>
          <w:tcPr>
            <w:tcW w:w="2731" w:type="pct"/>
            <w:vAlign w:val="center"/>
          </w:tcPr>
          <w:p w14:paraId="18737411">
            <w:pPr>
              <w:pStyle w:val="179"/>
              <w:rPr>
                <w:rFonts w:cs="Times New Roman"/>
                <w:b/>
              </w:rPr>
            </w:pPr>
            <w:r>
              <w:rPr>
                <w:rFonts w:cs="Times New Roman"/>
                <w:b/>
              </w:rPr>
              <w:t>政策要求</w:t>
            </w:r>
          </w:p>
        </w:tc>
        <w:tc>
          <w:tcPr>
            <w:tcW w:w="1760" w:type="pct"/>
            <w:vAlign w:val="center"/>
          </w:tcPr>
          <w:p w14:paraId="59ED8E4E">
            <w:pPr>
              <w:pStyle w:val="179"/>
              <w:rPr>
                <w:rFonts w:cs="Times New Roman"/>
                <w:b/>
              </w:rPr>
            </w:pPr>
            <w:r>
              <w:rPr>
                <w:rFonts w:cs="Times New Roman"/>
                <w:b/>
              </w:rPr>
              <w:t>本项目</w:t>
            </w:r>
          </w:p>
        </w:tc>
        <w:tc>
          <w:tcPr>
            <w:tcW w:w="509" w:type="pct"/>
            <w:vAlign w:val="center"/>
          </w:tcPr>
          <w:p w14:paraId="7AC00F17">
            <w:pPr>
              <w:pStyle w:val="179"/>
              <w:rPr>
                <w:rFonts w:cs="Times New Roman"/>
                <w:b/>
              </w:rPr>
            </w:pPr>
            <w:r>
              <w:rPr>
                <w:rFonts w:cs="Times New Roman"/>
                <w:b/>
              </w:rPr>
              <w:t>符合性</w:t>
            </w:r>
          </w:p>
        </w:tc>
      </w:tr>
      <w:tr w14:paraId="315D9DF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731" w:type="pct"/>
            <w:vAlign w:val="center"/>
          </w:tcPr>
          <w:p w14:paraId="298DD88A">
            <w:pPr>
              <w:pStyle w:val="179"/>
              <w:rPr>
                <w:rFonts w:cs="Times New Roman"/>
              </w:rPr>
            </w:pPr>
            <w:r>
              <w:rPr>
                <w:rFonts w:hint="eastAsia" w:cs="Times New Roman"/>
              </w:rPr>
              <w:t>4.1</w:t>
            </w:r>
            <w:r>
              <w:rPr>
                <w:rFonts w:cs="Times New Roman"/>
              </w:rPr>
              <w:t>禁止在依法划定的自然保护区、风景名胜区、森林公园、饮用水水源保护区、重要湖泊周边、文物古迹所在地、地质遗迹保护区、基本农田保护区等区域内采矿。禁止在重要道路、航道两侧及重要</w:t>
            </w:r>
            <w:r>
              <w:rPr>
                <w:rFonts w:hint="eastAsia" w:cs="Times New Roman"/>
              </w:rPr>
              <w:t>生态环境敏感目标可视范围内进行对景观破坏明显的露天开采。</w:t>
            </w:r>
          </w:p>
        </w:tc>
        <w:tc>
          <w:tcPr>
            <w:tcW w:w="1760" w:type="pct"/>
            <w:vAlign w:val="center"/>
          </w:tcPr>
          <w:p w14:paraId="18D3AB50">
            <w:pPr>
              <w:pStyle w:val="179"/>
              <w:rPr>
                <w:rFonts w:cs="Times New Roman"/>
              </w:rPr>
            </w:pPr>
            <w:r>
              <w:rPr>
                <w:rFonts w:cs="Times New Roman"/>
              </w:rPr>
              <w:t>本项目不占用自然保护区、风景名胜区、森林公园、饮用水水源保护区、重要湖泊周边、文物古迹所在地、地质遗迹保护区、基本农田保护区等区域</w:t>
            </w:r>
          </w:p>
        </w:tc>
        <w:tc>
          <w:tcPr>
            <w:tcW w:w="509" w:type="pct"/>
            <w:vAlign w:val="center"/>
          </w:tcPr>
          <w:p w14:paraId="473C06FF">
            <w:pPr>
              <w:pStyle w:val="179"/>
              <w:rPr>
                <w:rFonts w:cs="Times New Roman"/>
              </w:rPr>
            </w:pPr>
            <w:r>
              <w:rPr>
                <w:rFonts w:cs="Times New Roman"/>
              </w:rPr>
              <w:t>符合</w:t>
            </w:r>
          </w:p>
        </w:tc>
      </w:tr>
      <w:tr w14:paraId="472E7BC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731" w:type="pct"/>
            <w:vAlign w:val="center"/>
          </w:tcPr>
          <w:p w14:paraId="0D8521A0">
            <w:pPr>
              <w:pStyle w:val="179"/>
              <w:rPr>
                <w:rFonts w:cs="Times New Roman"/>
              </w:rPr>
            </w:pPr>
            <w:r>
              <w:rPr>
                <w:rFonts w:hint="eastAsia" w:cs="Times New Roman"/>
              </w:rPr>
              <w:t>4.2矿产资源开发活动应符合国家和区域主体功能区规划、生态功能区划、生态环境保护规划的要求，采取有效预防和保护措施，避免或减轻矿产资源开发活动造成的生态破坏和环境污染。</w:t>
            </w:r>
          </w:p>
        </w:tc>
        <w:tc>
          <w:tcPr>
            <w:tcW w:w="1760" w:type="pct"/>
            <w:vAlign w:val="center"/>
          </w:tcPr>
          <w:p w14:paraId="741DE069">
            <w:pPr>
              <w:pStyle w:val="179"/>
              <w:rPr>
                <w:rFonts w:cs="Times New Roman"/>
              </w:rPr>
            </w:pPr>
            <w:r>
              <w:rPr>
                <w:rFonts w:cs="Times New Roman"/>
              </w:rPr>
              <w:t>项目建设符合《黑龙江省主体功能区规划》《黑龙江省生态功能区划》《黑龙江省矿产资源总体规划》（2021—2025年）等相关规划的要求</w:t>
            </w:r>
            <w:r>
              <w:rPr>
                <w:rFonts w:hint="eastAsia" w:cs="Times New Roman"/>
              </w:rPr>
              <w:t>，采取有效预防和保护措施，避免矿产资源开发活动造成的生态破坏和环境污染</w:t>
            </w:r>
          </w:p>
        </w:tc>
        <w:tc>
          <w:tcPr>
            <w:tcW w:w="509" w:type="pct"/>
            <w:vAlign w:val="center"/>
          </w:tcPr>
          <w:p w14:paraId="14A5FF98">
            <w:pPr>
              <w:pStyle w:val="179"/>
              <w:rPr>
                <w:rFonts w:cs="Times New Roman"/>
              </w:rPr>
            </w:pPr>
            <w:r>
              <w:rPr>
                <w:rFonts w:cs="Times New Roman"/>
              </w:rPr>
              <w:t>符合</w:t>
            </w:r>
          </w:p>
        </w:tc>
      </w:tr>
      <w:tr w14:paraId="6137EEE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731" w:type="pct"/>
            <w:vAlign w:val="center"/>
          </w:tcPr>
          <w:p w14:paraId="15E837DC">
            <w:pPr>
              <w:pStyle w:val="179"/>
              <w:rPr>
                <w:rFonts w:cs="Times New Roman"/>
              </w:rPr>
            </w:pPr>
            <w:r>
              <w:rPr>
                <w:rFonts w:hint="eastAsia" w:cs="Times New Roman"/>
              </w:rPr>
              <w:t>4.3坚持“预防为主、防治结合、过程控制”的原则，将矿山生态环境保护与恢复治理贯穿矿产资源开采的全过程。根据矿山生态环境保护与恢复治理的重点任务，合理确定矿山生态保护与恢复治理分区，优化矿区生产与生活空间格局。采用新技术、新方法、新工艺提高矿山生态环境保护和恢复治理水平。</w:t>
            </w:r>
          </w:p>
        </w:tc>
        <w:tc>
          <w:tcPr>
            <w:tcW w:w="1760" w:type="pct"/>
            <w:vAlign w:val="center"/>
          </w:tcPr>
          <w:p w14:paraId="5D6F9D63">
            <w:pPr>
              <w:pStyle w:val="179"/>
              <w:rPr>
                <w:rFonts w:cs="Times New Roman"/>
              </w:rPr>
            </w:pPr>
            <w:r>
              <w:rPr>
                <w:rFonts w:hint="eastAsia" w:cs="Times New Roman"/>
              </w:rPr>
              <w:t>建设单位已编制矿区生态修复方案，将矿山生态环境保护与恢复治理贯穿矿产资源开采的全过程</w:t>
            </w:r>
          </w:p>
        </w:tc>
        <w:tc>
          <w:tcPr>
            <w:tcW w:w="509" w:type="pct"/>
            <w:vAlign w:val="center"/>
          </w:tcPr>
          <w:p w14:paraId="5FF49560">
            <w:pPr>
              <w:pStyle w:val="179"/>
              <w:rPr>
                <w:rFonts w:cs="Times New Roman"/>
              </w:rPr>
            </w:pPr>
            <w:r>
              <w:rPr>
                <w:rFonts w:cs="Times New Roman"/>
              </w:rPr>
              <w:t>符合</w:t>
            </w:r>
          </w:p>
        </w:tc>
      </w:tr>
      <w:tr w14:paraId="2E3DBA5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731" w:type="pct"/>
            <w:vAlign w:val="center"/>
          </w:tcPr>
          <w:p w14:paraId="2CB926D6">
            <w:pPr>
              <w:pStyle w:val="179"/>
              <w:rPr>
                <w:rFonts w:cs="Times New Roman"/>
              </w:rPr>
            </w:pPr>
            <w:r>
              <w:rPr>
                <w:rFonts w:hint="eastAsia" w:cs="Times New Roman"/>
              </w:rPr>
              <w:t>4.4</w:t>
            </w:r>
            <w:r>
              <w:rPr>
                <w:rFonts w:cs="Times New Roman"/>
              </w:rPr>
              <w:t>所有矿山企业均应对照本标准各项要求，编制实施矿山生态环境保护与恢复治理方案。</w:t>
            </w:r>
          </w:p>
        </w:tc>
        <w:tc>
          <w:tcPr>
            <w:tcW w:w="1760" w:type="pct"/>
            <w:vAlign w:val="center"/>
          </w:tcPr>
          <w:p w14:paraId="32A52503">
            <w:pPr>
              <w:pStyle w:val="179"/>
              <w:rPr>
                <w:rFonts w:cs="Times New Roman"/>
              </w:rPr>
            </w:pPr>
            <w:r>
              <w:rPr>
                <w:rFonts w:hint="eastAsia" w:cs="Times New Roman"/>
              </w:rPr>
              <w:t>建设单位已编制矿区生态修复方案</w:t>
            </w:r>
          </w:p>
        </w:tc>
        <w:tc>
          <w:tcPr>
            <w:tcW w:w="509" w:type="pct"/>
            <w:vAlign w:val="center"/>
          </w:tcPr>
          <w:p w14:paraId="2CC09278">
            <w:pPr>
              <w:pStyle w:val="179"/>
              <w:rPr>
                <w:rFonts w:cs="Times New Roman"/>
              </w:rPr>
            </w:pPr>
            <w:r>
              <w:rPr>
                <w:rFonts w:cs="Times New Roman"/>
              </w:rPr>
              <w:t>符合</w:t>
            </w:r>
          </w:p>
        </w:tc>
      </w:tr>
      <w:tr w14:paraId="6C1319A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731" w:type="pct"/>
            <w:vAlign w:val="center"/>
          </w:tcPr>
          <w:p w14:paraId="03A9D342">
            <w:pPr>
              <w:pStyle w:val="179"/>
              <w:rPr>
                <w:rFonts w:cs="Times New Roman"/>
              </w:rPr>
            </w:pPr>
            <w:r>
              <w:rPr>
                <w:rFonts w:hint="eastAsia" w:cs="Times New Roman"/>
              </w:rPr>
              <w:t>4.5</w:t>
            </w:r>
            <w:r>
              <w:rPr>
                <w:rFonts w:cs="Times New Roman"/>
              </w:rPr>
              <w:t>恢复治理后的各类场地应实现:安全稳定，对人类和动植物不造成威胁;对周边环境不产生污染;与周边自然环境和景观相协调;恢复土地基本功能，因地制宜实现土地可持续利用;区域整体生态功能得到保护和恢复。</w:t>
            </w:r>
          </w:p>
        </w:tc>
        <w:tc>
          <w:tcPr>
            <w:tcW w:w="1760" w:type="pct"/>
            <w:vAlign w:val="center"/>
          </w:tcPr>
          <w:p w14:paraId="31924AA5">
            <w:pPr>
              <w:pStyle w:val="179"/>
              <w:rPr>
                <w:rFonts w:cs="Times New Roman"/>
              </w:rPr>
            </w:pPr>
            <w:r>
              <w:rPr>
                <w:rFonts w:cs="Times New Roman"/>
              </w:rPr>
              <w:t>要求恢复治理后达到安全稳定，对人类和动植物不造成威胁;对周边环境不产生污染;与周边自然环境和景观相协调;恢复土地基本功能，因地制宜实现土地可持续利用;区域整体生态功能得到保护和恢复。</w:t>
            </w:r>
          </w:p>
        </w:tc>
        <w:tc>
          <w:tcPr>
            <w:tcW w:w="509" w:type="pct"/>
            <w:vAlign w:val="center"/>
          </w:tcPr>
          <w:p w14:paraId="63B6C841">
            <w:pPr>
              <w:pStyle w:val="179"/>
              <w:rPr>
                <w:rFonts w:cs="Times New Roman"/>
              </w:rPr>
            </w:pPr>
            <w:r>
              <w:rPr>
                <w:rFonts w:cs="Times New Roman"/>
              </w:rPr>
              <w:t>符合</w:t>
            </w:r>
          </w:p>
        </w:tc>
      </w:tr>
      <w:tr w14:paraId="19EC2B8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731" w:type="pct"/>
            <w:vAlign w:val="center"/>
          </w:tcPr>
          <w:p w14:paraId="04F1B443">
            <w:pPr>
              <w:pStyle w:val="179"/>
              <w:rPr>
                <w:rFonts w:cs="Times New Roman"/>
              </w:rPr>
            </w:pPr>
            <w:r>
              <w:rPr>
                <w:rFonts w:cs="Times New Roman"/>
              </w:rPr>
              <w:t>高寒区露天采矿、设置临时堆料场和尾矿库时，应将剥离的草皮层集中养护，满足恢复条件后及时移植，恢复植被：严格控制临时施工场地与施工道路面积和范围，减少对地表植被的破坏。</w:t>
            </w:r>
          </w:p>
        </w:tc>
        <w:tc>
          <w:tcPr>
            <w:tcW w:w="1760" w:type="pct"/>
            <w:vAlign w:val="center"/>
          </w:tcPr>
          <w:p w14:paraId="7651CB7B">
            <w:pPr>
              <w:pStyle w:val="179"/>
              <w:rPr>
                <w:rFonts w:cs="Times New Roman"/>
              </w:rPr>
            </w:pPr>
            <w:r>
              <w:rPr>
                <w:rFonts w:cs="Times New Roman"/>
              </w:rPr>
              <w:t>本项目开采区表土剥离集中堆放，开采期结束后用于恢复植被。严格控制临时施工场地与施工道路面积和范围，减少对地表植被的破坏。</w:t>
            </w:r>
          </w:p>
        </w:tc>
        <w:tc>
          <w:tcPr>
            <w:tcW w:w="509" w:type="pct"/>
            <w:vAlign w:val="center"/>
          </w:tcPr>
          <w:p w14:paraId="3B9CAD3F">
            <w:pPr>
              <w:pStyle w:val="179"/>
              <w:rPr>
                <w:rFonts w:cs="Times New Roman"/>
              </w:rPr>
            </w:pPr>
            <w:r>
              <w:rPr>
                <w:rFonts w:cs="Times New Roman"/>
              </w:rPr>
              <w:t>符合</w:t>
            </w:r>
          </w:p>
        </w:tc>
      </w:tr>
      <w:tr w14:paraId="0CF5BFB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731" w:type="pct"/>
            <w:vAlign w:val="center"/>
          </w:tcPr>
          <w:p w14:paraId="63C8BBE6">
            <w:pPr>
              <w:pStyle w:val="179"/>
              <w:rPr>
                <w:rFonts w:cs="Times New Roman"/>
              </w:rPr>
            </w:pPr>
            <w:r>
              <w:rPr>
                <w:rFonts w:cs="Times New Roman"/>
              </w:rPr>
              <w:t>堆土场应设置完整的排水系统，位于沟谷的堆土场应设置防洪和排水设施，避免阻碍泄洪，防止淤塞农田、加剧水土流失和诱发地质灾害。</w:t>
            </w:r>
          </w:p>
        </w:tc>
        <w:tc>
          <w:tcPr>
            <w:tcW w:w="1760" w:type="pct"/>
            <w:vAlign w:val="center"/>
          </w:tcPr>
          <w:p w14:paraId="72BBFA09">
            <w:pPr>
              <w:pStyle w:val="179"/>
              <w:rPr>
                <w:rFonts w:cs="Times New Roman"/>
              </w:rPr>
            </w:pPr>
            <w:r>
              <w:rPr>
                <w:rFonts w:cs="Times New Roman"/>
              </w:rPr>
              <w:t>项目矿区设置截洪沟及排水沟，具有完整的排水系统。</w:t>
            </w:r>
          </w:p>
        </w:tc>
        <w:tc>
          <w:tcPr>
            <w:tcW w:w="509" w:type="pct"/>
            <w:vAlign w:val="center"/>
          </w:tcPr>
          <w:p w14:paraId="107F2551">
            <w:pPr>
              <w:pStyle w:val="179"/>
              <w:rPr>
                <w:rFonts w:cs="Times New Roman"/>
              </w:rPr>
            </w:pPr>
            <w:r>
              <w:rPr>
                <w:rFonts w:cs="Times New Roman"/>
              </w:rPr>
              <w:t>符合</w:t>
            </w:r>
          </w:p>
        </w:tc>
      </w:tr>
      <w:tr w14:paraId="4CE7957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731" w:type="pct"/>
            <w:vAlign w:val="center"/>
          </w:tcPr>
          <w:p w14:paraId="650E0D94">
            <w:pPr>
              <w:pStyle w:val="179"/>
              <w:rPr>
                <w:rFonts w:cs="Times New Roman"/>
              </w:rPr>
            </w:pPr>
            <w:r>
              <w:rPr>
                <w:rFonts w:cs="Times New Roman"/>
              </w:rPr>
              <w:t>矿山工业场地不再使用的厂房、堆料场、沉沙设施、垃圾池、管线等各项建（构）筑物和基础设施应全部拆除，并进行景观和植被恢复。转为商住等其他用途的，应开展污染场地调查、风险评估与修复治理。</w:t>
            </w:r>
          </w:p>
        </w:tc>
        <w:tc>
          <w:tcPr>
            <w:tcW w:w="1760" w:type="pct"/>
            <w:vAlign w:val="center"/>
          </w:tcPr>
          <w:p w14:paraId="3DC23008">
            <w:pPr>
              <w:pStyle w:val="179"/>
              <w:rPr>
                <w:rFonts w:cs="Times New Roman"/>
              </w:rPr>
            </w:pPr>
            <w:r>
              <w:rPr>
                <w:rFonts w:cs="Times New Roman"/>
              </w:rPr>
              <w:t>在开采期结束后，设施全部拆除，进行植被恢复。</w:t>
            </w:r>
          </w:p>
        </w:tc>
        <w:tc>
          <w:tcPr>
            <w:tcW w:w="509" w:type="pct"/>
            <w:vAlign w:val="center"/>
          </w:tcPr>
          <w:p w14:paraId="26B58A2A">
            <w:pPr>
              <w:pStyle w:val="179"/>
              <w:rPr>
                <w:rFonts w:cs="Times New Roman"/>
              </w:rPr>
            </w:pPr>
            <w:r>
              <w:rPr>
                <w:rFonts w:cs="Times New Roman"/>
              </w:rPr>
              <w:t>符合</w:t>
            </w:r>
          </w:p>
        </w:tc>
      </w:tr>
      <w:tr w14:paraId="0107E8A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731" w:type="pct"/>
            <w:vAlign w:val="center"/>
          </w:tcPr>
          <w:p w14:paraId="6C2ECE93">
            <w:pPr>
              <w:pStyle w:val="179"/>
              <w:rPr>
                <w:rFonts w:cs="Times New Roman"/>
              </w:rPr>
            </w:pPr>
            <w:r>
              <w:rPr>
                <w:rFonts w:cs="Times New Roman"/>
              </w:rPr>
              <w:t>矿物和矿渣运输道路应硬化并洒水防尘，运输车辆应采取围挡、遮盖等措施。矿物堆场和临时料场应采取防止风蚀和扬尘措施。</w:t>
            </w:r>
          </w:p>
        </w:tc>
        <w:tc>
          <w:tcPr>
            <w:tcW w:w="1760" w:type="pct"/>
            <w:vAlign w:val="center"/>
          </w:tcPr>
          <w:p w14:paraId="5FC9037D">
            <w:pPr>
              <w:pStyle w:val="179"/>
              <w:rPr>
                <w:rFonts w:cs="Times New Roman"/>
              </w:rPr>
            </w:pPr>
            <w:r>
              <w:rPr>
                <w:rFonts w:cs="Times New Roman"/>
              </w:rPr>
              <w:t>本项目采用砂石道路运输，并洒水降尘，运输车辆采取围挡、遮盖等措施。成品堆场采取洒水抑尘、苫布遮盖措施。</w:t>
            </w:r>
          </w:p>
        </w:tc>
        <w:tc>
          <w:tcPr>
            <w:tcW w:w="509" w:type="pct"/>
            <w:vAlign w:val="center"/>
          </w:tcPr>
          <w:p w14:paraId="3F7AFFF9">
            <w:pPr>
              <w:pStyle w:val="179"/>
              <w:rPr>
                <w:rFonts w:cs="Times New Roman"/>
              </w:rPr>
            </w:pPr>
            <w:r>
              <w:rPr>
                <w:rFonts w:cs="Times New Roman"/>
              </w:rPr>
              <w:t>符合</w:t>
            </w:r>
          </w:p>
        </w:tc>
      </w:tr>
      <w:tr w14:paraId="0E860D7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731" w:type="pct"/>
            <w:vAlign w:val="center"/>
          </w:tcPr>
          <w:p w14:paraId="186E4320">
            <w:pPr>
              <w:pStyle w:val="179"/>
              <w:rPr>
                <w:rFonts w:cs="Times New Roman"/>
              </w:rPr>
            </w:pPr>
            <w:r>
              <w:rPr>
                <w:rFonts w:cs="Times New Roman"/>
              </w:rPr>
              <w:t>矿井水和露天采场内的季节性和临时性积水应在采取沉淀、过滤等措施去除污染物后重复利用。</w:t>
            </w:r>
          </w:p>
        </w:tc>
        <w:tc>
          <w:tcPr>
            <w:tcW w:w="1760" w:type="pct"/>
            <w:vAlign w:val="center"/>
          </w:tcPr>
          <w:p w14:paraId="18BBF40A">
            <w:pPr>
              <w:pStyle w:val="179"/>
              <w:rPr>
                <w:rFonts w:cs="Times New Roman"/>
              </w:rPr>
            </w:pPr>
            <w:r>
              <w:rPr>
                <w:rFonts w:cs="Times New Roman"/>
              </w:rPr>
              <w:t>本项目矿区径流污水经沉淀后用于矿区抑尘，不外排。</w:t>
            </w:r>
          </w:p>
        </w:tc>
        <w:tc>
          <w:tcPr>
            <w:tcW w:w="509" w:type="pct"/>
            <w:vAlign w:val="center"/>
          </w:tcPr>
          <w:p w14:paraId="14578157">
            <w:pPr>
              <w:pStyle w:val="179"/>
              <w:rPr>
                <w:rFonts w:cs="Times New Roman"/>
              </w:rPr>
            </w:pPr>
            <w:r>
              <w:rPr>
                <w:rFonts w:cs="Times New Roman"/>
              </w:rPr>
              <w:t>符合</w:t>
            </w:r>
          </w:p>
        </w:tc>
      </w:tr>
    </w:tbl>
    <w:p w14:paraId="1CA80E6A">
      <w:pPr>
        <w:pStyle w:val="5"/>
        <w:spacing w:before="120" w:after="120"/>
      </w:pPr>
      <w:r>
        <w:t>与</w:t>
      </w:r>
      <w:r>
        <w:rPr>
          <w:lang w:val="zh-CN"/>
        </w:rPr>
        <w:t>《</w:t>
      </w:r>
      <w:r>
        <w:t>黑龙江省野生动物保护条例</w:t>
      </w:r>
      <w:r>
        <w:rPr>
          <w:lang w:val="zh-CN"/>
        </w:rPr>
        <w:t>》</w:t>
      </w:r>
      <w:r>
        <w:t>符合性分析</w:t>
      </w:r>
    </w:p>
    <w:p w14:paraId="2B57BC85">
      <w:pPr>
        <w:ind w:firstLine="480"/>
        <w:rPr>
          <w:rFonts w:hAnsi="Times New Roman" w:cs="Times New Roman"/>
        </w:rPr>
      </w:pPr>
      <w:r>
        <w:rPr>
          <w:rFonts w:hAnsi="Times New Roman" w:cs="Times New Roman"/>
        </w:rPr>
        <w:t>根据《黑龙江省野生动物保护条例》：“第九条 县级以上野生动物保护主管部门应当采取生物技术、工程技术、监视监测等措施，保护野生动物栖息地生态环境。</w:t>
      </w:r>
    </w:p>
    <w:p w14:paraId="444086AE">
      <w:pPr>
        <w:ind w:firstLine="480"/>
        <w:rPr>
          <w:rFonts w:hAnsi="Times New Roman" w:cs="Times New Roman"/>
        </w:rPr>
      </w:pPr>
      <w:r>
        <w:rPr>
          <w:rFonts w:hAnsi="Times New Roman" w:cs="Times New Roman"/>
        </w:rPr>
        <w:t>野生动物栖息地生态环境遭受破坏的，所在地县级以上人民政府应当组织制定生态修复方案，逐步恢复、改善野生动物栖息地生态环境。</w:t>
      </w:r>
    </w:p>
    <w:p w14:paraId="082A317E">
      <w:pPr>
        <w:ind w:firstLine="480"/>
        <w:rPr>
          <w:rFonts w:hAnsi="Times New Roman" w:cs="Times New Roman"/>
        </w:rPr>
      </w:pPr>
      <w:r>
        <w:rPr>
          <w:rFonts w:hAnsi="Times New Roman" w:cs="Times New Roman"/>
        </w:rPr>
        <w:t>单位和个人在野生动物保护区域内开展植树造林活动，应当遵守造林技术规程。除造林技术规程规定的特殊情况外，禁止采用全面整地、炼山等破坏已有植被和野生动物栖息地的整地方式。</w:t>
      </w:r>
    </w:p>
    <w:p w14:paraId="1BEF3EE9">
      <w:pPr>
        <w:ind w:firstLine="480"/>
        <w:rPr>
          <w:rFonts w:hAnsi="Times New Roman" w:cs="Times New Roman"/>
        </w:rPr>
      </w:pPr>
      <w:r>
        <w:rPr>
          <w:rFonts w:hAnsi="Times New Roman" w:cs="Times New Roman"/>
        </w:rPr>
        <w:t>第十条 省林业草原主管部门应当根据国土空间规划和调查、监测、评估结果，经科学论证，编制陆生野生动物生态廊道建设规划，落实栖息地保护措施，保护陆生野生动物栖息和迁徙活动。陆生野生动物生态廊道建设规划由省人民政府批准并公布。</w:t>
      </w:r>
    </w:p>
    <w:p w14:paraId="000EC782">
      <w:pPr>
        <w:ind w:firstLine="480"/>
        <w:rPr>
          <w:rFonts w:hAnsi="Times New Roman" w:cs="Times New Roman"/>
        </w:rPr>
      </w:pPr>
      <w:r>
        <w:rPr>
          <w:rFonts w:hAnsi="Times New Roman" w:cs="Times New Roman"/>
        </w:rPr>
        <w:t>市、县级相关主管部门应当采取措施，畅通水生野生动物洄游通道，为国家重点保护水生野生动物的繁殖、索饵和越冬提供方便条件。”</w:t>
      </w:r>
    </w:p>
    <w:p w14:paraId="55951E11">
      <w:pPr>
        <w:ind w:firstLine="480"/>
        <w:rPr>
          <w:rFonts w:hAnsi="Times New Roman" w:cs="Times New Roman"/>
        </w:rPr>
      </w:pPr>
      <w:r>
        <w:rPr>
          <w:rFonts w:hAnsi="Times New Roman" w:cs="Times New Roman"/>
        </w:rPr>
        <w:t>根据调查，本项目不涉及野生动物重要栖息地。项目不设置排污口，不涉及水生野生动物的三场一道分布，不会对水生生态造成严重影响。</w:t>
      </w:r>
    </w:p>
    <w:p w14:paraId="67E0FC92">
      <w:pPr>
        <w:pStyle w:val="4"/>
        <w:spacing w:before="180" w:after="120"/>
        <w:rPr>
          <w:rFonts w:hAnsi="Times New Roman" w:cs="Times New Roman"/>
        </w:rPr>
      </w:pPr>
      <w:r>
        <w:rPr>
          <w:rFonts w:hAnsi="Times New Roman" w:cs="Times New Roman"/>
        </w:rPr>
        <w:t>与生态环境分区管控符合性分析</w:t>
      </w:r>
    </w:p>
    <w:p w14:paraId="6351F1E8">
      <w:pPr>
        <w:ind w:firstLine="480"/>
        <w:rPr>
          <w:rFonts w:hAnsi="Times New Roman" w:cs="Times New Roman"/>
        </w:rPr>
      </w:pPr>
      <w:r>
        <w:t>根据《黑龙江省人民政府关于实施“三线一单”生态环境分区管控的意见》（黑政发〔2020〕14号）、《黑河市人民政府关于加强“三线一单”生态环境分区管控的实施意见》（黑市政规〔2021〕2号）、《</w:t>
      </w:r>
      <w:r>
        <w:rPr>
          <w:rFonts w:hint="eastAsia"/>
        </w:rPr>
        <w:t>关于发布2023年黑河市生态环境分区管控动态更新成果的通知</w:t>
      </w:r>
      <w:r>
        <w:rPr>
          <w:rFonts w:hAnsi="Times New Roman" w:cs="Times New Roman"/>
        </w:rPr>
        <w:t>》（</w:t>
      </w:r>
      <w:r>
        <w:rPr>
          <w:rFonts w:hint="eastAsia" w:hAnsi="Times New Roman" w:cs="Times New Roman"/>
        </w:rPr>
        <w:t>黑市区域环评办发〔2024〕1号</w:t>
      </w:r>
      <w:r>
        <w:rPr>
          <w:rFonts w:hAnsi="Times New Roman" w:cs="Times New Roman"/>
        </w:rPr>
        <w:t>），通过平台查询项目与“三线一单”成果数据相交情况，结合本项目施工工艺、排污状况和区域环境及环境质量现状进行调查的基础上，本工程生态环境分区管控符合性情况如下：</w:t>
      </w:r>
    </w:p>
    <w:p w14:paraId="58D45F67">
      <w:pPr>
        <w:pStyle w:val="5"/>
        <w:spacing w:before="120" w:after="120"/>
      </w:pPr>
      <w:r>
        <w:t>生态保护红线</w:t>
      </w:r>
    </w:p>
    <w:p w14:paraId="5072666D">
      <w:pPr>
        <w:ind w:firstLine="480"/>
      </w:pPr>
      <w:r>
        <w:t>根据《</w:t>
      </w:r>
      <w:r>
        <w:rPr>
          <w:rFonts w:hint="eastAsia"/>
        </w:rPr>
        <w:t>黑龙江省嫩江市塔溪乡马厂河采石场建筑用凝灰岩矿</w:t>
      </w:r>
      <w:r>
        <w:t>生态环境分区管控分析报告》（附件</w:t>
      </w:r>
      <w:r>
        <w:rPr>
          <w:rFonts w:hint="eastAsia"/>
        </w:rPr>
        <w:t>8</w:t>
      </w:r>
      <w:r>
        <w:t>），项目位置涉及</w:t>
      </w:r>
      <w:r>
        <w:rPr>
          <w:rFonts w:hint="eastAsia"/>
        </w:rPr>
        <w:t>黑河市</w:t>
      </w:r>
      <w:r>
        <w:t>嫩江市，</w:t>
      </w:r>
      <w:r>
        <w:rPr>
          <w:rFonts w:hint="eastAsia"/>
        </w:rPr>
        <w:t>项目占地总面积</w:t>
      </w:r>
      <w:r>
        <w:t>0.</w:t>
      </w:r>
      <w:r>
        <w:rPr>
          <w:rFonts w:hint="eastAsia"/>
        </w:rPr>
        <w:t>11平方公里。</w:t>
      </w:r>
    </w:p>
    <w:p w14:paraId="6E6E3907">
      <w:pPr>
        <w:ind w:firstLine="480"/>
      </w:pPr>
      <w:r>
        <w:rPr>
          <w:rFonts w:hint="eastAsia"/>
        </w:rPr>
        <w:t>根据马厂河采石场避让生态红线协议书（附件4）及与黑龙江省生态环境分区管控数据应用平台对比，见图1.4-4矿区范围与生态保护红线关系图，</w:t>
      </w:r>
      <w:r>
        <w:t>本项目</w:t>
      </w:r>
      <w:r>
        <w:rPr>
          <w:rFonts w:hint="eastAsia"/>
        </w:rPr>
        <w:t>矿区范围不占用</w:t>
      </w:r>
      <w:r>
        <w:t>生态保护红线</w:t>
      </w:r>
      <w:r>
        <w:rPr>
          <w:rFonts w:hint="eastAsia"/>
        </w:rPr>
        <w:t>。与自然保护地整合优化方案数据无交集。与自然保护地（现状管理数据）无交集。与饮用水水源保护区无交集。与国家级水产种质资源保护区无交集。与环境管控单元优先保护单元交集面积为</w:t>
      </w:r>
      <w:r>
        <w:t>0.</w:t>
      </w:r>
      <w:r>
        <w:rPr>
          <w:rFonts w:hint="eastAsia"/>
        </w:rPr>
        <w:t>11平方公里，占项目占地面积的</w:t>
      </w:r>
      <w:r>
        <w:t>100.00%</w:t>
      </w:r>
      <w:r>
        <w:rPr>
          <w:rFonts w:hint="eastAsia"/>
        </w:rPr>
        <w:t>；与重点管控单元无交集；与一般管控单元无交集。与地下水环境优先保护区无交集；与地下水环境重点管控区无交集，与地下水环境一般管控区交集面积为</w:t>
      </w:r>
      <w:r>
        <w:t>0.</w:t>
      </w:r>
      <w:r>
        <w:rPr>
          <w:rFonts w:hint="eastAsia"/>
        </w:rPr>
        <w:t>11平方公里，占项目占地面积的</w:t>
      </w:r>
      <w:r>
        <w:t>100.00%</w:t>
      </w:r>
      <w:r>
        <w:rPr>
          <w:rFonts w:hint="eastAsia"/>
        </w:rPr>
        <w:t>。</w:t>
      </w:r>
    </w:p>
    <w:p w14:paraId="03B384F1">
      <w:pPr>
        <w:ind w:firstLine="480"/>
      </w:pPr>
    </w:p>
    <w:p w14:paraId="5EF3C700">
      <w:pPr>
        <w:pStyle w:val="178"/>
      </w:pPr>
      <w:r>
        <w:drawing>
          <wp:inline distT="0" distB="0" distL="0" distR="0">
            <wp:extent cx="5278120" cy="2632710"/>
            <wp:effectExtent l="19050" t="0" r="0" b="0"/>
            <wp:docPr id="13"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9"/>
                    <pic:cNvPicPr>
                      <a:picLocks noChangeAspect="1" noChangeArrowheads="1"/>
                    </pic:cNvPicPr>
                  </pic:nvPicPr>
                  <pic:blipFill>
                    <a:blip r:embed="rId30"/>
                    <a:srcRect/>
                    <a:stretch>
                      <a:fillRect/>
                    </a:stretch>
                  </pic:blipFill>
                  <pic:spPr>
                    <a:xfrm>
                      <a:off x="0" y="0"/>
                      <a:ext cx="5278120" cy="2632828"/>
                    </a:xfrm>
                    <a:prstGeom prst="rect">
                      <a:avLst/>
                    </a:prstGeom>
                    <a:noFill/>
                    <a:ln w="9525">
                      <a:noFill/>
                      <a:miter lim="800000"/>
                      <a:headEnd/>
                      <a:tailEnd/>
                    </a:ln>
                  </pic:spPr>
                </pic:pic>
              </a:graphicData>
            </a:graphic>
          </wp:inline>
        </w:drawing>
      </w:r>
    </w:p>
    <w:p w14:paraId="01D4E1B2">
      <w:pPr>
        <w:pStyle w:val="178"/>
      </w:pPr>
      <w:r>
        <w:t>图1.4-</w:t>
      </w:r>
      <w:r>
        <w:rPr>
          <w:rFonts w:hint="eastAsia"/>
        </w:rPr>
        <w:t>2</w:t>
      </w:r>
      <w:r>
        <w:t xml:space="preserve">  本项目与环境管控单元叠加图</w:t>
      </w:r>
    </w:p>
    <w:p w14:paraId="06F8FE81">
      <w:pPr>
        <w:pStyle w:val="179"/>
      </w:pPr>
      <w:r>
        <w:rPr>
          <w:rFonts w:hint="eastAsia"/>
        </w:rPr>
        <w:drawing>
          <wp:inline distT="0" distB="0" distL="0" distR="0">
            <wp:extent cx="5278120" cy="2701925"/>
            <wp:effectExtent l="19050" t="0" r="0" b="0"/>
            <wp:docPr id="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0"/>
                    <pic:cNvPicPr>
                      <a:picLocks noChangeAspect="1" noChangeArrowheads="1"/>
                    </pic:cNvPicPr>
                  </pic:nvPicPr>
                  <pic:blipFill>
                    <a:blip r:embed="rId31" cstate="print"/>
                    <a:srcRect/>
                    <a:stretch>
                      <a:fillRect/>
                    </a:stretch>
                  </pic:blipFill>
                  <pic:spPr>
                    <a:xfrm>
                      <a:off x="0" y="0"/>
                      <a:ext cx="5278120" cy="2701941"/>
                    </a:xfrm>
                    <a:prstGeom prst="rect">
                      <a:avLst/>
                    </a:prstGeom>
                    <a:noFill/>
                    <a:ln w="9525">
                      <a:noFill/>
                      <a:miter lim="800000"/>
                      <a:headEnd/>
                      <a:tailEnd/>
                    </a:ln>
                  </pic:spPr>
                </pic:pic>
              </a:graphicData>
            </a:graphic>
          </wp:inline>
        </w:drawing>
      </w:r>
    </w:p>
    <w:p w14:paraId="6837231D">
      <w:pPr>
        <w:pStyle w:val="178"/>
      </w:pPr>
      <w:r>
        <w:rPr>
          <w:rFonts w:hint="eastAsia"/>
        </w:rPr>
        <w:t>图1.4-3  矿区范围与生态保护红线关系图</w:t>
      </w:r>
    </w:p>
    <w:p w14:paraId="6632AEC8">
      <w:pPr>
        <w:pStyle w:val="178"/>
      </w:pPr>
      <w:r>
        <w:t>表1.4-</w:t>
      </w:r>
      <w:r>
        <w:rPr>
          <w:rFonts w:hint="eastAsia"/>
        </w:rPr>
        <w:t xml:space="preserve">6  </w:t>
      </w:r>
      <w:r>
        <w:t>与黑龙江省生态环境分区管控成果数据相交情况汇总表</w:t>
      </w:r>
    </w:p>
    <w:tbl>
      <w:tblPr>
        <w:tblStyle w:val="36"/>
        <w:tblW w:w="8505" w:type="dxa"/>
        <w:jc w:val="center"/>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Layout w:type="autofit"/>
        <w:tblCellMar>
          <w:top w:w="0" w:type="dxa"/>
          <w:left w:w="28" w:type="dxa"/>
          <w:bottom w:w="0" w:type="dxa"/>
          <w:right w:w="28" w:type="dxa"/>
        </w:tblCellMar>
      </w:tblPr>
      <w:tblGrid>
        <w:gridCol w:w="1231"/>
        <w:gridCol w:w="1138"/>
        <w:gridCol w:w="540"/>
        <w:gridCol w:w="669"/>
        <w:gridCol w:w="797"/>
        <w:gridCol w:w="2215"/>
        <w:gridCol w:w="766"/>
        <w:gridCol w:w="1149"/>
      </w:tblGrid>
      <w:tr w14:paraId="75C17A70">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28" w:type="dxa"/>
            <w:bottom w:w="0" w:type="dxa"/>
            <w:right w:w="28" w:type="dxa"/>
          </w:tblCellMar>
        </w:tblPrEx>
        <w:trPr>
          <w:tblHeader/>
          <w:jc w:val="center"/>
        </w:trPr>
        <w:tc>
          <w:tcPr>
            <w:tcW w:w="1231" w:type="dxa"/>
            <w:vAlign w:val="center"/>
          </w:tcPr>
          <w:p w14:paraId="2903A641">
            <w:pPr>
              <w:pStyle w:val="179"/>
              <w:rPr>
                <w:b/>
              </w:rPr>
            </w:pPr>
            <w:r>
              <w:rPr>
                <w:rFonts w:hint="eastAsia"/>
                <w:b/>
              </w:rPr>
              <w:t>一级分类</w:t>
            </w:r>
          </w:p>
        </w:tc>
        <w:tc>
          <w:tcPr>
            <w:tcW w:w="1138" w:type="dxa"/>
            <w:vAlign w:val="center"/>
          </w:tcPr>
          <w:p w14:paraId="6E7BE55E">
            <w:pPr>
              <w:pStyle w:val="179"/>
              <w:rPr>
                <w:b/>
              </w:rPr>
            </w:pPr>
            <w:r>
              <w:rPr>
                <w:rFonts w:hint="eastAsia"/>
                <w:b/>
              </w:rPr>
              <w:t>二级分类</w:t>
            </w:r>
          </w:p>
        </w:tc>
        <w:tc>
          <w:tcPr>
            <w:tcW w:w="540" w:type="dxa"/>
            <w:vAlign w:val="center"/>
          </w:tcPr>
          <w:p w14:paraId="15CB4D0F">
            <w:pPr>
              <w:pStyle w:val="179"/>
              <w:rPr>
                <w:b/>
              </w:rPr>
            </w:pPr>
            <w:r>
              <w:rPr>
                <w:rFonts w:hint="eastAsia"/>
                <w:b/>
              </w:rPr>
              <w:t>是否相交</w:t>
            </w:r>
          </w:p>
        </w:tc>
        <w:tc>
          <w:tcPr>
            <w:tcW w:w="669" w:type="dxa"/>
            <w:vAlign w:val="center"/>
          </w:tcPr>
          <w:p w14:paraId="2DB77605">
            <w:pPr>
              <w:pStyle w:val="179"/>
              <w:rPr>
                <w:b/>
              </w:rPr>
            </w:pPr>
            <w:r>
              <w:rPr>
                <w:rFonts w:hint="eastAsia"/>
                <w:b/>
              </w:rPr>
              <w:t>所属地市</w:t>
            </w:r>
          </w:p>
        </w:tc>
        <w:tc>
          <w:tcPr>
            <w:tcW w:w="797" w:type="dxa"/>
            <w:vAlign w:val="center"/>
          </w:tcPr>
          <w:p w14:paraId="3DFE3F22">
            <w:pPr>
              <w:pStyle w:val="179"/>
              <w:rPr>
                <w:b/>
              </w:rPr>
            </w:pPr>
            <w:r>
              <w:rPr>
                <w:rFonts w:hint="eastAsia"/>
                <w:b/>
              </w:rPr>
              <w:t>所属区县</w:t>
            </w:r>
          </w:p>
        </w:tc>
        <w:tc>
          <w:tcPr>
            <w:tcW w:w="2215" w:type="dxa"/>
            <w:vAlign w:val="center"/>
          </w:tcPr>
          <w:p w14:paraId="79081829">
            <w:pPr>
              <w:pStyle w:val="179"/>
              <w:rPr>
                <w:b/>
              </w:rPr>
            </w:pPr>
            <w:r>
              <w:rPr>
                <w:rFonts w:hint="eastAsia"/>
                <w:b/>
              </w:rPr>
              <w:t>相交单元名称</w:t>
            </w:r>
          </w:p>
        </w:tc>
        <w:tc>
          <w:tcPr>
            <w:tcW w:w="766" w:type="dxa"/>
            <w:vAlign w:val="center"/>
          </w:tcPr>
          <w:p w14:paraId="554F5071">
            <w:pPr>
              <w:pStyle w:val="179"/>
              <w:rPr>
                <w:b/>
              </w:rPr>
            </w:pPr>
            <w:r>
              <w:rPr>
                <w:rFonts w:hint="eastAsia"/>
                <w:b/>
              </w:rPr>
              <w:t>相交面积</w:t>
            </w:r>
            <w:r>
              <w:rPr>
                <w:b/>
              </w:rPr>
              <w:t>(平方公里)</w:t>
            </w:r>
          </w:p>
        </w:tc>
        <w:tc>
          <w:tcPr>
            <w:tcW w:w="1149" w:type="dxa"/>
            <w:vAlign w:val="center"/>
          </w:tcPr>
          <w:p w14:paraId="20DF01AE">
            <w:pPr>
              <w:pStyle w:val="179"/>
              <w:rPr>
                <w:b/>
              </w:rPr>
            </w:pPr>
            <w:r>
              <w:rPr>
                <w:b/>
              </w:rPr>
              <w:t>相交面积占项目范围百分比（%）</w:t>
            </w:r>
          </w:p>
        </w:tc>
      </w:tr>
      <w:tr w14:paraId="1E33C3AA">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28" w:type="dxa"/>
            <w:bottom w:w="0" w:type="dxa"/>
            <w:right w:w="28" w:type="dxa"/>
          </w:tblCellMar>
        </w:tblPrEx>
        <w:trPr>
          <w:jc w:val="center"/>
        </w:trPr>
        <w:tc>
          <w:tcPr>
            <w:tcW w:w="1231" w:type="dxa"/>
            <w:vAlign w:val="center"/>
          </w:tcPr>
          <w:p w14:paraId="13F943C9">
            <w:pPr>
              <w:pStyle w:val="179"/>
            </w:pPr>
            <w:r>
              <w:rPr>
                <w:rFonts w:hint="eastAsia"/>
              </w:rPr>
              <w:t>生态保护红线与一般生态空间</w:t>
            </w:r>
          </w:p>
        </w:tc>
        <w:tc>
          <w:tcPr>
            <w:tcW w:w="1138" w:type="dxa"/>
            <w:vAlign w:val="center"/>
          </w:tcPr>
          <w:p w14:paraId="5075F229">
            <w:pPr>
              <w:pStyle w:val="179"/>
            </w:pPr>
            <w:r>
              <w:rPr>
                <w:rFonts w:hint="eastAsia"/>
              </w:rPr>
              <w:t>一般生态空间</w:t>
            </w:r>
          </w:p>
        </w:tc>
        <w:tc>
          <w:tcPr>
            <w:tcW w:w="540" w:type="dxa"/>
            <w:vAlign w:val="center"/>
          </w:tcPr>
          <w:p w14:paraId="5A3BDF7A">
            <w:pPr>
              <w:pStyle w:val="179"/>
            </w:pPr>
            <w:r>
              <w:rPr>
                <w:rFonts w:hint="eastAsia"/>
              </w:rPr>
              <w:t>是</w:t>
            </w:r>
          </w:p>
        </w:tc>
        <w:tc>
          <w:tcPr>
            <w:tcW w:w="669" w:type="dxa"/>
            <w:vAlign w:val="center"/>
          </w:tcPr>
          <w:p w14:paraId="5B95AB46">
            <w:pPr>
              <w:pStyle w:val="179"/>
            </w:pPr>
            <w:r>
              <w:rPr>
                <w:rFonts w:hint="eastAsia"/>
              </w:rPr>
              <w:t>黑河市</w:t>
            </w:r>
          </w:p>
        </w:tc>
        <w:tc>
          <w:tcPr>
            <w:tcW w:w="797" w:type="dxa"/>
            <w:vAlign w:val="center"/>
          </w:tcPr>
          <w:p w14:paraId="313BB754">
            <w:pPr>
              <w:pStyle w:val="179"/>
            </w:pPr>
            <w:r>
              <w:rPr>
                <w:rFonts w:hint="eastAsia"/>
              </w:rPr>
              <w:t>嫩江市</w:t>
            </w:r>
          </w:p>
        </w:tc>
        <w:tc>
          <w:tcPr>
            <w:tcW w:w="2215" w:type="dxa"/>
            <w:vAlign w:val="center"/>
          </w:tcPr>
          <w:p w14:paraId="42BAF292">
            <w:pPr>
              <w:pStyle w:val="179"/>
            </w:pPr>
            <w:r>
              <w:rPr>
                <w:rFonts w:hint="eastAsia"/>
              </w:rPr>
              <w:t>嫩江市一般生态空间区</w:t>
            </w:r>
          </w:p>
        </w:tc>
        <w:tc>
          <w:tcPr>
            <w:tcW w:w="766" w:type="dxa"/>
            <w:vAlign w:val="center"/>
          </w:tcPr>
          <w:p w14:paraId="31BC7789">
            <w:pPr>
              <w:pStyle w:val="179"/>
            </w:pPr>
            <w:r>
              <w:rPr>
                <w:rFonts w:hint="eastAsia"/>
              </w:rPr>
              <w:t>0.11</w:t>
            </w:r>
          </w:p>
        </w:tc>
        <w:tc>
          <w:tcPr>
            <w:tcW w:w="1149" w:type="dxa"/>
            <w:vAlign w:val="center"/>
          </w:tcPr>
          <w:p w14:paraId="7D5390EA">
            <w:pPr>
              <w:pStyle w:val="179"/>
            </w:pPr>
            <w:r>
              <w:t>100.00%</w:t>
            </w:r>
          </w:p>
        </w:tc>
      </w:tr>
      <w:tr w14:paraId="4BCAD314">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28" w:type="dxa"/>
            <w:bottom w:w="0" w:type="dxa"/>
            <w:right w:w="28" w:type="dxa"/>
          </w:tblCellMar>
        </w:tblPrEx>
        <w:trPr>
          <w:jc w:val="center"/>
        </w:trPr>
        <w:tc>
          <w:tcPr>
            <w:tcW w:w="1231" w:type="dxa"/>
            <w:vMerge w:val="restart"/>
            <w:vAlign w:val="center"/>
          </w:tcPr>
          <w:p w14:paraId="33FE3EFA">
            <w:pPr>
              <w:pStyle w:val="179"/>
            </w:pPr>
            <w:r>
              <w:t>环境质量底线</w:t>
            </w:r>
          </w:p>
        </w:tc>
        <w:tc>
          <w:tcPr>
            <w:tcW w:w="1138" w:type="dxa"/>
            <w:vAlign w:val="center"/>
          </w:tcPr>
          <w:p w14:paraId="7A6FE777">
            <w:pPr>
              <w:pStyle w:val="179"/>
            </w:pPr>
            <w:r>
              <w:t>水环</w:t>
            </w:r>
            <w:r>
              <w:rPr>
                <w:rFonts w:hint="eastAsia"/>
              </w:rPr>
              <w:t>一般</w:t>
            </w:r>
            <w:r>
              <w:t>管控区</w:t>
            </w:r>
          </w:p>
        </w:tc>
        <w:tc>
          <w:tcPr>
            <w:tcW w:w="540" w:type="dxa"/>
            <w:vAlign w:val="center"/>
          </w:tcPr>
          <w:p w14:paraId="3FE419EB">
            <w:pPr>
              <w:pStyle w:val="179"/>
            </w:pPr>
            <w:r>
              <w:rPr>
                <w:rFonts w:hint="eastAsia"/>
              </w:rPr>
              <w:t>是</w:t>
            </w:r>
          </w:p>
        </w:tc>
        <w:tc>
          <w:tcPr>
            <w:tcW w:w="669" w:type="dxa"/>
            <w:vAlign w:val="center"/>
          </w:tcPr>
          <w:p w14:paraId="44B2B61B">
            <w:pPr>
              <w:pStyle w:val="179"/>
            </w:pPr>
            <w:r>
              <w:rPr>
                <w:rFonts w:hint="eastAsia"/>
              </w:rPr>
              <w:t>黑河市</w:t>
            </w:r>
          </w:p>
        </w:tc>
        <w:tc>
          <w:tcPr>
            <w:tcW w:w="797" w:type="dxa"/>
            <w:vAlign w:val="center"/>
          </w:tcPr>
          <w:p w14:paraId="66F49A90">
            <w:pPr>
              <w:pStyle w:val="179"/>
            </w:pPr>
            <w:r>
              <w:rPr>
                <w:rFonts w:hint="eastAsia"/>
              </w:rPr>
              <w:t>嫩江市</w:t>
            </w:r>
          </w:p>
        </w:tc>
        <w:tc>
          <w:tcPr>
            <w:tcW w:w="2215" w:type="dxa"/>
            <w:vAlign w:val="center"/>
          </w:tcPr>
          <w:p w14:paraId="4D01EA22">
            <w:pPr>
              <w:pStyle w:val="179"/>
            </w:pPr>
            <w:r>
              <w:rPr>
                <w:rFonts w:hint="eastAsia"/>
              </w:rPr>
              <w:t>科洛河</w:t>
            </w:r>
            <w:r>
              <w:t>科洛河大桥嫩江县</w:t>
            </w:r>
          </w:p>
        </w:tc>
        <w:tc>
          <w:tcPr>
            <w:tcW w:w="766" w:type="dxa"/>
            <w:vAlign w:val="center"/>
          </w:tcPr>
          <w:p w14:paraId="3A74B3A2">
            <w:pPr>
              <w:pStyle w:val="179"/>
            </w:pPr>
            <w:r>
              <w:rPr>
                <w:rFonts w:hint="eastAsia"/>
              </w:rPr>
              <w:t>0.11</w:t>
            </w:r>
          </w:p>
        </w:tc>
        <w:tc>
          <w:tcPr>
            <w:tcW w:w="1149" w:type="dxa"/>
            <w:vAlign w:val="center"/>
          </w:tcPr>
          <w:p w14:paraId="7B9EFFEA">
            <w:pPr>
              <w:pStyle w:val="179"/>
            </w:pPr>
            <w:r>
              <w:t>100.00%</w:t>
            </w:r>
          </w:p>
        </w:tc>
      </w:tr>
      <w:tr w14:paraId="26E874D8">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28" w:type="dxa"/>
            <w:bottom w:w="0" w:type="dxa"/>
            <w:right w:w="28" w:type="dxa"/>
          </w:tblCellMar>
        </w:tblPrEx>
        <w:trPr>
          <w:jc w:val="center"/>
        </w:trPr>
        <w:tc>
          <w:tcPr>
            <w:tcW w:w="1231" w:type="dxa"/>
            <w:vMerge w:val="continue"/>
            <w:vAlign w:val="center"/>
          </w:tcPr>
          <w:p w14:paraId="62E3F078">
            <w:pPr>
              <w:pStyle w:val="179"/>
            </w:pPr>
          </w:p>
        </w:tc>
        <w:tc>
          <w:tcPr>
            <w:tcW w:w="1138" w:type="dxa"/>
            <w:vAlign w:val="center"/>
          </w:tcPr>
          <w:p w14:paraId="318A1656">
            <w:pPr>
              <w:pStyle w:val="179"/>
            </w:pPr>
            <w:r>
              <w:t>大气环境一般管控区</w:t>
            </w:r>
          </w:p>
        </w:tc>
        <w:tc>
          <w:tcPr>
            <w:tcW w:w="540" w:type="dxa"/>
            <w:vAlign w:val="center"/>
          </w:tcPr>
          <w:p w14:paraId="53AFCC28">
            <w:pPr>
              <w:pStyle w:val="179"/>
            </w:pPr>
            <w:r>
              <w:rPr>
                <w:rFonts w:hint="eastAsia"/>
              </w:rPr>
              <w:t>是</w:t>
            </w:r>
          </w:p>
        </w:tc>
        <w:tc>
          <w:tcPr>
            <w:tcW w:w="669" w:type="dxa"/>
            <w:vAlign w:val="center"/>
          </w:tcPr>
          <w:p w14:paraId="41BD4E0D">
            <w:pPr>
              <w:pStyle w:val="179"/>
            </w:pPr>
            <w:r>
              <w:rPr>
                <w:rFonts w:hint="eastAsia"/>
              </w:rPr>
              <w:t>黑河市</w:t>
            </w:r>
          </w:p>
        </w:tc>
        <w:tc>
          <w:tcPr>
            <w:tcW w:w="797" w:type="dxa"/>
            <w:vAlign w:val="center"/>
          </w:tcPr>
          <w:p w14:paraId="0A2A65EF">
            <w:pPr>
              <w:pStyle w:val="179"/>
            </w:pPr>
            <w:r>
              <w:rPr>
                <w:rFonts w:hint="eastAsia"/>
              </w:rPr>
              <w:t>嫩江市</w:t>
            </w:r>
          </w:p>
        </w:tc>
        <w:tc>
          <w:tcPr>
            <w:tcW w:w="2215" w:type="dxa"/>
            <w:vAlign w:val="center"/>
          </w:tcPr>
          <w:p w14:paraId="766586A1">
            <w:pPr>
              <w:pStyle w:val="179"/>
            </w:pPr>
            <w:r>
              <w:rPr>
                <w:rFonts w:hint="eastAsia"/>
              </w:rPr>
              <w:t>嫩江市大气环境一般管控区</w:t>
            </w:r>
          </w:p>
        </w:tc>
        <w:tc>
          <w:tcPr>
            <w:tcW w:w="766" w:type="dxa"/>
            <w:vAlign w:val="center"/>
          </w:tcPr>
          <w:p w14:paraId="69C84783">
            <w:pPr>
              <w:pStyle w:val="179"/>
            </w:pPr>
            <w:r>
              <w:rPr>
                <w:rFonts w:hint="eastAsia"/>
              </w:rPr>
              <w:t>0.11</w:t>
            </w:r>
          </w:p>
        </w:tc>
        <w:tc>
          <w:tcPr>
            <w:tcW w:w="1149" w:type="dxa"/>
            <w:vAlign w:val="center"/>
          </w:tcPr>
          <w:p w14:paraId="4FADF1AC">
            <w:pPr>
              <w:pStyle w:val="179"/>
            </w:pPr>
            <w:r>
              <w:t>100.00%</w:t>
            </w:r>
          </w:p>
        </w:tc>
      </w:tr>
      <w:tr w14:paraId="615358FB">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28" w:type="dxa"/>
            <w:bottom w:w="0" w:type="dxa"/>
            <w:right w:w="28" w:type="dxa"/>
          </w:tblCellMar>
        </w:tblPrEx>
        <w:trPr>
          <w:jc w:val="center"/>
        </w:trPr>
        <w:tc>
          <w:tcPr>
            <w:tcW w:w="1231" w:type="dxa"/>
            <w:vAlign w:val="center"/>
          </w:tcPr>
          <w:p w14:paraId="1C44A43B">
            <w:pPr>
              <w:pStyle w:val="179"/>
            </w:pPr>
            <w:r>
              <w:t>资源利用上线</w:t>
            </w:r>
          </w:p>
        </w:tc>
        <w:tc>
          <w:tcPr>
            <w:tcW w:w="1138" w:type="dxa"/>
            <w:vAlign w:val="center"/>
          </w:tcPr>
          <w:p w14:paraId="41FB6FBD">
            <w:pPr>
              <w:pStyle w:val="179"/>
            </w:pPr>
            <w:r>
              <w:t>自然资源一般管控区</w:t>
            </w:r>
          </w:p>
        </w:tc>
        <w:tc>
          <w:tcPr>
            <w:tcW w:w="540" w:type="dxa"/>
            <w:vAlign w:val="center"/>
          </w:tcPr>
          <w:p w14:paraId="0A690540">
            <w:pPr>
              <w:pStyle w:val="179"/>
            </w:pPr>
            <w:r>
              <w:rPr>
                <w:rFonts w:hint="eastAsia"/>
              </w:rPr>
              <w:t>是</w:t>
            </w:r>
          </w:p>
        </w:tc>
        <w:tc>
          <w:tcPr>
            <w:tcW w:w="669" w:type="dxa"/>
            <w:vAlign w:val="center"/>
          </w:tcPr>
          <w:p w14:paraId="0647906F">
            <w:pPr>
              <w:pStyle w:val="179"/>
            </w:pPr>
            <w:r>
              <w:rPr>
                <w:rFonts w:hint="eastAsia"/>
              </w:rPr>
              <w:t>黑河市</w:t>
            </w:r>
          </w:p>
        </w:tc>
        <w:tc>
          <w:tcPr>
            <w:tcW w:w="797" w:type="dxa"/>
            <w:vAlign w:val="center"/>
          </w:tcPr>
          <w:p w14:paraId="2F5E9D4A">
            <w:pPr>
              <w:pStyle w:val="179"/>
            </w:pPr>
            <w:r>
              <w:rPr>
                <w:rFonts w:hint="eastAsia"/>
              </w:rPr>
              <w:t>嫩江市</w:t>
            </w:r>
          </w:p>
        </w:tc>
        <w:tc>
          <w:tcPr>
            <w:tcW w:w="2215" w:type="dxa"/>
            <w:vAlign w:val="center"/>
          </w:tcPr>
          <w:p w14:paraId="2198AC67">
            <w:pPr>
              <w:pStyle w:val="179"/>
            </w:pPr>
            <w:r>
              <w:rPr>
                <w:rFonts w:hint="eastAsia"/>
              </w:rPr>
              <w:t>嫩江市</w:t>
            </w:r>
            <w:r>
              <w:t>自然资源一般管控区</w:t>
            </w:r>
          </w:p>
        </w:tc>
        <w:tc>
          <w:tcPr>
            <w:tcW w:w="766" w:type="dxa"/>
            <w:vAlign w:val="center"/>
          </w:tcPr>
          <w:p w14:paraId="0E27D5FF">
            <w:pPr>
              <w:pStyle w:val="179"/>
            </w:pPr>
            <w:r>
              <w:rPr>
                <w:rFonts w:hint="eastAsia"/>
              </w:rPr>
              <w:t>0.11</w:t>
            </w:r>
          </w:p>
        </w:tc>
        <w:tc>
          <w:tcPr>
            <w:tcW w:w="1149" w:type="dxa"/>
            <w:vAlign w:val="center"/>
          </w:tcPr>
          <w:p w14:paraId="0D29C6D4">
            <w:pPr>
              <w:pStyle w:val="179"/>
            </w:pPr>
            <w:r>
              <w:t>100.00%</w:t>
            </w:r>
          </w:p>
        </w:tc>
      </w:tr>
      <w:tr w14:paraId="7B373DB7">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28" w:type="dxa"/>
            <w:bottom w:w="0" w:type="dxa"/>
            <w:right w:w="28" w:type="dxa"/>
          </w:tblCellMar>
        </w:tblPrEx>
        <w:trPr>
          <w:jc w:val="center"/>
        </w:trPr>
        <w:tc>
          <w:tcPr>
            <w:tcW w:w="1231" w:type="dxa"/>
            <w:vAlign w:val="center"/>
          </w:tcPr>
          <w:p w14:paraId="7B9CF57C">
            <w:pPr>
              <w:pStyle w:val="179"/>
            </w:pPr>
            <w:r>
              <w:t>环境管控单元</w:t>
            </w:r>
          </w:p>
        </w:tc>
        <w:tc>
          <w:tcPr>
            <w:tcW w:w="1138" w:type="dxa"/>
            <w:vAlign w:val="center"/>
          </w:tcPr>
          <w:p w14:paraId="164D2F6F">
            <w:pPr>
              <w:pStyle w:val="179"/>
            </w:pPr>
            <w:r>
              <w:rPr>
                <w:rFonts w:hint="eastAsia"/>
              </w:rPr>
              <w:t>优先保护</w:t>
            </w:r>
            <w:r>
              <w:t>单元</w:t>
            </w:r>
          </w:p>
        </w:tc>
        <w:tc>
          <w:tcPr>
            <w:tcW w:w="540" w:type="dxa"/>
            <w:vAlign w:val="center"/>
          </w:tcPr>
          <w:p w14:paraId="3F74A7F0">
            <w:pPr>
              <w:pStyle w:val="179"/>
            </w:pPr>
            <w:r>
              <w:rPr>
                <w:rFonts w:hint="eastAsia"/>
              </w:rPr>
              <w:t>是</w:t>
            </w:r>
          </w:p>
        </w:tc>
        <w:tc>
          <w:tcPr>
            <w:tcW w:w="669" w:type="dxa"/>
            <w:vAlign w:val="center"/>
          </w:tcPr>
          <w:p w14:paraId="3F2857C2">
            <w:pPr>
              <w:pStyle w:val="179"/>
            </w:pPr>
            <w:r>
              <w:rPr>
                <w:rFonts w:hint="eastAsia"/>
              </w:rPr>
              <w:t>黑河市</w:t>
            </w:r>
          </w:p>
        </w:tc>
        <w:tc>
          <w:tcPr>
            <w:tcW w:w="797" w:type="dxa"/>
            <w:vAlign w:val="center"/>
          </w:tcPr>
          <w:p w14:paraId="63764C51">
            <w:pPr>
              <w:pStyle w:val="179"/>
            </w:pPr>
            <w:r>
              <w:rPr>
                <w:rFonts w:hint="eastAsia"/>
              </w:rPr>
              <w:t>嫩江市</w:t>
            </w:r>
          </w:p>
        </w:tc>
        <w:tc>
          <w:tcPr>
            <w:tcW w:w="2215" w:type="dxa"/>
            <w:vAlign w:val="center"/>
          </w:tcPr>
          <w:p w14:paraId="4886E32E">
            <w:pPr>
              <w:pStyle w:val="179"/>
            </w:pPr>
            <w:r>
              <w:rPr>
                <w:rFonts w:hint="eastAsia"/>
              </w:rPr>
              <w:t>嫩江市一般生态空间</w:t>
            </w:r>
          </w:p>
        </w:tc>
        <w:tc>
          <w:tcPr>
            <w:tcW w:w="766" w:type="dxa"/>
            <w:vAlign w:val="center"/>
          </w:tcPr>
          <w:p w14:paraId="4E2D6FEC">
            <w:pPr>
              <w:pStyle w:val="179"/>
            </w:pPr>
            <w:r>
              <w:rPr>
                <w:rFonts w:hint="eastAsia"/>
              </w:rPr>
              <w:t>0.11</w:t>
            </w:r>
          </w:p>
        </w:tc>
        <w:tc>
          <w:tcPr>
            <w:tcW w:w="1149" w:type="dxa"/>
            <w:vAlign w:val="center"/>
          </w:tcPr>
          <w:p w14:paraId="3BE5D4D8">
            <w:pPr>
              <w:pStyle w:val="179"/>
            </w:pPr>
            <w:r>
              <w:t>100.00%</w:t>
            </w:r>
          </w:p>
        </w:tc>
      </w:tr>
    </w:tbl>
    <w:p w14:paraId="61E8E1A2">
      <w:pPr>
        <w:pStyle w:val="5"/>
        <w:spacing w:before="120" w:after="120"/>
      </w:pPr>
      <w:r>
        <w:rPr>
          <w:rFonts w:hint="eastAsia"/>
        </w:rPr>
        <w:t>环境质量底线</w:t>
      </w:r>
    </w:p>
    <w:p w14:paraId="387F619A">
      <w:pPr>
        <w:ind w:firstLine="480"/>
      </w:pPr>
      <w:r>
        <w:t>根据《2025年黑龙江省生态环境质量状况》，黑河市基本污染物均符合《环境空气质量标准》（GB3095-20</w:t>
      </w:r>
      <w:r>
        <w:rPr>
          <w:rFonts w:hint="eastAsia"/>
        </w:rPr>
        <w:t>26</w:t>
      </w:r>
      <w:r>
        <w:t>）中过渡阶段二级标准要求，属于达标区。</w:t>
      </w:r>
      <w:r>
        <w:rPr>
          <w:rFonts w:hint="eastAsia"/>
        </w:rPr>
        <w:t>黑河市参与国家考核计算的断面共</w:t>
      </w:r>
      <w:r>
        <w:t xml:space="preserve">14 </w:t>
      </w:r>
      <w:r>
        <w:rPr>
          <w:rFonts w:hint="eastAsia"/>
        </w:rPr>
        <w:t>个，Ⅰ</w:t>
      </w:r>
      <w:r>
        <w:t>~</w:t>
      </w:r>
      <w:r>
        <w:rPr>
          <w:rFonts w:hint="eastAsia"/>
        </w:rPr>
        <w:t>Ⅲ类水质比例为</w:t>
      </w:r>
      <w:r>
        <w:t>78.6%</w:t>
      </w:r>
      <w:r>
        <w:rPr>
          <w:rFonts w:hint="eastAsia"/>
        </w:rPr>
        <w:t>，无劣</w:t>
      </w:r>
      <w:r>
        <w:t>V</w:t>
      </w:r>
      <w:r>
        <w:rPr>
          <w:rFonts w:hint="eastAsia"/>
        </w:rPr>
        <w:t>类水质断面。与上年同期相比，Ⅰ</w:t>
      </w:r>
      <w:r>
        <w:t>~</w:t>
      </w:r>
      <w:r>
        <w:rPr>
          <w:rFonts w:hint="eastAsia"/>
        </w:rPr>
        <w:t>Ⅲ类水质比例保持不变，均无劣</w:t>
      </w:r>
      <w:r>
        <w:t>V</w:t>
      </w:r>
      <w:r>
        <w:rPr>
          <w:rFonts w:hint="eastAsia"/>
        </w:rPr>
        <w:t>类水质断面</w:t>
      </w:r>
      <w:r>
        <w:t>；</w:t>
      </w:r>
      <w:r>
        <w:rPr>
          <w:rFonts w:hint="eastAsia"/>
        </w:rPr>
        <w:t>黑河市区域昼间声环境质量为二级，等效声级为</w:t>
      </w:r>
      <w:r>
        <w:t>53.9dB(A)</w:t>
      </w:r>
      <w:r>
        <w:rPr>
          <w:rFonts w:hint="eastAsia"/>
        </w:rPr>
        <w:t>；道路交通昼间声环境质量为一级，等效声级为</w:t>
      </w:r>
      <w:r>
        <w:t>59.3dB(A)</w:t>
      </w:r>
      <w:r>
        <w:rPr>
          <w:rFonts w:hint="eastAsia"/>
        </w:rPr>
        <w:t>；功能区昼间达标率</w:t>
      </w:r>
      <w:r>
        <w:t>96.5%</w:t>
      </w:r>
      <w:r>
        <w:rPr>
          <w:rFonts w:hint="eastAsia"/>
        </w:rPr>
        <w:t>，功能区夜间达标率</w:t>
      </w:r>
      <w:r>
        <w:t>97.8%。</w:t>
      </w:r>
    </w:p>
    <w:p w14:paraId="5C3FDA96">
      <w:pPr>
        <w:pStyle w:val="178"/>
      </w:pPr>
      <w:r>
        <w:rPr>
          <w:rFonts w:hint="eastAsia"/>
        </w:rPr>
        <w:drawing>
          <wp:inline distT="0" distB="0" distL="0" distR="0">
            <wp:extent cx="5399405" cy="2708910"/>
            <wp:effectExtent l="1905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noChangeArrowheads="1"/>
                    </pic:cNvPicPr>
                  </pic:nvPicPr>
                  <pic:blipFill>
                    <a:blip r:embed="rId32"/>
                    <a:srcRect/>
                    <a:stretch>
                      <a:fillRect/>
                    </a:stretch>
                  </pic:blipFill>
                  <pic:spPr>
                    <a:xfrm>
                      <a:off x="0" y="0"/>
                      <a:ext cx="5400000" cy="2708928"/>
                    </a:xfrm>
                    <a:prstGeom prst="rect">
                      <a:avLst/>
                    </a:prstGeom>
                    <a:noFill/>
                    <a:ln w="9525">
                      <a:noFill/>
                      <a:miter lim="800000"/>
                      <a:headEnd/>
                      <a:tailEnd/>
                    </a:ln>
                  </pic:spPr>
                </pic:pic>
              </a:graphicData>
            </a:graphic>
          </wp:inline>
        </w:drawing>
      </w:r>
    </w:p>
    <w:p w14:paraId="69643470">
      <w:pPr>
        <w:pStyle w:val="178"/>
      </w:pPr>
      <w:r>
        <w:rPr>
          <w:rFonts w:hint="eastAsia"/>
        </w:rPr>
        <w:t>图</w:t>
      </w:r>
      <w:r>
        <w:t>1.</w:t>
      </w:r>
      <w:r>
        <w:rPr>
          <w:rFonts w:hint="eastAsia"/>
        </w:rPr>
        <w:t>4</w:t>
      </w:r>
      <w:r>
        <w:t>-</w:t>
      </w:r>
      <w:r>
        <w:rPr>
          <w:rFonts w:hint="eastAsia"/>
        </w:rPr>
        <w:t>4  项目与地下水环境管控区叠加图</w:t>
      </w:r>
    </w:p>
    <w:p w14:paraId="2AE073A3">
      <w:pPr>
        <w:pStyle w:val="178"/>
      </w:pPr>
      <w:r>
        <w:t>表1.</w:t>
      </w:r>
      <w:r>
        <w:rPr>
          <w:rFonts w:hint="eastAsia"/>
        </w:rPr>
        <w:t>4</w:t>
      </w:r>
      <w:r>
        <w:t>-</w:t>
      </w:r>
      <w:r>
        <w:rPr>
          <w:rFonts w:hint="eastAsia"/>
        </w:rPr>
        <w:t xml:space="preserve">7 </w:t>
      </w:r>
      <w:r>
        <w:t xml:space="preserve"> 地下水环境分区管控要求符合性分析</w:t>
      </w:r>
    </w:p>
    <w:tbl>
      <w:tblPr>
        <w:tblStyle w:val="36"/>
        <w:tblW w:w="8505" w:type="dxa"/>
        <w:jc w:val="center"/>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Layout w:type="fixed"/>
        <w:tblCellMar>
          <w:top w:w="0" w:type="dxa"/>
          <w:left w:w="57" w:type="dxa"/>
          <w:bottom w:w="0" w:type="dxa"/>
          <w:right w:w="57" w:type="dxa"/>
        </w:tblCellMar>
      </w:tblPr>
      <w:tblGrid>
        <w:gridCol w:w="539"/>
        <w:gridCol w:w="4911"/>
        <w:gridCol w:w="3055"/>
      </w:tblGrid>
      <w:tr w14:paraId="0B97B443">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57" w:type="dxa"/>
            <w:bottom w:w="0" w:type="dxa"/>
            <w:right w:w="57" w:type="dxa"/>
          </w:tblCellMar>
        </w:tblPrEx>
        <w:trPr>
          <w:trHeight w:val="340" w:hRule="atLeast"/>
          <w:tblHeader/>
          <w:jc w:val="center"/>
        </w:trPr>
        <w:tc>
          <w:tcPr>
            <w:tcW w:w="5813" w:type="dxa"/>
            <w:gridSpan w:val="2"/>
            <w:vAlign w:val="center"/>
          </w:tcPr>
          <w:p w14:paraId="57F4BBF4">
            <w:pPr>
              <w:pStyle w:val="179"/>
              <w:rPr>
                <w:b/>
              </w:rPr>
            </w:pPr>
            <w:r>
              <w:rPr>
                <w:b/>
              </w:rPr>
              <w:t>管控要求</w:t>
            </w:r>
          </w:p>
        </w:tc>
        <w:tc>
          <w:tcPr>
            <w:tcW w:w="3259" w:type="dxa"/>
            <w:vAlign w:val="center"/>
          </w:tcPr>
          <w:p w14:paraId="5C078ECE">
            <w:pPr>
              <w:pStyle w:val="179"/>
              <w:rPr>
                <w:b/>
              </w:rPr>
            </w:pPr>
            <w:r>
              <w:rPr>
                <w:b/>
              </w:rPr>
              <w:t>符合性分析</w:t>
            </w:r>
          </w:p>
        </w:tc>
      </w:tr>
      <w:tr w14:paraId="49360CF8">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57" w:type="dxa"/>
            <w:bottom w:w="0" w:type="dxa"/>
            <w:right w:w="57" w:type="dxa"/>
          </w:tblCellMar>
        </w:tblPrEx>
        <w:trPr>
          <w:trHeight w:val="340" w:hRule="atLeast"/>
          <w:jc w:val="center"/>
        </w:trPr>
        <w:tc>
          <w:tcPr>
            <w:tcW w:w="5813" w:type="dxa"/>
            <w:gridSpan w:val="2"/>
            <w:vAlign w:val="center"/>
          </w:tcPr>
          <w:p w14:paraId="322F02F2">
            <w:pPr>
              <w:pStyle w:val="179"/>
            </w:pPr>
            <w:r>
              <w:t>环境管控单元编码</w:t>
            </w:r>
          </w:p>
        </w:tc>
        <w:tc>
          <w:tcPr>
            <w:tcW w:w="3259" w:type="dxa"/>
            <w:vAlign w:val="center"/>
          </w:tcPr>
          <w:p w14:paraId="22E61E07">
            <w:pPr>
              <w:pStyle w:val="179"/>
            </w:pPr>
            <w:r>
              <w:t>YS2311836310001</w:t>
            </w:r>
          </w:p>
        </w:tc>
      </w:tr>
      <w:tr w14:paraId="05B48620">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57" w:type="dxa"/>
            <w:bottom w:w="0" w:type="dxa"/>
            <w:right w:w="57" w:type="dxa"/>
          </w:tblCellMar>
        </w:tblPrEx>
        <w:trPr>
          <w:trHeight w:val="340" w:hRule="atLeast"/>
          <w:jc w:val="center"/>
        </w:trPr>
        <w:tc>
          <w:tcPr>
            <w:tcW w:w="5813" w:type="dxa"/>
            <w:gridSpan w:val="2"/>
            <w:vAlign w:val="center"/>
          </w:tcPr>
          <w:p w14:paraId="49158859">
            <w:pPr>
              <w:pStyle w:val="179"/>
            </w:pPr>
            <w:r>
              <w:t>环境管控单元名称</w:t>
            </w:r>
          </w:p>
        </w:tc>
        <w:tc>
          <w:tcPr>
            <w:tcW w:w="3259" w:type="dxa"/>
            <w:vAlign w:val="center"/>
          </w:tcPr>
          <w:p w14:paraId="2424DE63">
            <w:pPr>
              <w:pStyle w:val="179"/>
            </w:pPr>
            <w:r>
              <w:rPr>
                <w:rFonts w:hint="eastAsia"/>
              </w:rPr>
              <w:t>嫩江市地下水环境一般管控区</w:t>
            </w:r>
          </w:p>
        </w:tc>
      </w:tr>
      <w:tr w14:paraId="57614A85">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57" w:type="dxa"/>
            <w:bottom w:w="0" w:type="dxa"/>
            <w:right w:w="57" w:type="dxa"/>
          </w:tblCellMar>
        </w:tblPrEx>
        <w:trPr>
          <w:trHeight w:val="340" w:hRule="atLeast"/>
          <w:jc w:val="center"/>
        </w:trPr>
        <w:tc>
          <w:tcPr>
            <w:tcW w:w="5813" w:type="dxa"/>
            <w:gridSpan w:val="2"/>
            <w:vAlign w:val="center"/>
          </w:tcPr>
          <w:p w14:paraId="73C1D290">
            <w:pPr>
              <w:pStyle w:val="179"/>
            </w:pPr>
            <w:r>
              <w:t>管控单元类别</w:t>
            </w:r>
          </w:p>
        </w:tc>
        <w:tc>
          <w:tcPr>
            <w:tcW w:w="3259" w:type="dxa"/>
            <w:vAlign w:val="center"/>
          </w:tcPr>
          <w:p w14:paraId="4AB7F3A4">
            <w:pPr>
              <w:pStyle w:val="179"/>
            </w:pPr>
            <w:r>
              <w:t>一般管控区</w:t>
            </w:r>
          </w:p>
        </w:tc>
      </w:tr>
      <w:tr w14:paraId="43A81E54">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57" w:type="dxa"/>
            <w:bottom w:w="0" w:type="dxa"/>
            <w:right w:w="57" w:type="dxa"/>
          </w:tblCellMar>
        </w:tblPrEx>
        <w:trPr>
          <w:trHeight w:val="340" w:hRule="atLeast"/>
          <w:jc w:val="center"/>
        </w:trPr>
        <w:tc>
          <w:tcPr>
            <w:tcW w:w="568" w:type="dxa"/>
            <w:vAlign w:val="center"/>
          </w:tcPr>
          <w:p w14:paraId="2AF05407">
            <w:pPr>
              <w:pStyle w:val="179"/>
            </w:pPr>
            <w:r>
              <w:t>环境风险管控</w:t>
            </w:r>
          </w:p>
        </w:tc>
        <w:tc>
          <w:tcPr>
            <w:tcW w:w="5245" w:type="dxa"/>
            <w:vAlign w:val="center"/>
          </w:tcPr>
          <w:p w14:paraId="28BDA179">
            <w:pPr>
              <w:pStyle w:val="179"/>
            </w:pPr>
            <w:r>
              <w:rPr>
                <w:rFonts w:ascii="宋体" w:hAnsi="Calibri"/>
                <w:bCs w:val="0"/>
                <w:kern w:val="0"/>
                <w:szCs w:val="21"/>
              </w:rPr>
              <w:t>1.</w:t>
            </w:r>
            <w:r>
              <w:rPr>
                <w:rFonts w:hint="eastAsia" w:ascii="宋体" w:hAnsi="Calibri"/>
                <w:bCs w:val="0"/>
                <w:kern w:val="0"/>
                <w:szCs w:val="21"/>
              </w:rPr>
              <w:t>土壤污染重点监管单位应当履行下列义务：（一）严格控制有毒有害物质排放，并按年度向生态环境主管部门报告排放情况；（二）建立土壤污染隐患排查制度，保证持续有效防止有毒有害物质渗漏、流失、扬散；（三）制定、实施自行监测方案，并将监测数据报生态环境主管部门。</w:t>
            </w:r>
            <w:r>
              <w:rPr>
                <w:rFonts w:ascii="宋体" w:hAnsi="Calibri"/>
                <w:bCs w:val="0"/>
                <w:kern w:val="0"/>
                <w:szCs w:val="21"/>
              </w:rPr>
              <w:t xml:space="preserve"> 2.</w:t>
            </w:r>
            <w:r>
              <w:rPr>
                <w:rFonts w:hint="eastAsia" w:ascii="宋体" w:hAnsi="Calibri"/>
                <w:bCs w:val="0"/>
                <w:kern w:val="0"/>
                <w:szCs w:val="21"/>
              </w:rPr>
              <w:t>重点单位新、改、扩建项目地下储罐储存有毒有害物质的，应当在项目投入生产或者使用之前，将地下储罐的信息报所在地设区的市级生态环境主管部门备案。</w:t>
            </w:r>
            <w:r>
              <w:rPr>
                <w:rFonts w:ascii="宋体" w:hAnsi="Calibri"/>
                <w:bCs w:val="0"/>
                <w:kern w:val="0"/>
                <w:szCs w:val="21"/>
              </w:rPr>
              <w:t xml:space="preserve"> 3.</w:t>
            </w:r>
            <w:r>
              <w:rPr>
                <w:rFonts w:hint="eastAsia" w:ascii="宋体" w:hAnsi="Calibri"/>
                <w:bCs w:val="0"/>
                <w:kern w:val="0"/>
                <w:szCs w:val="21"/>
              </w:rPr>
              <w:t>重点单位应当建立土壤和地下水污染隐患排查治理制度，定期对重点区域、重点设施开展隐患排查。发现污染隐患的，应当制定整改方案，及时采取技术、管理措施消除隐患。隐患排查、治理情况应当如实记录并建立档案。重点区域包括涉及有毒有害物质的生产区，原材料及固体废物的堆存区、储放区和转运区等；重点设施包括涉及有毒有害物质的地下储罐、地下管线，以及污染治理设施等。</w:t>
            </w:r>
            <w:r>
              <w:rPr>
                <w:rFonts w:ascii="宋体" w:hAnsi="Calibri"/>
                <w:bCs w:val="0"/>
                <w:kern w:val="0"/>
                <w:szCs w:val="21"/>
              </w:rPr>
              <w:t>4.</w:t>
            </w:r>
            <w:r>
              <w:rPr>
                <w:rFonts w:hint="eastAsia" w:ascii="宋体" w:hAnsi="Calibri"/>
                <w:bCs w:val="0"/>
                <w:kern w:val="0"/>
                <w:szCs w:val="21"/>
              </w:rPr>
              <w:t>化学品生产企业以及工业集聚区、矿山开采区、尾矿库、危险废物处置场、垃圾填埋场等的运营、管理单位，应当采取防渗漏等措施，并建设地下水水质监测井进行监测，防止地下水污染。</w:t>
            </w:r>
            <w:r>
              <w:rPr>
                <w:rFonts w:ascii="宋体" w:hAnsi="Calibri"/>
                <w:bCs w:val="0"/>
                <w:kern w:val="0"/>
                <w:szCs w:val="21"/>
              </w:rPr>
              <w:t>5.</w:t>
            </w:r>
            <w:r>
              <w:rPr>
                <w:rFonts w:hint="eastAsia" w:ascii="宋体" w:hAnsi="Calibri"/>
                <w:bCs w:val="0"/>
                <w:kern w:val="0"/>
                <w:szCs w:val="21"/>
              </w:rPr>
              <w:t>重点单位通过新、改、扩建项目的土壤和地下水环境现状调查，发现项目用地污染物含量超过国家或者地方有关建设用地土壤污染风险管控标准的，土地使用权人或者污染责任人应当参照污染地块土壤环境管理有关规定开展详细调查、风险评估、风险管控、治理与修复等活动。</w:t>
            </w:r>
          </w:p>
        </w:tc>
        <w:tc>
          <w:tcPr>
            <w:tcW w:w="3259" w:type="dxa"/>
            <w:vAlign w:val="center"/>
          </w:tcPr>
          <w:p w14:paraId="18AAF058">
            <w:pPr>
              <w:pStyle w:val="179"/>
              <w:rPr>
                <w:rFonts w:ascii="宋体" w:hAnsi="Calibri"/>
                <w:bCs w:val="0"/>
                <w:kern w:val="0"/>
                <w:szCs w:val="21"/>
              </w:rPr>
            </w:pPr>
            <w:r>
              <w:t>项目不属于</w:t>
            </w:r>
            <w:r>
              <w:rPr>
                <w:rFonts w:hint="eastAsia" w:ascii="宋体" w:hAnsi="Calibri"/>
                <w:bCs w:val="0"/>
                <w:kern w:val="0"/>
                <w:szCs w:val="21"/>
              </w:rPr>
              <w:t>土壤污染重点监管单位，不建设地下储罐。</w:t>
            </w:r>
          </w:p>
          <w:p w14:paraId="535F53FF">
            <w:pPr>
              <w:pStyle w:val="179"/>
            </w:pPr>
            <w:r>
              <w:rPr>
                <w:rFonts w:hint="eastAsia" w:ascii="宋体" w:hAnsi="Calibri"/>
                <w:bCs w:val="0"/>
                <w:kern w:val="0"/>
                <w:szCs w:val="21"/>
              </w:rPr>
              <w:t>项目属于矿山项目，应当采取防渗漏等措施，并建设地下水水质监测井进行监测，防止地下水污染。</w:t>
            </w:r>
            <w:r>
              <w:t>本项目为本项目符合地下水环境风险管控要求。</w:t>
            </w:r>
          </w:p>
        </w:tc>
      </w:tr>
    </w:tbl>
    <w:p w14:paraId="5AF9FA54">
      <w:pPr>
        <w:pStyle w:val="5"/>
        <w:spacing w:before="120" w:after="120"/>
      </w:pPr>
      <w:r>
        <w:t>资源利用上线</w:t>
      </w:r>
    </w:p>
    <w:p w14:paraId="59BAEBA4">
      <w:pPr>
        <w:ind w:firstLine="480"/>
      </w:pPr>
      <w:r>
        <w:rPr>
          <w:rFonts w:hAnsi="Times New Roman"/>
          <w:szCs w:val="21"/>
        </w:rPr>
        <w:t>本项目为</w:t>
      </w:r>
      <w:r>
        <w:rPr>
          <w:rFonts w:hint="eastAsia" w:hAnsi="Times New Roman"/>
          <w:szCs w:val="21"/>
        </w:rPr>
        <w:t>建筑用凝灰岩矿</w:t>
      </w:r>
      <w:r>
        <w:rPr>
          <w:rFonts w:hAnsi="Times New Roman"/>
          <w:szCs w:val="21"/>
        </w:rPr>
        <w:t>项目，生活用水来自桶装饮用水，生产用水优先采用矿区汇水，生活污水排入矿区自建的防渗旱厕，定期清掏。本项目冬季不生产，项目无需供热，不使用高污染燃料，项目资源消耗量相对区域资源总量较小，符合资源利用上限要求。</w:t>
      </w:r>
    </w:p>
    <w:p w14:paraId="0779DB1C">
      <w:pPr>
        <w:pStyle w:val="5"/>
        <w:spacing w:before="120" w:after="120"/>
      </w:pPr>
      <w:r>
        <w:t>生态环境准入清单</w:t>
      </w:r>
    </w:p>
    <w:p w14:paraId="56FE430B">
      <w:pPr>
        <w:ind w:firstLine="480"/>
      </w:pPr>
      <w:r>
        <w:t>根据《</w:t>
      </w:r>
      <w:r>
        <w:rPr>
          <w:rFonts w:hint="eastAsia"/>
        </w:rPr>
        <w:t>黑龙江省嫩江市塔溪乡马厂河采石场建筑用凝灰岩矿</w:t>
      </w:r>
      <w:r>
        <w:t>生态环境分区管控分析报告》本项目位于</w:t>
      </w:r>
      <w:r>
        <w:rPr>
          <w:rFonts w:hint="eastAsia"/>
        </w:rPr>
        <w:t>嫩江市一般生态空间</w:t>
      </w:r>
      <w:r>
        <w:t>，为优先保护单元。南侧紧邻嫩江市松嫩平原生物多样性维护功能生态保护红线-水源涵养生态功能重要区，为优先保护单元。</w:t>
      </w:r>
    </w:p>
    <w:p w14:paraId="39ABE843">
      <w:pPr>
        <w:pStyle w:val="178"/>
      </w:pPr>
      <w:r>
        <w:t>表1-4-</w:t>
      </w:r>
      <w:r>
        <w:rPr>
          <w:rFonts w:hint="eastAsia"/>
        </w:rPr>
        <w:t>8</w:t>
      </w:r>
      <w:r>
        <w:t>生态环境准入清单管控要求符合性分析</w:t>
      </w:r>
    </w:p>
    <w:tbl>
      <w:tblPr>
        <w:tblStyle w:val="36"/>
        <w:tblW w:w="8505" w:type="dxa"/>
        <w:jc w:val="center"/>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Layout w:type="fixed"/>
        <w:tblCellMar>
          <w:top w:w="0" w:type="dxa"/>
          <w:left w:w="57" w:type="dxa"/>
          <w:bottom w:w="0" w:type="dxa"/>
          <w:right w:w="57" w:type="dxa"/>
        </w:tblCellMar>
      </w:tblPr>
      <w:tblGrid>
        <w:gridCol w:w="1090"/>
        <w:gridCol w:w="6083"/>
        <w:gridCol w:w="1332"/>
      </w:tblGrid>
      <w:tr w14:paraId="43D8FD38">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57" w:type="dxa"/>
            <w:bottom w:w="0" w:type="dxa"/>
            <w:right w:w="57" w:type="dxa"/>
          </w:tblCellMar>
        </w:tblPrEx>
        <w:trPr>
          <w:trHeight w:val="340" w:hRule="atLeast"/>
          <w:tblHeader/>
          <w:jc w:val="center"/>
        </w:trPr>
        <w:tc>
          <w:tcPr>
            <w:tcW w:w="7173" w:type="dxa"/>
            <w:gridSpan w:val="2"/>
            <w:vAlign w:val="center"/>
          </w:tcPr>
          <w:p w14:paraId="40985DFC">
            <w:pPr>
              <w:pStyle w:val="179"/>
              <w:rPr>
                <w:b/>
              </w:rPr>
            </w:pPr>
            <w:r>
              <w:rPr>
                <w:b/>
              </w:rPr>
              <w:t>管控要求</w:t>
            </w:r>
          </w:p>
        </w:tc>
        <w:tc>
          <w:tcPr>
            <w:tcW w:w="1332" w:type="dxa"/>
            <w:vAlign w:val="center"/>
          </w:tcPr>
          <w:p w14:paraId="060A28BC">
            <w:pPr>
              <w:pStyle w:val="179"/>
              <w:rPr>
                <w:b/>
              </w:rPr>
            </w:pPr>
            <w:r>
              <w:rPr>
                <w:b/>
              </w:rPr>
              <w:t>符合性分析</w:t>
            </w:r>
          </w:p>
        </w:tc>
      </w:tr>
      <w:tr w14:paraId="60C25CA1">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57" w:type="dxa"/>
            <w:bottom w:w="0" w:type="dxa"/>
            <w:right w:w="57" w:type="dxa"/>
          </w:tblCellMar>
        </w:tblPrEx>
        <w:trPr>
          <w:trHeight w:val="20" w:hRule="atLeast"/>
          <w:jc w:val="center"/>
        </w:trPr>
        <w:tc>
          <w:tcPr>
            <w:tcW w:w="1090" w:type="dxa"/>
            <w:vAlign w:val="center"/>
          </w:tcPr>
          <w:p w14:paraId="7597BE50">
            <w:pPr>
              <w:pStyle w:val="179"/>
            </w:pPr>
            <w:r>
              <w:t>环境管控单元编码</w:t>
            </w:r>
          </w:p>
        </w:tc>
        <w:tc>
          <w:tcPr>
            <w:tcW w:w="7415" w:type="dxa"/>
            <w:gridSpan w:val="2"/>
            <w:vAlign w:val="center"/>
          </w:tcPr>
          <w:p w14:paraId="5602AD60">
            <w:pPr>
              <w:pStyle w:val="179"/>
            </w:pPr>
            <w:r>
              <w:t>ZH2311831000</w:t>
            </w:r>
            <w:r>
              <w:rPr>
                <w:rFonts w:hint="eastAsia"/>
              </w:rPr>
              <w:t>2</w:t>
            </w:r>
          </w:p>
        </w:tc>
      </w:tr>
      <w:tr w14:paraId="6074235F">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57" w:type="dxa"/>
            <w:bottom w:w="0" w:type="dxa"/>
            <w:right w:w="57" w:type="dxa"/>
          </w:tblCellMar>
        </w:tblPrEx>
        <w:trPr>
          <w:trHeight w:val="20" w:hRule="atLeast"/>
          <w:jc w:val="center"/>
        </w:trPr>
        <w:tc>
          <w:tcPr>
            <w:tcW w:w="1090" w:type="dxa"/>
            <w:vAlign w:val="center"/>
          </w:tcPr>
          <w:p w14:paraId="212CFB2C">
            <w:pPr>
              <w:pStyle w:val="179"/>
            </w:pPr>
            <w:r>
              <w:t>环境管控单元名称</w:t>
            </w:r>
          </w:p>
        </w:tc>
        <w:tc>
          <w:tcPr>
            <w:tcW w:w="7415" w:type="dxa"/>
            <w:gridSpan w:val="2"/>
            <w:vAlign w:val="center"/>
          </w:tcPr>
          <w:p w14:paraId="29B9C9FC">
            <w:pPr>
              <w:pStyle w:val="179"/>
            </w:pPr>
            <w:r>
              <w:rPr>
                <w:rFonts w:hint="eastAsia"/>
              </w:rPr>
              <w:t>嫩江市一般生态空间</w:t>
            </w:r>
          </w:p>
        </w:tc>
      </w:tr>
      <w:tr w14:paraId="1465B9B4">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57" w:type="dxa"/>
            <w:bottom w:w="0" w:type="dxa"/>
            <w:right w:w="57" w:type="dxa"/>
          </w:tblCellMar>
        </w:tblPrEx>
        <w:trPr>
          <w:trHeight w:val="20" w:hRule="atLeast"/>
          <w:jc w:val="center"/>
        </w:trPr>
        <w:tc>
          <w:tcPr>
            <w:tcW w:w="1090" w:type="dxa"/>
            <w:vAlign w:val="center"/>
          </w:tcPr>
          <w:p w14:paraId="5B2DABE6">
            <w:pPr>
              <w:pStyle w:val="179"/>
            </w:pPr>
            <w:r>
              <w:t>管控单元类别</w:t>
            </w:r>
          </w:p>
        </w:tc>
        <w:tc>
          <w:tcPr>
            <w:tcW w:w="7415" w:type="dxa"/>
            <w:gridSpan w:val="2"/>
            <w:vAlign w:val="center"/>
          </w:tcPr>
          <w:p w14:paraId="35925B47">
            <w:pPr>
              <w:pStyle w:val="179"/>
            </w:pPr>
            <w:r>
              <w:t>优先保护单元</w:t>
            </w:r>
          </w:p>
        </w:tc>
      </w:tr>
      <w:tr w14:paraId="0F83CADE">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57" w:type="dxa"/>
            <w:bottom w:w="0" w:type="dxa"/>
            <w:right w:w="57" w:type="dxa"/>
          </w:tblCellMar>
        </w:tblPrEx>
        <w:trPr>
          <w:trHeight w:val="20" w:hRule="atLeast"/>
          <w:jc w:val="center"/>
        </w:trPr>
        <w:tc>
          <w:tcPr>
            <w:tcW w:w="1090" w:type="dxa"/>
            <w:vAlign w:val="center"/>
          </w:tcPr>
          <w:p w14:paraId="23FD0F36">
            <w:pPr>
              <w:pStyle w:val="179"/>
            </w:pPr>
            <w:r>
              <w:t>空间布局约束</w:t>
            </w:r>
          </w:p>
        </w:tc>
        <w:tc>
          <w:tcPr>
            <w:tcW w:w="6083" w:type="dxa"/>
            <w:vAlign w:val="center"/>
          </w:tcPr>
          <w:p w14:paraId="5F88BDE0">
            <w:pPr>
              <w:pStyle w:val="179"/>
              <w:jc w:val="both"/>
            </w:pPr>
            <w:r>
              <w:t>1.</w:t>
            </w:r>
            <w:r>
              <w:rPr>
                <w:rFonts w:hint="eastAsia"/>
              </w:rPr>
              <w:t>区域准入要求：</w:t>
            </w:r>
          </w:p>
          <w:p w14:paraId="514B5DDD">
            <w:pPr>
              <w:pStyle w:val="179"/>
              <w:jc w:val="both"/>
            </w:pPr>
            <w:r>
              <w:rPr>
                <w:rFonts w:hint="eastAsia"/>
              </w:rPr>
              <w:t>（</w:t>
            </w:r>
            <w:r>
              <w:t>1</w:t>
            </w:r>
            <w:r>
              <w:rPr>
                <w:rFonts w:hint="eastAsia"/>
              </w:rPr>
              <w:t>）原则上按限制开发区域的要求进行管理。严格限制与生态功能不一致的开发建设活动。符合区域准入条件的新增建设项目，涉及占用生态空间中的林地、草原等，按有关法律法规规定办理；涉及占用生态空间中其他未作明确规定的用地，应当加强论证和管理。符合条件的农业开发项目，须依法由市县级及以上地方人民政府统筹安排。除符合国家生态退耕条件的耕地，并纳入国家生态退耕总体安排，或因国家重大生态工程建设需要外，不得随意转用。</w:t>
            </w:r>
          </w:p>
          <w:p w14:paraId="4569FAC6">
            <w:pPr>
              <w:pStyle w:val="179"/>
              <w:jc w:val="both"/>
            </w:pPr>
            <w:r>
              <w:rPr>
                <w:rFonts w:hint="eastAsia"/>
              </w:rPr>
              <w:t>（</w:t>
            </w:r>
            <w:r>
              <w:t>2</w:t>
            </w:r>
            <w:r>
              <w:rPr>
                <w:rFonts w:hint="eastAsia"/>
              </w:rPr>
              <w:t>）对依法保护的生态空间实行承载力控制，防止过度垦殖、放牧、采伐、取水、渔猎、旅游等对生态功能造成损害，确保自然生态系统的稳定。</w:t>
            </w:r>
          </w:p>
          <w:p w14:paraId="7881F39E">
            <w:pPr>
              <w:pStyle w:val="179"/>
              <w:jc w:val="both"/>
            </w:pPr>
            <w:r>
              <w:rPr>
                <w:rFonts w:hint="eastAsia"/>
              </w:rPr>
              <w:t>（</w:t>
            </w:r>
            <w:r>
              <w:t>3</w:t>
            </w:r>
            <w:r>
              <w:rPr>
                <w:rFonts w:hint="eastAsia"/>
              </w:rPr>
              <w:t>）避免开发建设活动损害其生态服务功能和生态产品质量。</w:t>
            </w:r>
          </w:p>
          <w:p w14:paraId="5DF877A1">
            <w:pPr>
              <w:pStyle w:val="179"/>
              <w:jc w:val="both"/>
            </w:pPr>
            <w:r>
              <w:rPr>
                <w:rFonts w:hint="eastAsia"/>
              </w:rPr>
              <w:t>（</w:t>
            </w:r>
            <w:r>
              <w:t>4</w:t>
            </w:r>
            <w:r>
              <w:rPr>
                <w:rFonts w:hint="eastAsia"/>
              </w:rPr>
              <w:t>）已经侵占生态空间的，应建立退出机制、制定治理方案及时间表。</w:t>
            </w:r>
          </w:p>
          <w:p w14:paraId="1E375E59">
            <w:pPr>
              <w:pStyle w:val="179"/>
              <w:jc w:val="both"/>
            </w:pPr>
            <w:r>
              <w:t>2.</w:t>
            </w:r>
            <w:r>
              <w:rPr>
                <w:rFonts w:hint="eastAsia"/>
              </w:rPr>
              <w:t>嫩江县地表水饮用水水源同时执行以下准入要求：</w:t>
            </w:r>
          </w:p>
          <w:p w14:paraId="6982FAC8">
            <w:pPr>
              <w:pStyle w:val="179"/>
              <w:jc w:val="both"/>
            </w:pPr>
            <w:r>
              <w:rPr>
                <w:rFonts w:hint="eastAsia"/>
              </w:rPr>
              <w:t>（</w:t>
            </w:r>
            <w:r>
              <w:t>1</w:t>
            </w:r>
            <w:r>
              <w:rPr>
                <w:rFonts w:hint="eastAsia"/>
              </w:rPr>
              <w:t>）饮用水地表水源各级保护区及准保护区内均必须遵守下列规定：</w:t>
            </w:r>
          </w:p>
          <w:p w14:paraId="62D645D0">
            <w:pPr>
              <w:pStyle w:val="179"/>
              <w:jc w:val="both"/>
            </w:pPr>
            <w:r>
              <w:t>1</w:t>
            </w:r>
            <w:r>
              <w:rPr>
                <w:rFonts w:hint="eastAsia"/>
              </w:rPr>
              <w:t>）禁止一切破坏水环境生态平衡的活动以及破坏水源林、护岸林、与水源保护相关植被的活动。</w:t>
            </w:r>
          </w:p>
          <w:p w14:paraId="67311DA3">
            <w:pPr>
              <w:pStyle w:val="179"/>
              <w:jc w:val="both"/>
            </w:pPr>
            <w:r>
              <w:t>2</w:t>
            </w:r>
            <w:r>
              <w:rPr>
                <w:rFonts w:hint="eastAsia"/>
              </w:rPr>
              <w:t>）禁止向水域倾倒工业废渣、城市垃圾、粪便及其它废弃物。</w:t>
            </w:r>
          </w:p>
          <w:p w14:paraId="0E4FE43D">
            <w:pPr>
              <w:pStyle w:val="179"/>
              <w:jc w:val="both"/>
            </w:pPr>
            <w:r>
              <w:t>3</w:t>
            </w:r>
            <w:r>
              <w:rPr>
                <w:rFonts w:hint="eastAsia"/>
              </w:rPr>
              <w:t>）运输有毒有害物质、油类、粪便的船舶和车辆一般不准进入保护区，必须进入者应事先申请并经有关部门批准、登记并设置防渗、防溢、防漏设施。</w:t>
            </w:r>
          </w:p>
          <w:p w14:paraId="029C8326">
            <w:pPr>
              <w:pStyle w:val="179"/>
              <w:jc w:val="both"/>
            </w:pPr>
            <w:r>
              <w:t>4</w:t>
            </w:r>
            <w:r>
              <w:rPr>
                <w:rFonts w:hint="eastAsia"/>
              </w:rPr>
              <w:t>）禁止使用剧毒和高残留农药，不得滥用化肥，不得使用炸药、毒品捕杀鱼类。</w:t>
            </w:r>
          </w:p>
          <w:p w14:paraId="6E0364F2">
            <w:pPr>
              <w:pStyle w:val="179"/>
              <w:jc w:val="both"/>
            </w:pPr>
            <w:r>
              <w:t>5</w:t>
            </w:r>
            <w:r>
              <w:rPr>
                <w:rFonts w:hint="eastAsia"/>
              </w:rPr>
              <w:t>）禁止建设畜禽养殖场、养殖小区。</w:t>
            </w:r>
          </w:p>
          <w:p w14:paraId="716F2BAC">
            <w:pPr>
              <w:pStyle w:val="179"/>
              <w:jc w:val="both"/>
            </w:pPr>
            <w:r>
              <w:t>6</w:t>
            </w:r>
            <w:r>
              <w:rPr>
                <w:rFonts w:hint="eastAsia"/>
              </w:rPr>
              <w:t>）禁止设置排污口。</w:t>
            </w:r>
          </w:p>
          <w:p w14:paraId="20AC61EC">
            <w:pPr>
              <w:pStyle w:val="179"/>
              <w:jc w:val="both"/>
            </w:pPr>
            <w:r>
              <w:rPr>
                <w:rFonts w:hint="eastAsia"/>
              </w:rPr>
              <w:t>（</w:t>
            </w:r>
            <w:r>
              <w:t>2</w:t>
            </w:r>
            <w:r>
              <w:rPr>
                <w:rFonts w:hint="eastAsia"/>
              </w:rPr>
              <w:t>）饮用水地表水源各级保护区及准保护区内必须分别遵守下列规定：</w:t>
            </w:r>
          </w:p>
          <w:p w14:paraId="143BE819">
            <w:pPr>
              <w:pStyle w:val="179"/>
              <w:jc w:val="both"/>
            </w:pPr>
            <w:r>
              <w:t>1</w:t>
            </w:r>
            <w:r>
              <w:rPr>
                <w:rFonts w:hint="eastAsia"/>
              </w:rPr>
              <w:t>）一级保护区内：禁止新建、扩建与供水设施和保护水源无关的建设项目，已建成的与供水设施和保护水源无关的建设项目，由县级以上人民政府责令拆除或者关闭；禁止向水域排放污水，已设置的排污口必须拆除；不得设置与供水需要无关的码头，禁止停靠船舶；禁止堆置和存放工业废渣、城市垃圾、粪便和其他废弃物；禁止设置油库；禁止从事种植、放养畜禽和网箱养殖活动；禁止可能污染水源的旅游活动和其他活动。</w:t>
            </w:r>
          </w:p>
          <w:p w14:paraId="10A9668F">
            <w:pPr>
              <w:pStyle w:val="179"/>
              <w:jc w:val="both"/>
            </w:pPr>
            <w:r>
              <w:t>2</w:t>
            </w:r>
            <w:r>
              <w:rPr>
                <w:rFonts w:hint="eastAsia"/>
              </w:rPr>
              <w:t>）二级保护区内：禁止新建、改建、扩建排放污染物的建设项目，已建成的排放污染物的建设项目，由县级以上人民政府责令拆除或者关闭；原有排污口依法拆除或者关闭；禁止设立装卸垃圾、粪便、油类和有毒物品的码头。</w:t>
            </w:r>
          </w:p>
          <w:p w14:paraId="3FE977D5">
            <w:pPr>
              <w:pStyle w:val="179"/>
              <w:jc w:val="both"/>
            </w:pPr>
            <w:r>
              <w:t>3</w:t>
            </w:r>
            <w:r>
              <w:rPr>
                <w:rFonts w:hint="eastAsia"/>
              </w:rPr>
              <w:t>）准保护区内：禁止新建、扩建对水体污染严重的建设项目；改建建设项目，不得增加排污量。</w:t>
            </w:r>
          </w:p>
          <w:p w14:paraId="130B2C8C">
            <w:pPr>
              <w:pStyle w:val="179"/>
              <w:jc w:val="both"/>
            </w:pPr>
            <w:r>
              <w:rPr>
                <w:rFonts w:hint="eastAsia"/>
              </w:rPr>
              <w:t>（</w:t>
            </w:r>
            <w:r>
              <w:t>3</w:t>
            </w:r>
            <w:r>
              <w:rPr>
                <w:rFonts w:hint="eastAsia"/>
              </w:rPr>
              <w:t>）国务院和省、自治区、直辖市人民政府根据水环境保护的需要，可以规定在饮用水水源保护区内，采取禁止或者限制使用含磷洗涤剂、化肥、农药以及限制种植养殖等措施。</w:t>
            </w:r>
          </w:p>
          <w:p w14:paraId="317E679D">
            <w:pPr>
              <w:pStyle w:val="179"/>
              <w:jc w:val="both"/>
            </w:pPr>
            <w:r>
              <w:rPr>
                <w:rFonts w:hint="eastAsia"/>
              </w:rPr>
              <w:t>（</w:t>
            </w:r>
            <w:r>
              <w:t>4</w:t>
            </w:r>
            <w:r>
              <w:rPr>
                <w:rFonts w:hint="eastAsia"/>
              </w:rPr>
              <w:t>）饮用水地下水源各级保护区及准保护区内均必须遵守下列规定：禁止利用渗坑、渗井、裂隙、溶洞等排放污水和其它有害废弃物；禁止利用透水层孔隙、裂隙、溶洞及废弃矿坑储存石油、天然气、放射性物质、有毒有害化工原料、农药等；实行人工回灌地下水时不得污染当地地下水源。</w:t>
            </w:r>
          </w:p>
          <w:p w14:paraId="3B00553D">
            <w:pPr>
              <w:pStyle w:val="179"/>
              <w:jc w:val="both"/>
            </w:pPr>
            <w:r>
              <w:t>1</w:t>
            </w:r>
            <w:r>
              <w:rPr>
                <w:rFonts w:hint="eastAsia"/>
              </w:rPr>
              <w:t>）一级保护区内：禁止建设与取水设施无关的建筑物；禁止从事农牧业活动；禁止倾倒、堆放工业废渣及城市垃圾、粪便和其它有害废弃物；禁止输送污水的渠道、管道及输油管道通过本区；禁止建设油库；禁止建立墓地。</w:t>
            </w:r>
          </w:p>
          <w:p w14:paraId="60230666">
            <w:pPr>
              <w:pStyle w:val="179"/>
              <w:jc w:val="both"/>
            </w:pPr>
            <w:r>
              <w:t>2</w:t>
            </w:r>
            <w:r>
              <w:rPr>
                <w:rFonts w:hint="eastAsia"/>
              </w:rPr>
              <w:t>）二级保护区内：①对于潜水含水层地下水水源地：禁止建设化工、电镀、皮革、造纸、制浆、冶炼、放射性、印染、染料、炼焦、炼油及其它有严重污染的企业，已建成的要限期治理，转产或搬迁；禁止设置城市垃圾、粪便和易溶、有毒有害废弃物堆放场和转运站，已有的上述场站要限期搬迁；禁止利用未经净化的污水灌溉农田，已有的污灌农田要限期改用清水灌溉；化工原料、矿物油类及有毒有害矿产品的堆放场所必须有防雨、防渗措施。②对于承压含水层地下水水源地：禁止承压水和潜水的混合开采，作好潜水的止水措施。③准保护区内：禁止建设城市垃圾、粪便和易溶、有毒有害废弃物的堆放场站，因特殊需要设立转运站的，必须经有关部门批准，并采取防渗漏措施；当补给源为地表水体时，该地表水体水质不应低于《地表水环境质量标准》Ⅲ类标准；不得使用不符合《农田灌溉水质标准》的污水进行灌溉，合理使用化肥；保护水源林，禁止毁林开荒，禁止非更新砍伐水源林。</w:t>
            </w:r>
          </w:p>
          <w:p w14:paraId="50B799EE">
            <w:pPr>
              <w:pStyle w:val="179"/>
              <w:jc w:val="both"/>
            </w:pPr>
            <w:r>
              <w:t>3.</w:t>
            </w:r>
            <w:r>
              <w:rPr>
                <w:rFonts w:hint="eastAsia"/>
              </w:rPr>
              <w:t>嫩江卧都河茴鱼哲罗鲑国家级水产种质资源保护区同时执行以下准入要求：</w:t>
            </w:r>
          </w:p>
          <w:p w14:paraId="200C8455">
            <w:pPr>
              <w:pStyle w:val="179"/>
              <w:jc w:val="both"/>
            </w:pPr>
            <w:r>
              <w:rPr>
                <w:rFonts w:hint="eastAsia"/>
              </w:rPr>
              <w:t>（</w:t>
            </w:r>
            <w:r>
              <w:t>1</w:t>
            </w:r>
            <w:r>
              <w:rPr>
                <w:rFonts w:hint="eastAsia"/>
              </w:rPr>
              <w:t>）不得损害水产种质资源及其生存环境。</w:t>
            </w:r>
          </w:p>
          <w:p w14:paraId="6B0E6E68">
            <w:pPr>
              <w:pStyle w:val="179"/>
              <w:jc w:val="both"/>
            </w:pPr>
            <w:r>
              <w:rPr>
                <w:rFonts w:hint="eastAsia"/>
              </w:rPr>
              <w:t>（</w:t>
            </w:r>
            <w:r>
              <w:t>2</w:t>
            </w:r>
            <w:r>
              <w:rPr>
                <w:rFonts w:hint="eastAsia"/>
              </w:rPr>
              <w:t>）禁止在水产种质资源保护区内从事围湖造田工程。</w:t>
            </w:r>
          </w:p>
          <w:p w14:paraId="1D9EF6F4">
            <w:pPr>
              <w:pStyle w:val="179"/>
              <w:jc w:val="both"/>
            </w:pPr>
            <w:r>
              <w:rPr>
                <w:rFonts w:hint="eastAsia"/>
              </w:rPr>
              <w:t>（</w:t>
            </w:r>
            <w:r>
              <w:t>3</w:t>
            </w:r>
            <w:r>
              <w:rPr>
                <w:rFonts w:hint="eastAsia"/>
              </w:rPr>
              <w:t>）禁止在水产种质资源保护区内新建排污口。</w:t>
            </w:r>
          </w:p>
          <w:p w14:paraId="5D027656">
            <w:pPr>
              <w:pStyle w:val="179"/>
              <w:jc w:val="both"/>
            </w:pPr>
            <w:r>
              <w:rPr>
                <w:rFonts w:hint="eastAsia"/>
              </w:rPr>
              <w:t>（</w:t>
            </w:r>
            <w:r>
              <w:t>4</w:t>
            </w:r>
            <w:r>
              <w:rPr>
                <w:rFonts w:hint="eastAsia"/>
              </w:rPr>
              <w:t>）在水产种质资源保护区附近新建、改建、扩建排污口，应当保证保护区水体不受污染。</w:t>
            </w:r>
          </w:p>
          <w:p w14:paraId="302230FA">
            <w:pPr>
              <w:pStyle w:val="179"/>
              <w:jc w:val="both"/>
            </w:pPr>
            <w:r>
              <w:rPr>
                <w:rFonts w:hint="eastAsia"/>
              </w:rPr>
              <w:t>（</w:t>
            </w:r>
            <w:r>
              <w:t>5</w:t>
            </w:r>
            <w:r>
              <w:rPr>
                <w:rFonts w:hint="eastAsia"/>
              </w:rPr>
              <w:t>）特别保护期内不得从事捕捞、爆破作业以及其他可能对保护区内生物资源和生态环境造成损害的活动。</w:t>
            </w:r>
          </w:p>
          <w:p w14:paraId="2D0583E8">
            <w:pPr>
              <w:pStyle w:val="179"/>
              <w:jc w:val="both"/>
            </w:pPr>
            <w:r>
              <w:rPr>
                <w:rFonts w:hint="eastAsia"/>
              </w:rPr>
              <w:t>（</w:t>
            </w:r>
            <w:r>
              <w:t>6</w:t>
            </w:r>
            <w:r>
              <w:rPr>
                <w:rFonts w:hint="eastAsia"/>
              </w:rPr>
              <w:t>）在水产种质资源保护区内从事修建水利工程、疏浚航道、建闸筑坝、勘探和开采矿产资源、港口建设等工程建设的，或者在水产种质资源保护区外从事可能损害保护区功能的工程建设活动的，应当按照国家有关规定编制建设项目对水产种质资源保护区的影响专题论证报告，并将其纳入环境影响评价报告书。</w:t>
            </w:r>
          </w:p>
        </w:tc>
        <w:tc>
          <w:tcPr>
            <w:tcW w:w="1332" w:type="dxa"/>
            <w:vAlign w:val="center"/>
          </w:tcPr>
          <w:p w14:paraId="2E153671">
            <w:pPr>
              <w:pStyle w:val="179"/>
              <w:rPr>
                <w:rFonts w:hint="eastAsia"/>
              </w:rPr>
            </w:pPr>
            <w:r>
              <w:t>本项目为</w:t>
            </w:r>
            <w:r>
              <w:rPr>
                <w:rFonts w:hint="eastAsia"/>
              </w:rPr>
              <w:t>建筑用凝灰岩开采项目</w:t>
            </w:r>
          </w:p>
          <w:p w14:paraId="7DE26F6B">
            <w:pPr>
              <w:pStyle w:val="179"/>
            </w:pPr>
            <w:r>
              <w:t>不占用耕地，不涉及</w:t>
            </w:r>
            <w:r>
              <w:rPr>
                <w:rFonts w:hint="eastAsia"/>
              </w:rPr>
              <w:t>垦殖、放牧、采伐、取水、渔猎、旅游工作</w:t>
            </w:r>
            <w:r>
              <w:t>。</w:t>
            </w:r>
          </w:p>
          <w:p w14:paraId="665F0C80">
            <w:pPr>
              <w:pStyle w:val="179"/>
            </w:pPr>
            <w:r>
              <w:t>项目占地为</w:t>
            </w:r>
            <w:r>
              <w:rPr>
                <w:rFonts w:hint="eastAsia"/>
              </w:rPr>
              <w:t>乔木林地</w:t>
            </w:r>
            <w:r>
              <w:t>，服务期满后进行土地复垦，</w:t>
            </w:r>
            <w:r>
              <w:rPr>
                <w:rFonts w:hint="eastAsia"/>
              </w:rPr>
              <w:t>根据《黑龙江省重点生态功能区产业准入负面清单》，本矿区不在负面清单中，本矿区占用林地已取得临时占用林地手续，因此，</w:t>
            </w:r>
            <w:r>
              <w:t>与</w:t>
            </w:r>
            <w:r>
              <w:rPr>
                <w:rFonts w:hint="eastAsia"/>
              </w:rPr>
              <w:t>嫩江市</w:t>
            </w:r>
            <w:r>
              <w:t>一般生态空间管控要求相符。</w:t>
            </w:r>
          </w:p>
          <w:p w14:paraId="0B55123E">
            <w:pPr>
              <w:pStyle w:val="179"/>
            </w:pPr>
            <w:r>
              <w:t>项目不涉及</w:t>
            </w:r>
            <w:r>
              <w:rPr>
                <w:rFonts w:hint="eastAsia"/>
              </w:rPr>
              <w:t>嫩江县地表水饮用水水源及嫩江卧都河茴鱼哲罗鲑国家级水产种质资源保护区</w:t>
            </w:r>
          </w:p>
        </w:tc>
      </w:tr>
      <w:tr w14:paraId="13ECF794">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57" w:type="dxa"/>
            <w:bottom w:w="0" w:type="dxa"/>
            <w:right w:w="57" w:type="dxa"/>
          </w:tblCellMar>
        </w:tblPrEx>
        <w:trPr>
          <w:trHeight w:val="20" w:hRule="atLeast"/>
          <w:jc w:val="center"/>
        </w:trPr>
        <w:tc>
          <w:tcPr>
            <w:tcW w:w="1090" w:type="dxa"/>
            <w:vAlign w:val="center"/>
          </w:tcPr>
          <w:p w14:paraId="3D172275">
            <w:pPr>
              <w:pStyle w:val="179"/>
            </w:pPr>
            <w:r>
              <w:t>污染物排放管控</w:t>
            </w:r>
          </w:p>
        </w:tc>
        <w:tc>
          <w:tcPr>
            <w:tcW w:w="6083" w:type="dxa"/>
            <w:vAlign w:val="center"/>
          </w:tcPr>
          <w:p w14:paraId="13086131">
            <w:pPr>
              <w:pStyle w:val="179"/>
            </w:pPr>
            <w:r>
              <w:rPr>
                <w:rFonts w:hint="eastAsia"/>
              </w:rPr>
              <w:t>/</w:t>
            </w:r>
          </w:p>
        </w:tc>
        <w:tc>
          <w:tcPr>
            <w:tcW w:w="1332" w:type="dxa"/>
            <w:vAlign w:val="center"/>
          </w:tcPr>
          <w:p w14:paraId="2B0B7DF7">
            <w:pPr>
              <w:pStyle w:val="179"/>
            </w:pPr>
            <w:r>
              <w:rPr>
                <w:rFonts w:hint="eastAsia"/>
              </w:rPr>
              <w:t>/</w:t>
            </w:r>
          </w:p>
        </w:tc>
      </w:tr>
      <w:tr w14:paraId="0B6E0EAC">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57" w:type="dxa"/>
            <w:bottom w:w="0" w:type="dxa"/>
            <w:right w:w="57" w:type="dxa"/>
          </w:tblCellMar>
        </w:tblPrEx>
        <w:trPr>
          <w:trHeight w:val="20" w:hRule="atLeast"/>
          <w:jc w:val="center"/>
        </w:trPr>
        <w:tc>
          <w:tcPr>
            <w:tcW w:w="1090" w:type="dxa"/>
            <w:vAlign w:val="center"/>
          </w:tcPr>
          <w:p w14:paraId="237C0372">
            <w:pPr>
              <w:pStyle w:val="179"/>
            </w:pPr>
            <w:r>
              <w:t>环境风险防控</w:t>
            </w:r>
          </w:p>
        </w:tc>
        <w:tc>
          <w:tcPr>
            <w:tcW w:w="6083" w:type="dxa"/>
            <w:vAlign w:val="center"/>
          </w:tcPr>
          <w:p w14:paraId="114F92CC">
            <w:pPr>
              <w:pStyle w:val="179"/>
            </w:pPr>
            <w:r>
              <w:rPr>
                <w:rFonts w:hint="eastAsia"/>
              </w:rPr>
              <w:t>/</w:t>
            </w:r>
          </w:p>
        </w:tc>
        <w:tc>
          <w:tcPr>
            <w:tcW w:w="1332" w:type="dxa"/>
            <w:vAlign w:val="center"/>
          </w:tcPr>
          <w:p w14:paraId="3C9D444C">
            <w:pPr>
              <w:pStyle w:val="179"/>
            </w:pPr>
            <w:r>
              <w:rPr>
                <w:rFonts w:hint="eastAsia"/>
              </w:rPr>
              <w:t>/</w:t>
            </w:r>
          </w:p>
        </w:tc>
      </w:tr>
      <w:tr w14:paraId="3A536A82">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57" w:type="dxa"/>
            <w:bottom w:w="0" w:type="dxa"/>
            <w:right w:w="57" w:type="dxa"/>
          </w:tblCellMar>
        </w:tblPrEx>
        <w:trPr>
          <w:trHeight w:val="20" w:hRule="atLeast"/>
          <w:jc w:val="center"/>
        </w:trPr>
        <w:tc>
          <w:tcPr>
            <w:tcW w:w="1090" w:type="dxa"/>
            <w:vAlign w:val="center"/>
          </w:tcPr>
          <w:p w14:paraId="7CFAB88F">
            <w:pPr>
              <w:pStyle w:val="179"/>
            </w:pPr>
            <w:r>
              <w:rPr>
                <w:rFonts w:hint="eastAsia"/>
                <w:szCs w:val="21"/>
              </w:rPr>
              <w:t>资源开发效率要求</w:t>
            </w:r>
          </w:p>
        </w:tc>
        <w:tc>
          <w:tcPr>
            <w:tcW w:w="6083" w:type="dxa"/>
            <w:vAlign w:val="center"/>
          </w:tcPr>
          <w:p w14:paraId="51100EB4">
            <w:pPr>
              <w:pStyle w:val="179"/>
            </w:pPr>
            <w:r>
              <w:rPr>
                <w:rFonts w:hint="eastAsia"/>
              </w:rPr>
              <w:t>/</w:t>
            </w:r>
          </w:p>
        </w:tc>
        <w:tc>
          <w:tcPr>
            <w:tcW w:w="1332" w:type="dxa"/>
            <w:vAlign w:val="center"/>
          </w:tcPr>
          <w:p w14:paraId="0ECE1D4D">
            <w:pPr>
              <w:pStyle w:val="179"/>
            </w:pPr>
            <w:r>
              <w:rPr>
                <w:rFonts w:hint="eastAsia"/>
              </w:rPr>
              <w:t>/</w:t>
            </w:r>
          </w:p>
        </w:tc>
      </w:tr>
      <w:tr w14:paraId="16FA9A56">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57" w:type="dxa"/>
            <w:bottom w:w="0" w:type="dxa"/>
            <w:right w:w="57" w:type="dxa"/>
          </w:tblCellMar>
        </w:tblPrEx>
        <w:trPr>
          <w:trHeight w:val="20" w:hRule="atLeast"/>
          <w:jc w:val="center"/>
        </w:trPr>
        <w:tc>
          <w:tcPr>
            <w:tcW w:w="1090" w:type="dxa"/>
            <w:vAlign w:val="center"/>
          </w:tcPr>
          <w:p w14:paraId="4780CB07">
            <w:pPr>
              <w:pStyle w:val="179"/>
            </w:pPr>
            <w:r>
              <w:t>环境管控单元编码</w:t>
            </w:r>
          </w:p>
        </w:tc>
        <w:tc>
          <w:tcPr>
            <w:tcW w:w="7415" w:type="dxa"/>
            <w:gridSpan w:val="2"/>
            <w:vAlign w:val="center"/>
          </w:tcPr>
          <w:p w14:paraId="7893756D">
            <w:pPr>
              <w:pStyle w:val="179"/>
            </w:pPr>
            <w:r>
              <w:t>ZH2311831000</w:t>
            </w:r>
            <w:r>
              <w:rPr>
                <w:rFonts w:hint="eastAsia"/>
              </w:rPr>
              <w:t>1</w:t>
            </w:r>
          </w:p>
        </w:tc>
      </w:tr>
      <w:tr w14:paraId="68B18C68">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57" w:type="dxa"/>
            <w:bottom w:w="0" w:type="dxa"/>
            <w:right w:w="57" w:type="dxa"/>
          </w:tblCellMar>
        </w:tblPrEx>
        <w:trPr>
          <w:trHeight w:val="20" w:hRule="atLeast"/>
          <w:jc w:val="center"/>
        </w:trPr>
        <w:tc>
          <w:tcPr>
            <w:tcW w:w="1090" w:type="dxa"/>
            <w:vAlign w:val="center"/>
          </w:tcPr>
          <w:p w14:paraId="51C1F685">
            <w:pPr>
              <w:pStyle w:val="179"/>
            </w:pPr>
            <w:r>
              <w:t>环境管控单元名称</w:t>
            </w:r>
          </w:p>
        </w:tc>
        <w:tc>
          <w:tcPr>
            <w:tcW w:w="7415" w:type="dxa"/>
            <w:gridSpan w:val="2"/>
            <w:vAlign w:val="center"/>
          </w:tcPr>
          <w:p w14:paraId="50ABEE62">
            <w:pPr>
              <w:pStyle w:val="179"/>
            </w:pPr>
            <w:r>
              <w:rPr>
                <w:rFonts w:hint="eastAsia"/>
              </w:rPr>
              <w:t>嫩江市生态保护红线</w:t>
            </w:r>
          </w:p>
        </w:tc>
      </w:tr>
      <w:tr w14:paraId="07264DBF">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57" w:type="dxa"/>
            <w:bottom w:w="0" w:type="dxa"/>
            <w:right w:w="57" w:type="dxa"/>
          </w:tblCellMar>
        </w:tblPrEx>
        <w:trPr>
          <w:trHeight w:val="20" w:hRule="atLeast"/>
          <w:jc w:val="center"/>
        </w:trPr>
        <w:tc>
          <w:tcPr>
            <w:tcW w:w="1090" w:type="dxa"/>
            <w:vAlign w:val="center"/>
          </w:tcPr>
          <w:p w14:paraId="4BAFAEAC">
            <w:pPr>
              <w:pStyle w:val="179"/>
            </w:pPr>
            <w:r>
              <w:t>管控单元类别</w:t>
            </w:r>
          </w:p>
        </w:tc>
        <w:tc>
          <w:tcPr>
            <w:tcW w:w="7415" w:type="dxa"/>
            <w:gridSpan w:val="2"/>
            <w:vAlign w:val="center"/>
          </w:tcPr>
          <w:p w14:paraId="32BBE14D">
            <w:pPr>
              <w:pStyle w:val="179"/>
            </w:pPr>
            <w:r>
              <w:t>优先保护单元</w:t>
            </w:r>
          </w:p>
        </w:tc>
      </w:tr>
      <w:tr w14:paraId="2258CCB4">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57" w:type="dxa"/>
            <w:bottom w:w="0" w:type="dxa"/>
            <w:right w:w="57" w:type="dxa"/>
          </w:tblCellMar>
        </w:tblPrEx>
        <w:trPr>
          <w:trHeight w:val="20" w:hRule="atLeast"/>
          <w:jc w:val="center"/>
        </w:trPr>
        <w:tc>
          <w:tcPr>
            <w:tcW w:w="1090" w:type="dxa"/>
            <w:vAlign w:val="center"/>
          </w:tcPr>
          <w:p w14:paraId="3BE60F96">
            <w:pPr>
              <w:pStyle w:val="179"/>
            </w:pPr>
            <w:r>
              <w:t>空间布局约束</w:t>
            </w:r>
          </w:p>
        </w:tc>
        <w:tc>
          <w:tcPr>
            <w:tcW w:w="6083" w:type="dxa"/>
            <w:vAlign w:val="center"/>
          </w:tcPr>
          <w:p w14:paraId="4F129626">
            <w:pPr>
              <w:pStyle w:val="179"/>
            </w:pPr>
            <w:r>
              <w:t>1.</w:t>
            </w:r>
            <w:r>
              <w:rPr>
                <w:rFonts w:hint="eastAsia"/>
              </w:rPr>
              <w:t>区域准入要求：（</w:t>
            </w:r>
            <w:r>
              <w:t>1</w:t>
            </w:r>
            <w:r>
              <w:rPr>
                <w:rFonts w:hint="eastAsia"/>
              </w:rPr>
              <w:t>）原则上按禁止开发区域的要求进行管理，严禁不符合主体功能定位的各类开发活动，严禁任意改变用途。（</w:t>
            </w:r>
            <w:r>
              <w:t>2</w:t>
            </w:r>
            <w:r>
              <w:rPr>
                <w:rFonts w:hint="eastAsia"/>
              </w:rPr>
              <w:t>）生态保护红线内，自然保护地核心保护区原则上禁止人为活动。生态保护红线内自然保护地核心保护区外，禁止开发性、生产性建设活动，在符合法律法规的前提下，仅允许以下对生态功能不造成破坏的有限人为活动：管护巡护、保护执法、科学研究、调查监测、测绘导航、防灾减灾救灾、军事国防、疫情防控等活动及相关的必要设施修筑；原住居民和其他合法权益主体，允许在不扩大现有建设用地、耕地、水产养殖规模和放牧强度（符合草畜平衡管理规定）的前提下，开展种植、放牧、捕捞、养殖等活动，修筑生产生活设施；经依法批准的考古调查发掘、古生物化石调查发掘、标本采集和文物保护活动；按规定对人工商品林进行抚育采伐，或以提升森林质量、优化栖息地、建设生物防火隔离带等为目的的树种更新；不破坏生态功能的适度参观旅游、科普宣教及符合相关规划的配套性服务设施和相关的必要公共设施建设及维护；必须且无法避让、符合县级以上国土空间规划的线性基础设施、通讯和防洪、供水设施建设和船舶航行、航道疏浚清淤等活动；已有的合法水利、交通运输等设施运行维护改造；地质调查与矿产资源勘查开采。包括：基础地质调查和战略性矿产资源远景调查等公益性工作；铀矿勘查开采活动，可办理矿业权登记；已依法设立的油气探矿权继续勘查活动，可办理探矿权延续、变更（不含扩大勘查区块范围）、保留、注销，当发现可供开采油气资源并探明储量时，可将开采拟占用的地表范围依照国家相关规定调出生态保护红线；已依法设立的油气采矿权不扩大用地范围，继续开采，可办理采矿权延续、变更（不含扩大矿区范围）、注销；已依法设立的矿泉水和地热采矿权，在不超出已经核定的生产规模、不新增生产设施的前提下继续开采，可办理采矿权延续、变更（不含扩大矿区范围）、注销；已依法设立和新立的战略性矿产探矿权开展勘查活动，可办理探矿权登记，因国家战略需要开展开采活动的，可办理采矿权登记。上述勘查开采活动，应落实减缓生态环境影响措施，严格执行绿色勘查、开采及矿山环境生态修复相关要求；依据县级以上国土空间规划和生态保护修复专项规划开展的生态修复；根据我国相关法律法规和与邻国签署的国界管理制度协定（条约）开展的边界边境通视道清理以及界务工程的修建、维护和拆除工作；法律法规规定允许的其他人为活动。上述有限人为活动管理，涉及新增建设用地的，在报批农用地转用、土地征收时，附省级人民政府出具符合生态保护红线内允许有限人为活动的认定意见；不涉及新增建设用地的，按有关规定进行管理，无明确规定的由省级人民政府制定具体监管办法。上述活动涉及自然保护地的，应征求林业和草原主管部门或自然保护地管理机构意见。生态保护红线内自然保护区、风景名胜区、饮用水水源保护区等区域，依照法律法规执行。（</w:t>
            </w:r>
            <w:r>
              <w:t>3</w:t>
            </w:r>
            <w:r>
              <w:rPr>
                <w:rFonts w:hint="eastAsia"/>
              </w:rPr>
              <w:t>）鼓励各地根据生态保护</w:t>
            </w:r>
            <w:r>
              <w:rPr>
                <w:rFonts w:hint="eastAsia" w:ascii="宋体" w:hAnsi="宋体"/>
              </w:rPr>
              <w:t>需要和规划，结合土地综合整治、工矿废弃地复垦利用、矿山环境恢复治理等各类工程实施，因地制宜促进生态空间内建设用地逐步有序退出；区内已有的农业用地，建立逐步退出机制，恢复生态用途。</w:t>
            </w:r>
            <w:r>
              <w:t xml:space="preserve"> 2.</w:t>
            </w:r>
            <w:r>
              <w:rPr>
                <w:rFonts w:hint="eastAsia" w:ascii="宋体" w:hAnsi="宋体"/>
              </w:rPr>
              <w:t>水源涵养功能极重要区同时执行以下准入要求：禁止开发建设活动要求：（</w:t>
            </w:r>
            <w:r>
              <w:t>1</w:t>
            </w:r>
            <w:r>
              <w:rPr>
                <w:rFonts w:hint="eastAsia" w:ascii="宋体" w:hAnsi="宋体"/>
              </w:rPr>
              <w:t>）对重要水源涵养区建立生态功能保护区，加强对水源涵养区的保护与管理，严格保护具有重要水源涵养功能的自然植被，限制或禁止各种损害生态系统水源涵养功能的经济社会活动和生产方式，如无序采矿、毁林开荒、湿地和草地开垦、过度放牧、道路建设等。（</w:t>
            </w:r>
            <w:r>
              <w:t>2</w:t>
            </w:r>
            <w:r>
              <w:rPr>
                <w:rFonts w:hint="eastAsia" w:ascii="宋体" w:hAnsi="宋体"/>
              </w:rPr>
              <w:t>）禁止导致水体污染的产业发展，开展生态清洁小流域的建设。（</w:t>
            </w:r>
            <w:r>
              <w:t>3</w:t>
            </w:r>
            <w:r>
              <w:rPr>
                <w:rFonts w:hint="eastAsia" w:ascii="宋体" w:hAnsi="宋体"/>
              </w:rPr>
              <w:t>）严格监管矿产、水资源开发，严肃查处毁林、毁草、破坏湿地等行为。</w:t>
            </w:r>
            <w:r>
              <w:t xml:space="preserve"> 3.</w:t>
            </w:r>
            <w:r>
              <w:rPr>
                <w:rFonts w:hint="eastAsia" w:ascii="宋体" w:hAnsi="宋体"/>
              </w:rPr>
              <w:t>生物多样性维护极重要区同时执行以下准入要求：禁止开发建设活动要求：（</w:t>
            </w:r>
            <w:r>
              <w:t>1</w:t>
            </w:r>
            <w:r>
              <w:rPr>
                <w:rFonts w:hint="eastAsia" w:ascii="宋体" w:hAnsi="宋体"/>
              </w:rPr>
              <w:t>）禁止对野生动植物进行滥捕滥采，保持并恢复野生动植物物种和种群的平衡，实现野生动植物资源的良性循环和永续利用。（</w:t>
            </w:r>
            <w:r>
              <w:t>2</w:t>
            </w:r>
            <w:r>
              <w:rPr>
                <w:rFonts w:hint="eastAsia" w:ascii="宋体" w:hAnsi="宋体"/>
              </w:rPr>
              <w:t>）保护自然生态系统与重要物种栖息地，限制或禁止各种损害栖息地的经济社会活动和生产方式，如无序采矿、毁林开荒、湿地和草地开垦、道路建设等，防止生态建设导致栖息环境的改变。</w:t>
            </w:r>
            <w:r>
              <w:t xml:space="preserve"> 4.</w:t>
            </w:r>
            <w:r>
              <w:rPr>
                <w:rFonts w:hint="eastAsia" w:ascii="宋体" w:hAnsi="宋体"/>
              </w:rPr>
              <w:t>黑龙江中央站黑嘴松鸡国家级自然保护区同时执行以下准入要求：禁止开发建设活动要求：（</w:t>
            </w:r>
            <w:r>
              <w:t>1</w:t>
            </w:r>
            <w:r>
              <w:rPr>
                <w:rFonts w:hint="eastAsia" w:ascii="宋体" w:hAnsi="宋体"/>
              </w:rPr>
              <w:t>）禁止在自然保护区内进行砍伐、放牧、狩猎、捕捞、采药、开垦、烧荒、开矿、采石、挖沙等活动；但法律、行政法规等另有规定的除外。禁止任何人进入自然保护区的核心区，因科学研究的需要，必须进入核心区从事科学研究观测、调查活动的，应当事先向自然保护区管理机构提交申请和活动计划，并经自然保护区管理机构批准；其中，进入国家级自然保护区核心区的，应当经省、自治区、直辖市人民政府有关自然保护区行政主管部门批准。（</w:t>
            </w:r>
            <w:r>
              <w:t>2</w:t>
            </w:r>
            <w:r>
              <w:rPr>
                <w:rFonts w:hint="eastAsia" w:ascii="宋体" w:hAnsi="宋体"/>
              </w:rPr>
              <w:t>）禁止在自然保护区的缓冲区开展旅游和生产经营活动。严禁开设与自然保护区保护方向不一致的参观、旅游项目。（</w:t>
            </w:r>
            <w:r>
              <w:t>3</w:t>
            </w:r>
            <w:r>
              <w:rPr>
                <w:rFonts w:hint="eastAsia" w:ascii="宋体" w:hAnsi="宋体"/>
              </w:rPr>
              <w:t>）禁止在自然保护区的核心区和缓冲区内建设畜禽养殖场、养殖小区。（</w:t>
            </w:r>
            <w:r>
              <w:t>4</w:t>
            </w:r>
            <w:r>
              <w:rPr>
                <w:rFonts w:hint="eastAsia" w:ascii="宋体" w:hAnsi="宋体"/>
              </w:rPr>
              <w:t>）禁止在自然保护区及其外围保护地带建立污染、破坏或者危害自然保护区自然环境和自然资源的设施。（</w:t>
            </w:r>
            <w:r>
              <w:t>5</w:t>
            </w:r>
            <w:r>
              <w:rPr>
                <w:rFonts w:hint="eastAsia" w:ascii="宋体" w:hAnsi="宋体"/>
              </w:rPr>
              <w:t>）核心区和缓冲区内不得建设任何生产设施；实验区不得建设污染环境、破坏资源或者景观的生产设施。限制开发建设活动要求：在自然保护区的实验区内，不得建设污染环境、破坏资源或者景观的生产设施；建设其他项目，其污染物排放不得超过国家和地方规定的污染物排放标准。</w:t>
            </w:r>
            <w:r>
              <w:t xml:space="preserve"> 5.</w:t>
            </w:r>
            <w:r>
              <w:rPr>
                <w:rFonts w:hint="eastAsia" w:ascii="宋体" w:hAnsi="宋体"/>
              </w:rPr>
              <w:t>黑龙江黑河嫩江森林公园同时执行</w:t>
            </w:r>
            <w:r>
              <w:t>“</w:t>
            </w:r>
            <w:r>
              <w:rPr>
                <w:rFonts w:hint="eastAsia" w:ascii="宋体" w:hAnsi="宋体"/>
              </w:rPr>
              <w:t>禁止开发建设活动要求：</w:t>
            </w:r>
            <w:r>
              <w:t>1</w:t>
            </w:r>
            <w:r>
              <w:rPr>
                <w:rFonts w:hint="eastAsia" w:ascii="宋体" w:hAnsi="宋体"/>
              </w:rPr>
              <w:t>）在国家级自然公园内开展相关活动和设施建设，不得擅自改变其自然状态和历史风貌。</w:t>
            </w:r>
            <w:r>
              <w:t>2</w:t>
            </w:r>
            <w:r>
              <w:rPr>
                <w:rFonts w:hint="eastAsia" w:ascii="宋体" w:hAnsi="宋体"/>
              </w:rPr>
              <w:t>）禁止擅自在国家级自然公园内从事采矿、房地产、开发区、高尔夫球场、风力光伏电场等不符合管控要求的开发活动。</w:t>
            </w:r>
            <w:r>
              <w:t>3</w:t>
            </w:r>
            <w:r>
              <w:rPr>
                <w:rFonts w:hint="eastAsia" w:ascii="宋体" w:hAnsi="宋体"/>
              </w:rPr>
              <w:t>）禁止违规侵占国家级自然公园，排放不符合水污染物排放标准的工业废水、生活污水及其他的废水、污水，倾倒、堆放、丢弃、遗撒固体废物等污染生态环境的行为。限制开发建设活动要求：国家级自然公园范围内除国家重大项目外，仅允许对生态功能不造成破坏的有限人为活动：自然公园内居民和其他合法权益主体依法依规开展的生产生活及设施建设；符合自然公园保护管理要求的文化、体育活动和必要的配套设施建设；符合生态保护红线管控要求的其他活动和设施建设；法律法规和国家政策允许在自然公园内开展的其他活动。</w:t>
            </w:r>
            <w:r>
              <w:t xml:space="preserve"> 6.</w:t>
            </w:r>
            <w:r>
              <w:rPr>
                <w:rFonts w:hint="eastAsia" w:ascii="宋体" w:hAnsi="宋体"/>
              </w:rPr>
              <w:t>黑龙江黑</w:t>
            </w:r>
            <w:r>
              <w:rPr>
                <w:rFonts w:hint="eastAsia"/>
              </w:rPr>
              <w:t>河嫩江圈河湿地公园、黑龙江黑河门鲁河湿地公园、黑龙江黑河科洛河湿地公园同时执行以下准入要求：禁止开发建设活动要求：</w:t>
            </w:r>
            <w:r>
              <w:t xml:space="preserve"> 1.</w:t>
            </w:r>
            <w:r>
              <w:rPr>
                <w:rFonts w:hint="eastAsia"/>
              </w:rPr>
              <w:t>禁止擅自征收、占用国家湿地公园的土地。</w:t>
            </w:r>
            <w:r>
              <w:t xml:space="preserve"> 2.</w:t>
            </w:r>
            <w:r>
              <w:rPr>
                <w:rFonts w:hint="eastAsia"/>
              </w:rPr>
              <w:t>除国家另有规定外，国家湿地公园内禁止下列行为：开（围）垦、填埋或者排干湿地；截断湿地水源；挖沙、采矿；倾倒有毒有害物质、废弃物、垃圾；从事房地产、度假村、高尔夫球场、风力发电、光伏发电等任何不符合主体功能定位的建设项目和开发活动；破坏野生动物栖息地和迁徙通道、鱼类洄游通道，滥采滥捕野生动植物；引入外来物种；擅自放牧、捕捞、取土、取水、排污、放生；其他破坏湿地及其生态功能的活动。</w:t>
            </w:r>
            <w:r>
              <w:t xml:space="preserve"> 3.</w:t>
            </w:r>
            <w:r>
              <w:rPr>
                <w:rFonts w:hint="eastAsia"/>
              </w:rPr>
              <w:t>在国家级自然公园内开展相关活动和设施建设，不得擅自改变其自然状态和历史风貌。</w:t>
            </w:r>
            <w:r>
              <w:t xml:space="preserve"> 4.</w:t>
            </w:r>
            <w:r>
              <w:rPr>
                <w:rFonts w:hint="eastAsia"/>
              </w:rPr>
              <w:t>禁止擅自在国家级自然公园内从事采矿、房地产、开发区、高尔夫球场、风力光伏电场等不符合管控要求的开发活动。</w:t>
            </w:r>
            <w:r>
              <w:t xml:space="preserve"> 5.</w:t>
            </w:r>
            <w:r>
              <w:rPr>
                <w:rFonts w:hint="eastAsia"/>
              </w:rPr>
              <w:t>禁止违规侵占国家级自然公园，排放不符合水污染物排放标准的工业废水、生活污水及其他的废水、污水，倾倒、堆放、丢弃、遗撒固体废物等污染生态环境的行为。限制开发建设活动要求：国家级自然公园范围内除国家重大项目外，仅允许对生态功能不造成破坏的有限人为活动：自然公园内居民和其他合法权益主体依法依规开展的生产生活及设施建设；符合自然公园保护管理要求的文化、体育活动和必要的配套设施建设；符合生态保护红线管控要求的其他活动和设施建设；法律法规和国家政策允许在自然公园内开展的其他活动。</w:t>
            </w:r>
            <w:r>
              <w:t xml:space="preserve"> 7.</w:t>
            </w:r>
            <w:r>
              <w:rPr>
                <w:rFonts w:hint="eastAsia"/>
              </w:rPr>
              <w:t>嫩江县地表水饮用水水源同时执行以下准入要求：（</w:t>
            </w:r>
            <w:r>
              <w:t>1</w:t>
            </w:r>
            <w:r>
              <w:rPr>
                <w:rFonts w:hint="eastAsia"/>
              </w:rPr>
              <w:t>）饮用水地表水源各级保护区及准保护区内均必须遵守下列规定：</w:t>
            </w:r>
            <w:r>
              <w:t xml:space="preserve"> 1</w:t>
            </w:r>
            <w:r>
              <w:rPr>
                <w:rFonts w:hint="eastAsia"/>
              </w:rPr>
              <w:t>）禁止一切破坏水环境生态平衡的活动以及破坏水源林、护岸林、与水源保护相关植被的活动。</w:t>
            </w:r>
            <w:r>
              <w:t xml:space="preserve"> 2</w:t>
            </w:r>
            <w:r>
              <w:rPr>
                <w:rFonts w:hint="eastAsia"/>
              </w:rPr>
              <w:t>）禁止向水域倾倒工业废渣、城市垃圾、粪便及其它废弃物。</w:t>
            </w:r>
            <w:r>
              <w:t xml:space="preserve"> 3</w:t>
            </w:r>
            <w:r>
              <w:rPr>
                <w:rFonts w:hint="eastAsia"/>
              </w:rPr>
              <w:t>）运输有毒有害物质、油类、粪便的船舶和车辆一般不准进入保护区，必须进入者应事先申请并经有关部门批准、登记并设置防渗、防溢、防漏设施。</w:t>
            </w:r>
            <w:r>
              <w:t xml:space="preserve"> 4</w:t>
            </w:r>
            <w:r>
              <w:rPr>
                <w:rFonts w:hint="eastAsia"/>
              </w:rPr>
              <w:t>）禁止使用剧毒和高残留农药，不得滥用化肥，不得使用炸药、毒品捕杀鱼类。</w:t>
            </w:r>
            <w:r>
              <w:t xml:space="preserve"> 5</w:t>
            </w:r>
            <w:r>
              <w:rPr>
                <w:rFonts w:hint="eastAsia"/>
              </w:rPr>
              <w:t>）禁止建设畜禽养殖场、养殖小区。</w:t>
            </w:r>
            <w:r>
              <w:t xml:space="preserve"> 6</w:t>
            </w:r>
            <w:r>
              <w:rPr>
                <w:rFonts w:hint="eastAsia"/>
              </w:rPr>
              <w:t>）禁止设置排污口。（</w:t>
            </w:r>
            <w:r>
              <w:t>2</w:t>
            </w:r>
            <w:r>
              <w:rPr>
                <w:rFonts w:hint="eastAsia"/>
              </w:rPr>
              <w:t>）饮用水地表水源各级保护区及准保护区内必须分别遵守下列规定：</w:t>
            </w:r>
            <w:r>
              <w:t xml:space="preserve"> 1</w:t>
            </w:r>
            <w:r>
              <w:rPr>
                <w:rFonts w:hint="eastAsia"/>
              </w:rPr>
              <w:t>）一级保护区内：禁止新建、扩建与供水设施和保护水源无关的建设项目，已建成的与供水设施和保护水源无关的建设项目，由县级以上人民政府责令拆除或者关闭；禁止向水域排放污水，已设置的排污口必须拆除；不得设置与供水需要无关的码头，禁止停靠船舶；禁止堆置和存放工业废渣、城市垃圾、粪便和其他废弃物；禁止设置油库；禁止从事种植、放养畜禽和网箱养殖活动；禁止可能污染水源的旅游活动和其他活动。</w:t>
            </w:r>
            <w:r>
              <w:t xml:space="preserve"> 2</w:t>
            </w:r>
            <w:r>
              <w:rPr>
                <w:rFonts w:hint="eastAsia"/>
              </w:rPr>
              <w:t>）二级保护区内：禁止新建、改建、扩建排放污染物的建设项目，已建成的排放污染物的建设项目，由县级以上人民政府责令拆除或者关闭；原有排污口依法拆除或者关闭；禁止设立装卸垃圾、粪便、油类和有毒物品的码头。</w:t>
            </w:r>
            <w:r>
              <w:t xml:space="preserve"> 3</w:t>
            </w:r>
            <w:r>
              <w:rPr>
                <w:rFonts w:hint="eastAsia"/>
              </w:rPr>
              <w:t>）准保护区内：禁止新建、扩建对水体污染严重的建设项目；改建建设项目，不得增加排污量。（</w:t>
            </w:r>
            <w:r>
              <w:t>3</w:t>
            </w:r>
            <w:r>
              <w:rPr>
                <w:rFonts w:hint="eastAsia"/>
              </w:rPr>
              <w:t>）国务院和省、自治区、直辖市人民政府根据水环境保护的需要，可以规定在饮用水水源保护区内，采取禁止或者限制使用含磷洗涤剂、化肥、农药以及限制种植养殖等措施。（</w:t>
            </w:r>
            <w:r>
              <w:t>4</w:t>
            </w:r>
            <w:r>
              <w:rPr>
                <w:rFonts w:hint="eastAsia"/>
              </w:rPr>
              <w:t>）饮用水地下水源各级保护区及准保护区内均必须遵守下列规定：禁止利用渗坑、渗井、裂隙、溶洞等排放污水和其它有害废弃物；禁止利用透水层孔隙、裂隙、溶洞及废弃矿坑储存石油、天然气、放射性物质、有毒有害化工原料、农药等；实行人工回灌地下水时不得污染当地地下水源。</w:t>
            </w:r>
            <w:r>
              <w:t xml:space="preserve"> 1</w:t>
            </w:r>
            <w:r>
              <w:rPr>
                <w:rFonts w:hint="eastAsia"/>
              </w:rPr>
              <w:t>）一级保护区内：禁止建设与取水设施无关的建筑物；禁止从事农牧业活动；禁止倾倒、堆放工业废渣及城市垃圾、粪便和其它有害废弃物；禁止输送污水的渠道、管道及输油管道通过本区；禁止建设油库；禁止建立墓地。</w:t>
            </w:r>
            <w:r>
              <w:t>2</w:t>
            </w:r>
            <w:r>
              <w:rPr>
                <w:rFonts w:hint="eastAsia"/>
              </w:rPr>
              <w:t>）二级保护区内：①对于潜水含水层地下水水源地：禁止建设化工、电镀、皮革、造纸、制浆、冶炼、放射性、印染、染料、炼焦、炼油及其它有严重污染的企业，已建成的要限期治理，转产或搬迁；禁止设置城市垃圾、粪便和易溶、有毒有害废弃物堆放场和转运站，已有的上述场站要限期搬迁；禁止利用未经净化的污水灌溉农田，已有的污灌农田要限期改用清水灌溉；化工原料、矿物油类及有毒有害矿产品的堆放场所必须有防雨、防渗措施。②对于承压含水层地下水水源地：禁止承压水和潜水的混合开采，作好潜水的止水措施。③准保护区内：禁止建设城市垃圾、粪便和易溶、有毒有害废弃物的堆放场站，因特殊需要设立转运站的，必须经有关部门批准，并采取防渗漏措施；当补给源为地表水体时，该地表水体水质不应低于《地表水环境质量标准》Ⅲ类标准；不得使用不符合《农田灌溉水质标准》的污水进行灌溉，合理使用化肥；保护水源林，禁止毁林开荒，禁止非更新砍伐水源林。</w:t>
            </w:r>
          </w:p>
        </w:tc>
        <w:tc>
          <w:tcPr>
            <w:tcW w:w="1332" w:type="dxa"/>
            <w:vAlign w:val="center"/>
          </w:tcPr>
          <w:p w14:paraId="71DB5B44">
            <w:pPr>
              <w:pStyle w:val="179"/>
            </w:pPr>
            <w:r>
              <w:rPr>
                <w:rFonts w:hint="eastAsia"/>
              </w:rPr>
              <w:t>项目不占用嫩江市生态保护红线，分析报告中相交面积为</w:t>
            </w:r>
            <w:r>
              <w:t>缓冲区范围，为嫩江市松嫩平原生物多样性维护功能生态保护红线-水源涵养生态功能重要区，项目运行期间应</w:t>
            </w:r>
            <w:r>
              <w:rPr>
                <w:rFonts w:hint="eastAsia" w:ascii="宋体" w:hAnsi="宋体"/>
              </w:rPr>
              <w:t>严格保护具有重要水源涵养功能的自然植被。禁止工人进入生态环境保护红线范围。</w:t>
            </w:r>
          </w:p>
        </w:tc>
      </w:tr>
      <w:tr w14:paraId="514FC9EA">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57" w:type="dxa"/>
            <w:bottom w:w="0" w:type="dxa"/>
            <w:right w:w="57" w:type="dxa"/>
          </w:tblCellMar>
        </w:tblPrEx>
        <w:trPr>
          <w:trHeight w:val="20" w:hRule="atLeast"/>
          <w:jc w:val="center"/>
        </w:trPr>
        <w:tc>
          <w:tcPr>
            <w:tcW w:w="1090" w:type="dxa"/>
            <w:vAlign w:val="center"/>
          </w:tcPr>
          <w:p w14:paraId="5CE6BB81">
            <w:pPr>
              <w:pStyle w:val="179"/>
            </w:pPr>
            <w:r>
              <w:t>污染物排放管控</w:t>
            </w:r>
          </w:p>
        </w:tc>
        <w:tc>
          <w:tcPr>
            <w:tcW w:w="6083" w:type="dxa"/>
            <w:vAlign w:val="center"/>
          </w:tcPr>
          <w:p w14:paraId="19E22A12">
            <w:pPr>
              <w:pStyle w:val="179"/>
            </w:pPr>
            <w:r>
              <w:rPr>
                <w:rFonts w:hint="eastAsia"/>
              </w:rPr>
              <w:t>/</w:t>
            </w:r>
          </w:p>
        </w:tc>
        <w:tc>
          <w:tcPr>
            <w:tcW w:w="1332" w:type="dxa"/>
            <w:vAlign w:val="center"/>
          </w:tcPr>
          <w:p w14:paraId="2C39822B">
            <w:pPr>
              <w:pStyle w:val="179"/>
            </w:pPr>
            <w:r>
              <w:rPr>
                <w:rFonts w:hint="eastAsia"/>
              </w:rPr>
              <w:t>/</w:t>
            </w:r>
          </w:p>
        </w:tc>
      </w:tr>
      <w:tr w14:paraId="10EEEB3D">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57" w:type="dxa"/>
            <w:bottom w:w="0" w:type="dxa"/>
            <w:right w:w="57" w:type="dxa"/>
          </w:tblCellMar>
        </w:tblPrEx>
        <w:trPr>
          <w:trHeight w:val="20" w:hRule="atLeast"/>
          <w:jc w:val="center"/>
        </w:trPr>
        <w:tc>
          <w:tcPr>
            <w:tcW w:w="1090" w:type="dxa"/>
            <w:vAlign w:val="center"/>
          </w:tcPr>
          <w:p w14:paraId="1B0C0241">
            <w:pPr>
              <w:pStyle w:val="179"/>
            </w:pPr>
            <w:r>
              <w:t>环境风险防控</w:t>
            </w:r>
          </w:p>
        </w:tc>
        <w:tc>
          <w:tcPr>
            <w:tcW w:w="6083" w:type="dxa"/>
            <w:vAlign w:val="center"/>
          </w:tcPr>
          <w:p w14:paraId="59EB5E7C">
            <w:pPr>
              <w:pStyle w:val="179"/>
            </w:pPr>
            <w:r>
              <w:rPr>
                <w:rFonts w:hint="eastAsia"/>
              </w:rPr>
              <w:t>/</w:t>
            </w:r>
          </w:p>
        </w:tc>
        <w:tc>
          <w:tcPr>
            <w:tcW w:w="1332" w:type="dxa"/>
            <w:vAlign w:val="center"/>
          </w:tcPr>
          <w:p w14:paraId="3E704F32">
            <w:pPr>
              <w:pStyle w:val="179"/>
            </w:pPr>
            <w:r>
              <w:rPr>
                <w:rFonts w:hint="eastAsia"/>
              </w:rPr>
              <w:t>/</w:t>
            </w:r>
          </w:p>
        </w:tc>
      </w:tr>
      <w:tr w14:paraId="64291622">
        <w:tblPrEx>
          <w:tblBorders>
            <w:top w:val="single" w:color="auto" w:sz="12" w:space="0"/>
            <w:left w:val="single" w:color="auto" w:sz="12" w:space="0"/>
            <w:bottom w:val="single" w:color="auto" w:sz="12" w:space="0"/>
            <w:right w:val="single" w:color="auto" w:sz="12" w:space="0"/>
            <w:insideH w:val="single" w:color="000000" w:sz="2" w:space="0"/>
            <w:insideV w:val="single" w:color="000000" w:sz="2" w:space="0"/>
          </w:tblBorders>
          <w:tblCellMar>
            <w:top w:w="0" w:type="dxa"/>
            <w:left w:w="57" w:type="dxa"/>
            <w:bottom w:w="0" w:type="dxa"/>
            <w:right w:w="57" w:type="dxa"/>
          </w:tblCellMar>
        </w:tblPrEx>
        <w:trPr>
          <w:trHeight w:val="20" w:hRule="atLeast"/>
          <w:jc w:val="center"/>
        </w:trPr>
        <w:tc>
          <w:tcPr>
            <w:tcW w:w="1090" w:type="dxa"/>
            <w:vAlign w:val="center"/>
          </w:tcPr>
          <w:p w14:paraId="06C40634">
            <w:pPr>
              <w:pStyle w:val="179"/>
            </w:pPr>
            <w:r>
              <w:rPr>
                <w:rFonts w:hint="eastAsia"/>
                <w:szCs w:val="21"/>
              </w:rPr>
              <w:t>资源开发效率要求</w:t>
            </w:r>
          </w:p>
        </w:tc>
        <w:tc>
          <w:tcPr>
            <w:tcW w:w="6083" w:type="dxa"/>
            <w:vAlign w:val="center"/>
          </w:tcPr>
          <w:p w14:paraId="619C4448">
            <w:pPr>
              <w:pStyle w:val="179"/>
            </w:pPr>
            <w:r>
              <w:rPr>
                <w:rFonts w:hint="eastAsia"/>
              </w:rPr>
              <w:t>/</w:t>
            </w:r>
          </w:p>
        </w:tc>
        <w:tc>
          <w:tcPr>
            <w:tcW w:w="1332" w:type="dxa"/>
            <w:vAlign w:val="center"/>
          </w:tcPr>
          <w:p w14:paraId="547FCF09">
            <w:pPr>
              <w:pStyle w:val="179"/>
            </w:pPr>
            <w:r>
              <w:rPr>
                <w:rFonts w:hint="eastAsia"/>
              </w:rPr>
              <w:t>/</w:t>
            </w:r>
          </w:p>
        </w:tc>
      </w:tr>
    </w:tbl>
    <w:p w14:paraId="7AC7E1BF">
      <w:pPr>
        <w:ind w:firstLine="480"/>
        <w:rPr>
          <w:rFonts w:hAnsi="Times New Roman" w:cs="Times New Roman"/>
        </w:rPr>
      </w:pPr>
      <w:r>
        <w:rPr>
          <w:rFonts w:hAnsi="Times New Roman" w:cs="Times New Roman"/>
        </w:rPr>
        <w:t>本项目采取了有效、可行的污染治理措施，各项污染物均可达标排放，本项目建设对周围环境影响较小，符合生态环境分区管控要求。</w:t>
      </w:r>
    </w:p>
    <w:p w14:paraId="4733C4B9">
      <w:pPr>
        <w:pStyle w:val="4"/>
        <w:spacing w:before="180" w:after="120"/>
        <w:rPr>
          <w:rFonts w:hAnsi="Times New Roman" w:cs="Times New Roman"/>
        </w:rPr>
      </w:pPr>
      <w:r>
        <w:rPr>
          <w:rFonts w:hAnsi="Times New Roman" w:cs="Times New Roman"/>
        </w:rPr>
        <w:t>项目选址合理性分析</w:t>
      </w:r>
    </w:p>
    <w:p w14:paraId="79910F2A">
      <w:pPr>
        <w:ind w:firstLine="480"/>
        <w:rPr>
          <w:rFonts w:hAnsi="Times New Roman" w:cs="Times New Roman"/>
        </w:rPr>
      </w:pPr>
      <w:r>
        <w:rPr>
          <w:rFonts w:hAnsi="Times New Roman" w:cs="Times New Roman"/>
        </w:rPr>
        <w:t>本项目为</w:t>
      </w:r>
      <w:r>
        <w:rPr>
          <w:rFonts w:hint="eastAsia" w:hAnsi="Times New Roman" w:cs="Times New Roman"/>
        </w:rPr>
        <w:t>建筑用凝灰岩开采</w:t>
      </w:r>
      <w:r>
        <w:rPr>
          <w:rFonts w:hAnsi="Times New Roman" w:cs="Times New Roman"/>
        </w:rPr>
        <w:t>项目，</w:t>
      </w:r>
      <w:r>
        <w:rPr>
          <w:rFonts w:hint="eastAsia" w:hAnsi="Times New Roman" w:cs="Times New Roman"/>
          <w:lang w:bidi="en-US"/>
        </w:rPr>
        <w:t>总面积为</w:t>
      </w:r>
      <w:r>
        <w:rPr>
          <w:rFonts w:hAnsi="Times New Roman" w:cs="Times New Roman"/>
        </w:rPr>
        <w:t>0.1101k</w:t>
      </w:r>
      <w:r>
        <w:rPr>
          <w:rFonts w:hAnsi="Times New Roman" w:cs="Times New Roman"/>
          <w:lang w:bidi="en-US"/>
        </w:rPr>
        <w:t>m</w:t>
      </w:r>
      <w:r>
        <w:rPr>
          <w:rFonts w:hAnsi="Times New Roman" w:cs="Times New Roman"/>
          <w:vertAlign w:val="superscript"/>
          <w:lang w:bidi="en-US"/>
        </w:rPr>
        <w:t>2</w:t>
      </w:r>
      <w:r>
        <w:rPr>
          <w:rFonts w:hint="eastAsia" w:hAnsi="Times New Roman" w:cs="Times New Roman"/>
          <w:lang w:bidi="en-US"/>
        </w:rPr>
        <w:t>，</w:t>
      </w:r>
      <w:r>
        <w:rPr>
          <w:rFonts w:hint="eastAsia" w:hAnsi="Times New Roman" w:cs="Times New Roman"/>
        </w:rPr>
        <w:t>占地均为乔木林地。</w:t>
      </w:r>
      <w:r>
        <w:rPr>
          <w:rFonts w:hAnsi="Times New Roman" w:cs="Times New Roman"/>
        </w:rPr>
        <w:t>项目严格按照开采范围进行开采</w:t>
      </w:r>
      <w:r>
        <w:rPr>
          <w:rFonts w:hint="eastAsia" w:hAnsi="Times New Roman" w:cs="Times New Roman"/>
        </w:rPr>
        <w:t>，</w:t>
      </w:r>
      <w:r>
        <w:rPr>
          <w:rFonts w:hAnsi="Times New Roman" w:cs="Times New Roman"/>
        </w:rPr>
        <w:t>闭矿后进行植被恢复。本项目在</w:t>
      </w:r>
      <w:r>
        <w:rPr>
          <w:rFonts w:hint="eastAsia" w:hAnsi="Times New Roman" w:cs="Times New Roman"/>
        </w:rPr>
        <w:t>划定的</w:t>
      </w:r>
      <w:r>
        <w:rPr>
          <w:rFonts w:hAnsi="Times New Roman" w:cs="Times New Roman"/>
        </w:rPr>
        <w:t>开采区进行开采，不破坏自然生态系统的稳定。</w:t>
      </w:r>
      <w:r>
        <w:rPr>
          <w:rFonts w:hint="eastAsia" w:hAnsi="Times New Roman" w:cs="Times New Roman"/>
        </w:rPr>
        <w:t>运营期</w:t>
      </w:r>
      <w:r>
        <w:rPr>
          <w:rFonts w:hAnsi="Times New Roman" w:cs="Times New Roman"/>
        </w:rPr>
        <w:t>产生的废气采取措施后满足相关排放标准。满足</w:t>
      </w:r>
      <w:r>
        <w:rPr>
          <w:rFonts w:hint="eastAsia" w:hAnsi="Times New Roman" w:cs="Times New Roman"/>
        </w:rPr>
        <w:t>嫩江市</w:t>
      </w:r>
      <w:r>
        <w:rPr>
          <w:rFonts w:hAnsi="Times New Roman" w:cs="Times New Roman"/>
        </w:rPr>
        <w:t>一般生态空间优先保护单元</w:t>
      </w:r>
      <w:r>
        <w:rPr>
          <w:rFonts w:hint="eastAsia" w:hAnsi="Times New Roman" w:cs="Times New Roman"/>
        </w:rPr>
        <w:t>的管控要求。</w:t>
      </w:r>
    </w:p>
    <w:p w14:paraId="2E8AC897">
      <w:pPr>
        <w:ind w:firstLine="480"/>
        <w:rPr>
          <w:rFonts w:hAnsi="Times New Roman" w:cs="Times New Roman"/>
        </w:rPr>
      </w:pPr>
      <w:r>
        <w:rPr>
          <w:rFonts w:hAnsi="Times New Roman" w:cs="Times New Roman"/>
        </w:rPr>
        <w:t>项目四周为林地，与</w:t>
      </w:r>
      <w:r>
        <w:rPr>
          <w:rFonts w:hint="eastAsia" w:hAnsi="Times New Roman" w:cs="Times New Roman"/>
        </w:rPr>
        <w:t>嫩江市生态保护红线（</w:t>
      </w:r>
      <w:r>
        <w:rPr>
          <w:rFonts w:hAnsi="Times New Roman" w:cs="Times New Roman"/>
        </w:rPr>
        <w:t>嫩江市松嫩平原生物多样性维护功能生态保护红线-水源涵养生态功能重要区</w:t>
      </w:r>
      <w:r>
        <w:rPr>
          <w:rFonts w:hint="eastAsia" w:hAnsi="Times New Roman" w:cs="Times New Roman"/>
        </w:rPr>
        <w:t>）紧邻，进场道路均为现有道路，</w:t>
      </w:r>
      <w:r>
        <w:rPr>
          <w:rFonts w:hAnsi="Times New Roman" w:cs="Times New Roman"/>
        </w:rPr>
        <w:t>露天采区服务期满后，通过边坡治理，场地平整</w:t>
      </w:r>
      <w:r>
        <w:rPr>
          <w:rFonts w:hint="eastAsia" w:hAnsi="Times New Roman" w:cs="Times New Roman"/>
        </w:rPr>
        <w:t>和</w:t>
      </w:r>
      <w:r>
        <w:rPr>
          <w:rFonts w:hAnsi="Times New Roman" w:cs="Times New Roman"/>
        </w:rPr>
        <w:t>植被恢复等措施，可使本项目对生态环境影响程度降到最低。项目建设是可行的。</w:t>
      </w:r>
    </w:p>
    <w:p w14:paraId="30FA7B8C">
      <w:pPr>
        <w:ind w:firstLine="480"/>
        <w:rPr>
          <w:rFonts w:hAnsi="Times New Roman" w:cs="Times New Roman"/>
        </w:rPr>
      </w:pPr>
      <w:r>
        <w:rPr>
          <w:rFonts w:hint="eastAsia" w:hAnsi="Times New Roman" w:cs="Times New Roman"/>
        </w:rPr>
        <w:t>本项目工程占地</w:t>
      </w:r>
      <w:r>
        <w:rPr>
          <w:rFonts w:hAnsi="Times New Roman" w:cs="Times New Roman"/>
        </w:rPr>
        <w:t>内没有国家、省、市重点保护文物、自然保护区、濒危珍稀动植物和风景旅游区等重点保护目标。项目周边以林地为主，西南侧为马厂河，隔马厂河为农田，西北侧</w:t>
      </w:r>
      <w:r>
        <w:rPr>
          <w:rFonts w:hint="eastAsia" w:hAnsi="Times New Roman" w:cs="Times New Roman"/>
        </w:rPr>
        <w:t>距离</w:t>
      </w:r>
      <w:r>
        <w:rPr>
          <w:rFonts w:hAnsi="Times New Roman" w:cs="Times New Roman"/>
        </w:rPr>
        <w:t>农田</w:t>
      </w:r>
      <w:r>
        <w:rPr>
          <w:rFonts w:hint="eastAsia" w:hAnsi="Times New Roman" w:cs="Times New Roman"/>
        </w:rPr>
        <w:t>20m</w:t>
      </w:r>
      <w:r>
        <w:rPr>
          <w:rFonts w:hAnsi="Times New Roman" w:cs="Times New Roman"/>
        </w:rPr>
        <w:t>，本项目不在《中华人民共和国矿产资源法》第二十条规定的不得开采矿产资源区域范围内。根据黑龙江省水利厅编制的《黑龙江省水土保持规划（2015-2030年）》，塔溪乡属于东北漫川漫岗水土流失重点治理区（中部漫川漫岗土保持区(I-3-1t)），为国家级重点</w:t>
      </w:r>
      <w:r>
        <w:rPr>
          <w:rFonts w:hint="eastAsia" w:hAnsi="Times New Roman" w:cs="Times New Roman"/>
        </w:rPr>
        <w:t>治理区</w:t>
      </w:r>
      <w:r>
        <w:rPr>
          <w:rFonts w:hAnsi="Times New Roman" w:cs="Times New Roman"/>
        </w:rPr>
        <w:t>。建设单位通过严格落实生态恢复措施，完成环保“三同时”，并按国家要求及时开展水土保持方案编制工作和水土保持设施验收工作，可有效治理水土流失，本项目的建设符合《黑龙江省水土保持规划（2015-2030年）》要求。</w:t>
      </w:r>
    </w:p>
    <w:p w14:paraId="1035D33F">
      <w:pPr>
        <w:ind w:firstLine="480"/>
        <w:rPr>
          <w:rFonts w:hAnsi="Times New Roman" w:cs="Times New Roman"/>
        </w:rPr>
      </w:pPr>
      <w:r>
        <w:rPr>
          <w:rFonts w:hAnsi="Times New Roman" w:cs="Times New Roman"/>
        </w:rPr>
        <w:t>本项目不在自然保护区进行露天开采砂土石，且不位于限制开采区、禁止开采区，</w:t>
      </w:r>
      <w:r>
        <w:rPr>
          <w:rFonts w:hint="eastAsia" w:hAnsi="Times New Roman" w:cs="Times New Roman"/>
        </w:rPr>
        <w:t>已取得了采矿许可证，编号为：X</w:t>
      </w:r>
      <w:r>
        <w:rPr>
          <w:rFonts w:hAnsi="Times New Roman" w:cs="Times New Roman"/>
        </w:rPr>
        <w:t>C231183202511716000000</w:t>
      </w:r>
      <w:r>
        <w:rPr>
          <w:rFonts w:hint="eastAsia" w:hAnsi="Times New Roman" w:cs="Times New Roman"/>
        </w:rPr>
        <w:t>1。</w:t>
      </w:r>
      <w:r>
        <w:rPr>
          <w:rFonts w:hAnsi="Times New Roman" w:cs="Times New Roman"/>
        </w:rPr>
        <w:t>项目服务期满后，开展矿山环境治理恢复工作，符合《黑龙江省矿产资源总体规划》（2021~2025）》</w:t>
      </w:r>
      <w:r>
        <w:rPr>
          <w:rFonts w:hint="eastAsia" w:hAnsi="Times New Roman" w:cs="Times New Roman"/>
        </w:rPr>
        <w:t>及《</w:t>
      </w:r>
      <w:r>
        <w:rPr>
          <w:rFonts w:hAnsi="Times New Roman" w:cs="Times New Roman"/>
        </w:rPr>
        <w:t>嫩江市砂石土资源开发利用专项规划（2021—2025年）</w:t>
      </w:r>
      <w:r>
        <w:rPr>
          <w:rFonts w:hint="eastAsia" w:hAnsi="Times New Roman" w:cs="Times New Roman"/>
        </w:rPr>
        <w:t>》</w:t>
      </w:r>
      <w:r>
        <w:rPr>
          <w:rFonts w:hAnsi="Times New Roman" w:cs="Times New Roman"/>
        </w:rPr>
        <w:t>的相关要求。</w:t>
      </w:r>
    </w:p>
    <w:p w14:paraId="7776C62F">
      <w:pPr>
        <w:ind w:firstLine="480"/>
        <w:rPr>
          <w:rFonts w:hAnsi="Times New Roman" w:cs="Times New Roman"/>
        </w:rPr>
      </w:pPr>
      <w:r>
        <w:rPr>
          <w:rFonts w:hAnsi="Times New Roman" w:cs="Times New Roman"/>
        </w:rPr>
        <w:t>项目在矿山服务期满后，对矿山生态环境开展矿山环境治理恢复工作，恢复原有土地利用功能，保持当地生态服务功能、带动当地经济发展，符合《黑龙江省主体功能区</w:t>
      </w:r>
      <w:r>
        <w:rPr>
          <w:rFonts w:hint="eastAsia" w:hAnsi="Times New Roman" w:cs="Times New Roman"/>
        </w:rPr>
        <w:t>规</w:t>
      </w:r>
      <w:r>
        <w:rPr>
          <w:rFonts w:hAnsi="Times New Roman" w:cs="Times New Roman"/>
        </w:rPr>
        <w:t>划》的相关要求。</w:t>
      </w:r>
    </w:p>
    <w:p w14:paraId="5CE71BF8">
      <w:pPr>
        <w:ind w:firstLine="480"/>
        <w:rPr>
          <w:rFonts w:hAnsi="Times New Roman" w:cs="Times New Roman"/>
        </w:rPr>
      </w:pPr>
      <w:r>
        <w:rPr>
          <w:rFonts w:hAnsi="Times New Roman" w:cs="Times New Roman"/>
        </w:rPr>
        <w:t>综上分析，本项目选址合理。</w:t>
      </w:r>
    </w:p>
    <w:bookmarkEnd w:id="48"/>
    <w:bookmarkEnd w:id="49"/>
    <w:bookmarkEnd w:id="50"/>
    <w:bookmarkEnd w:id="51"/>
    <w:bookmarkEnd w:id="52"/>
    <w:bookmarkEnd w:id="53"/>
    <w:bookmarkEnd w:id="54"/>
    <w:bookmarkEnd w:id="55"/>
    <w:bookmarkEnd w:id="56"/>
    <w:bookmarkEnd w:id="57"/>
    <w:bookmarkEnd w:id="58"/>
    <w:p w14:paraId="17CC5365">
      <w:pPr>
        <w:pStyle w:val="3"/>
        <w:spacing w:before="180" w:after="120"/>
        <w:rPr>
          <w:rFonts w:cs="Times New Roman"/>
          <w:bCs/>
        </w:rPr>
      </w:pPr>
      <w:bookmarkStart w:id="59" w:name="_Toc234927679"/>
      <w:r>
        <w:rPr>
          <w:rFonts w:cs="Times New Roman"/>
        </w:rPr>
        <w:t>关注的主要环境问题及环境影响</w:t>
      </w:r>
      <w:bookmarkEnd w:id="59"/>
    </w:p>
    <w:p w14:paraId="3FBFFF2F">
      <w:pPr>
        <w:ind w:firstLine="480"/>
        <w:rPr>
          <w:rFonts w:hAnsi="Times New Roman" w:cs="Times New Roman"/>
        </w:rPr>
      </w:pPr>
      <w:r>
        <w:rPr>
          <w:rFonts w:hint="eastAsia" w:hAnsi="Times New Roman" w:cs="Times New Roman"/>
        </w:rPr>
        <w:t>本项目矿山服务年限为10年，年生产180天（5月</w:t>
      </w:r>
      <w:r>
        <w:rPr>
          <w:rFonts w:hAnsi="Times New Roman" w:cs="Times New Roman"/>
        </w:rPr>
        <w:t>-</w:t>
      </w:r>
      <w:r>
        <w:rPr>
          <w:rFonts w:hint="eastAsia" w:hAnsi="Times New Roman" w:cs="Times New Roman"/>
        </w:rPr>
        <w:t>10月），每天开采</w:t>
      </w:r>
      <w:r>
        <w:rPr>
          <w:rFonts w:hAnsi="Times New Roman" w:cs="Times New Roman"/>
        </w:rPr>
        <w:t>8h</w:t>
      </w:r>
      <w:r>
        <w:rPr>
          <w:rFonts w:hint="eastAsia" w:hAnsi="Times New Roman" w:cs="Times New Roman"/>
        </w:rPr>
        <w:t>，本项目开采工艺简单，采掘机械化程度较高，可直接剥离后利用挖掘机对矿体进行采掘，项目不涉及破碎、筛分工序。</w:t>
      </w:r>
    </w:p>
    <w:p w14:paraId="30C30EF6">
      <w:pPr>
        <w:ind w:firstLine="480"/>
        <w:rPr>
          <w:rFonts w:hAnsi="Times New Roman" w:cs="Times New Roman"/>
        </w:rPr>
      </w:pPr>
      <w:r>
        <w:rPr>
          <w:rFonts w:hint="eastAsia" w:hAnsi="Times New Roman" w:cs="Times New Roman"/>
        </w:rPr>
        <w:t>本项目主要环境影响产生在运行期。运行期项目主要污染源、污染物情况如下：</w:t>
      </w:r>
    </w:p>
    <w:p w14:paraId="616071C6">
      <w:pPr>
        <w:ind w:firstLine="480"/>
        <w:rPr>
          <w:rFonts w:hAnsi="Times New Roman" w:cs="Times New Roman"/>
        </w:rPr>
      </w:pPr>
      <w:r>
        <w:rPr>
          <w:rFonts w:hint="eastAsia" w:hAnsi="Times New Roman" w:cs="Times New Roman"/>
        </w:rPr>
        <w:t xml:space="preserve">废气：在表土剥离、开采、集堆、装卸、运输过程中伴随着扬尘的产生，其排放特点是：多为面源污染，项目废气均以无组织形式排放，主要通过洒水车洒水降尘的措施抑制扬尘排放。 </w:t>
      </w:r>
    </w:p>
    <w:p w14:paraId="4715942A">
      <w:pPr>
        <w:ind w:firstLine="480"/>
        <w:rPr>
          <w:rFonts w:hAnsi="Times New Roman" w:cs="Times New Roman"/>
        </w:rPr>
      </w:pPr>
      <w:r>
        <w:rPr>
          <w:rFonts w:hint="eastAsia" w:hAnsi="Times New Roman" w:cs="Times New Roman"/>
        </w:rPr>
        <w:t xml:space="preserve">废水：本项目周边主要地表水体为塔溪河支流马厂河，本项目降尘用水全部蒸发，不会形成地表径流排入其他水体。本项目工作人员生活污水利用防渗旱厕收集，定期清掏外运。 </w:t>
      </w:r>
    </w:p>
    <w:p w14:paraId="1234E573">
      <w:pPr>
        <w:ind w:firstLine="480"/>
        <w:rPr>
          <w:rFonts w:hAnsi="Times New Roman" w:cs="Times New Roman"/>
        </w:rPr>
      </w:pPr>
      <w:r>
        <w:rPr>
          <w:rFonts w:hint="eastAsia" w:hAnsi="Times New Roman" w:cs="Times New Roman"/>
        </w:rPr>
        <w:t>噪声：本项目的噪声污染伴随着整个开采过程，其特点是排放强度大、持续时间短。采场的机械较多，一般都会产生较强的噪声，项目涉及的机械主要为挖掘机、装载机及自卸汽车等，其噪声强度约</w:t>
      </w:r>
      <w:r>
        <w:rPr>
          <w:rFonts w:hAnsi="Times New Roman" w:cs="Times New Roman"/>
        </w:rPr>
        <w:t>7</w:t>
      </w:r>
      <w:r>
        <w:rPr>
          <w:rFonts w:hint="eastAsia" w:hAnsi="Times New Roman" w:cs="Times New Roman"/>
        </w:rPr>
        <w:t>0</w:t>
      </w:r>
      <w:r>
        <w:rPr>
          <w:rFonts w:hAnsi="Times New Roman" w:cs="Times New Roman"/>
        </w:rPr>
        <w:t>-</w:t>
      </w:r>
      <w:r>
        <w:rPr>
          <w:rFonts w:hint="eastAsia" w:hAnsi="Times New Roman" w:cs="Times New Roman"/>
        </w:rPr>
        <w:t>93</w:t>
      </w:r>
      <w:r>
        <w:rPr>
          <w:rFonts w:hAnsi="Times New Roman" w:cs="Times New Roman"/>
        </w:rPr>
        <w:t>dB</w:t>
      </w:r>
      <w:r>
        <w:rPr>
          <w:rFonts w:hint="eastAsia" w:hAnsi="Times New Roman" w:cs="Times New Roman"/>
        </w:rPr>
        <w:t>(A)，根据机械作业特点，主要通过加强维护及保养，保持作业机械低噪声运行。</w:t>
      </w:r>
    </w:p>
    <w:p w14:paraId="7448706C">
      <w:pPr>
        <w:ind w:firstLine="480"/>
        <w:rPr>
          <w:rFonts w:hAnsi="Times New Roman" w:cs="Times New Roman"/>
        </w:rPr>
      </w:pPr>
      <w:r>
        <w:rPr>
          <w:rFonts w:hint="eastAsia" w:hAnsi="Times New Roman" w:cs="Times New Roman"/>
        </w:rPr>
        <w:t>固废：项目现场设置垃圾箱，对生活垃圾集中收集，由环卫部门定期清运。 施工机械故障后统一运至指定机械维修场所进行维修，不在现场进行修理，故项目现场无废机油产生。</w:t>
      </w:r>
    </w:p>
    <w:p w14:paraId="3453F97A">
      <w:pPr>
        <w:ind w:firstLine="480"/>
        <w:rPr>
          <w:rFonts w:hAnsi="Times New Roman" w:cs="Times New Roman"/>
        </w:rPr>
      </w:pPr>
      <w:r>
        <w:rPr>
          <w:rFonts w:hint="eastAsia" w:hAnsi="Times New Roman" w:cs="Times New Roman"/>
        </w:rPr>
        <w:t>生态环境：项目开采过程中对生态保护红线的影响；随开采结束和复垦恢复工程实施、水保等人工强化生态恢复活动后，对其负面影响不显著。</w:t>
      </w:r>
    </w:p>
    <w:p w14:paraId="090B68DB">
      <w:pPr>
        <w:pStyle w:val="3"/>
        <w:spacing w:before="180" w:after="120"/>
        <w:rPr>
          <w:rFonts w:cs="Times New Roman"/>
          <w:bCs/>
        </w:rPr>
      </w:pPr>
      <w:bookmarkStart w:id="60" w:name="bookmark7"/>
      <w:bookmarkEnd w:id="60"/>
      <w:bookmarkStart w:id="61" w:name="_Toc234927680"/>
      <w:r>
        <w:rPr>
          <w:rFonts w:cs="Times New Roman"/>
        </w:rPr>
        <w:t>环境影响评价的主要结论</w:t>
      </w:r>
      <w:bookmarkEnd w:id="61"/>
    </w:p>
    <w:p w14:paraId="5E963BD4">
      <w:pPr>
        <w:ind w:firstLine="480"/>
        <w:rPr>
          <w:rFonts w:hAnsi="Times New Roman" w:cs="Times New Roman"/>
        </w:rPr>
      </w:pPr>
      <w:r>
        <w:rPr>
          <w:rFonts w:hAnsi="Times New Roman" w:cs="Times New Roman"/>
        </w:rPr>
        <w:t>本项目建设符合国家相关产业政策要求，该项目的建成投产，有利于促进地区经济发展，充分发挥资源优势，具有良好的经济效益。本评价针对本项目特点，提出了切实可行的污染防治和生态恢复措施，将工程开发造成的水土流失和生态环境影响降至最低程度。项目通过对环境空气、声环境、水环境、固体废物、生态环境等各项环境因素有效地防治，通过加强环境管理及环境监测，最大限度地减少对环境影响。因此，本项目的实施实现了环境效益、社会效益和经济效益的统一，符合当地的相关规划，在做好本报告中提出的各项环保措施的前提下，从环保角度而言，项目建设可行。</w:t>
      </w:r>
    </w:p>
    <w:p w14:paraId="0E201C06">
      <w:pPr>
        <w:ind w:firstLine="480"/>
        <w:rPr>
          <w:rFonts w:hAnsi="Times New Roman" w:cs="Times New Roman"/>
        </w:rPr>
      </w:pPr>
    </w:p>
    <w:p w14:paraId="5D143B71">
      <w:pPr>
        <w:ind w:firstLine="480"/>
        <w:rPr>
          <w:rFonts w:hAnsi="Times New Roman" w:cs="Times New Roman"/>
        </w:rPr>
        <w:sectPr>
          <w:footerReference r:id="rId14" w:type="default"/>
          <w:pgSz w:w="11906" w:h="16839"/>
          <w:pgMar w:top="1440" w:right="1797" w:bottom="1440" w:left="1797" w:header="850" w:footer="992" w:gutter="0"/>
          <w:pgNumType w:start="1"/>
          <w:cols w:space="720" w:num="1"/>
          <w:docGrid w:linePitch="326" w:charSpace="0"/>
        </w:sectPr>
      </w:pPr>
    </w:p>
    <w:p w14:paraId="50F6244E">
      <w:pPr>
        <w:pStyle w:val="2"/>
        <w:spacing w:before="120" w:after="180"/>
        <w:rPr>
          <w:rFonts w:cs="Times New Roman"/>
        </w:rPr>
      </w:pPr>
      <w:bookmarkStart w:id="62" w:name="_Toc234927681"/>
      <w:r>
        <w:rPr>
          <w:rFonts w:cs="Times New Roman"/>
        </w:rPr>
        <w:t>总则</w:t>
      </w:r>
      <w:bookmarkEnd w:id="62"/>
    </w:p>
    <w:p w14:paraId="57C9F497">
      <w:pPr>
        <w:pStyle w:val="3"/>
        <w:spacing w:before="180" w:after="120"/>
        <w:rPr>
          <w:rFonts w:cs="Times New Roman"/>
          <w:bCs/>
        </w:rPr>
      </w:pPr>
      <w:bookmarkStart w:id="63" w:name="bookmark10"/>
      <w:bookmarkEnd w:id="63"/>
      <w:bookmarkStart w:id="64" w:name="_Toc234927682"/>
      <w:bookmarkStart w:id="65" w:name="_Toc76395482"/>
      <w:bookmarkStart w:id="66" w:name="_Toc61012939"/>
      <w:bookmarkStart w:id="67" w:name="_Toc12649289"/>
      <w:bookmarkStart w:id="68" w:name="_Toc61013228"/>
      <w:bookmarkStart w:id="69" w:name="_Toc61013638"/>
      <w:bookmarkStart w:id="70" w:name="_Toc61013843"/>
      <w:bookmarkStart w:id="71" w:name="_Toc61013433"/>
      <w:bookmarkStart w:id="72" w:name="_Toc61012547"/>
      <w:bookmarkStart w:id="73" w:name="_Toc61013023"/>
      <w:r>
        <w:rPr>
          <w:rFonts w:cs="Times New Roman"/>
          <w:bCs/>
        </w:rPr>
        <w:t>评价目的和原则</w:t>
      </w:r>
      <w:bookmarkEnd w:id="64"/>
    </w:p>
    <w:p w14:paraId="7D586795">
      <w:pPr>
        <w:pStyle w:val="4"/>
        <w:spacing w:before="180" w:after="120"/>
        <w:rPr>
          <w:rFonts w:hAnsi="Times New Roman" w:cs="Times New Roman"/>
          <w:bCs/>
        </w:rPr>
      </w:pPr>
      <w:r>
        <w:rPr>
          <w:rFonts w:hAnsi="Times New Roman" w:cs="Times New Roman"/>
        </w:rPr>
        <w:t>评价原则</w:t>
      </w:r>
    </w:p>
    <w:p w14:paraId="77953E8D">
      <w:pPr>
        <w:ind w:firstLine="480"/>
        <w:rPr>
          <w:rFonts w:hAnsi="Times New Roman" w:cs="Times New Roman"/>
        </w:rPr>
      </w:pPr>
      <w:r>
        <w:rPr>
          <w:rFonts w:hAnsi="Times New Roman" w:cs="Times New Roman"/>
        </w:rPr>
        <w:t>（1）依法评价：贯彻执行国家和地方环境保护相关法律法规、标准、政策和规划等，优化项目建设，服务环境管理。</w:t>
      </w:r>
    </w:p>
    <w:p w14:paraId="69D91C41">
      <w:pPr>
        <w:ind w:firstLine="480"/>
        <w:rPr>
          <w:rFonts w:hAnsi="Times New Roman" w:cs="Times New Roman"/>
        </w:rPr>
      </w:pPr>
      <w:r>
        <w:rPr>
          <w:rFonts w:hAnsi="Times New Roman" w:cs="Times New Roman"/>
        </w:rPr>
        <w:t>（2）科学评价：采用规范的环境影响评价方法，科学分析项目建设对环境质量的影响。</w:t>
      </w:r>
    </w:p>
    <w:p w14:paraId="45FC6017">
      <w:pPr>
        <w:ind w:firstLine="480"/>
        <w:rPr>
          <w:rFonts w:hAnsi="Times New Roman" w:cs="Times New Roman"/>
        </w:rPr>
      </w:pPr>
      <w:r>
        <w:rPr>
          <w:rFonts w:hAnsi="Times New Roman" w:cs="Times New Roman"/>
        </w:rPr>
        <w:t>（3）突出重点：根据项目工程内容及其特点，明确与环境要素间的作用效应关系，对建设项目主要环境影响予以重点分析和评价。</w:t>
      </w:r>
    </w:p>
    <w:p w14:paraId="5AB82939">
      <w:pPr>
        <w:pStyle w:val="4"/>
        <w:spacing w:before="180" w:after="120"/>
        <w:rPr>
          <w:rFonts w:hAnsi="Times New Roman" w:cs="Times New Roman"/>
          <w:bCs/>
        </w:rPr>
      </w:pPr>
      <w:bookmarkStart w:id="74" w:name="bookmark11"/>
      <w:bookmarkEnd w:id="74"/>
      <w:r>
        <w:rPr>
          <w:rFonts w:hAnsi="Times New Roman" w:cs="Times New Roman"/>
        </w:rPr>
        <w:t>评价目的</w:t>
      </w:r>
    </w:p>
    <w:p w14:paraId="413E4D37">
      <w:pPr>
        <w:ind w:firstLine="480"/>
        <w:rPr>
          <w:rFonts w:hAnsi="Times New Roman" w:cs="Times New Roman"/>
        </w:rPr>
      </w:pPr>
      <w:r>
        <w:rPr>
          <w:rFonts w:hAnsi="Times New Roman" w:cs="Times New Roman"/>
        </w:rPr>
        <w:t>建设项目环境影响评价工作对预防项目建设可能造成的环境污染起到积极的作用。根据本项目的具体情况，本次环境影响评价工作拟达到以下目的：</w:t>
      </w:r>
    </w:p>
    <w:p w14:paraId="4AF519EA">
      <w:pPr>
        <w:ind w:firstLine="480"/>
        <w:rPr>
          <w:rFonts w:hAnsi="Times New Roman" w:cs="Times New Roman"/>
        </w:rPr>
      </w:pPr>
      <w:r>
        <w:rPr>
          <w:rFonts w:hAnsi="Times New Roman" w:cs="Times New Roman"/>
        </w:rPr>
        <w:t>（1）通过类比调查、现场踏勘、现状监测及评价，掌握改建工程周围环境质量现状、环境功能要求；</w:t>
      </w:r>
    </w:p>
    <w:p w14:paraId="6DAED0A3">
      <w:pPr>
        <w:ind w:firstLine="480"/>
        <w:rPr>
          <w:rFonts w:hAnsi="Times New Roman" w:cs="Times New Roman"/>
        </w:rPr>
      </w:pPr>
      <w:r>
        <w:rPr>
          <w:rFonts w:hAnsi="Times New Roman" w:cs="Times New Roman"/>
        </w:rPr>
        <w:t>（2）针对本项目特点和污染特征，确定主要污染因子和环境影响要素。</w:t>
      </w:r>
    </w:p>
    <w:p w14:paraId="5700FB17">
      <w:pPr>
        <w:ind w:firstLine="480"/>
        <w:rPr>
          <w:rFonts w:hAnsi="Times New Roman" w:cs="Times New Roman"/>
        </w:rPr>
      </w:pPr>
      <w:r>
        <w:rPr>
          <w:rFonts w:hAnsi="Times New Roman" w:cs="Times New Roman"/>
        </w:rPr>
        <w:t>（3）通过模拟计算和分析，评价拟建项目建设期及运营期排放不同污染物对环境产生影响程度、范围和可接受性，在调查研究基础上提出合理可行的污染防治对策。</w:t>
      </w:r>
    </w:p>
    <w:p w14:paraId="322CBF7B">
      <w:pPr>
        <w:ind w:firstLine="480"/>
        <w:rPr>
          <w:rFonts w:hAnsi="Times New Roman" w:cs="Times New Roman"/>
        </w:rPr>
      </w:pPr>
      <w:r>
        <w:rPr>
          <w:rFonts w:hAnsi="Times New Roman" w:cs="Times New Roman"/>
        </w:rPr>
        <w:t>（4）分析本项目采取污染治理措施的可行性，从环境保护的角度对本项目的建设是否可行给出明确的结论。</w:t>
      </w:r>
    </w:p>
    <w:p w14:paraId="2CD3AC1C">
      <w:pPr>
        <w:ind w:firstLine="480"/>
        <w:rPr>
          <w:rFonts w:hAnsi="Times New Roman" w:cs="Times New Roman"/>
        </w:rPr>
      </w:pPr>
      <w:r>
        <w:rPr>
          <w:rFonts w:hAnsi="Times New Roman" w:cs="Times New Roman"/>
        </w:rPr>
        <w:t>（5）为主管部门提供决策参考，为设计工作制定防治措施，为环境管理提供科学依据。</w:t>
      </w:r>
    </w:p>
    <w:p w14:paraId="59F67526">
      <w:pPr>
        <w:pStyle w:val="3"/>
        <w:spacing w:before="180" w:after="120"/>
        <w:rPr>
          <w:rFonts w:cs="Times New Roman"/>
        </w:rPr>
      </w:pPr>
      <w:bookmarkStart w:id="75" w:name="bookmark12"/>
      <w:bookmarkEnd w:id="75"/>
      <w:bookmarkStart w:id="76" w:name="_Toc234927683"/>
      <w:r>
        <w:rPr>
          <w:rFonts w:cs="Times New Roman"/>
        </w:rPr>
        <w:t>编制依据</w:t>
      </w:r>
      <w:bookmarkEnd w:id="76"/>
    </w:p>
    <w:p w14:paraId="445D10FD">
      <w:pPr>
        <w:pStyle w:val="4"/>
        <w:spacing w:before="180" w:after="120"/>
        <w:rPr>
          <w:rFonts w:hAnsi="Times New Roman" w:cs="Times New Roman"/>
        </w:rPr>
      </w:pPr>
      <w:r>
        <w:rPr>
          <w:rFonts w:hAnsi="Times New Roman" w:cs="Times New Roman"/>
        </w:rPr>
        <w:t>相关法律、法规、规章和规范性文件</w:t>
      </w:r>
    </w:p>
    <w:p w14:paraId="2AD5FEF6">
      <w:pPr>
        <w:numPr>
          <w:ilvl w:val="0"/>
          <w:numId w:val="2"/>
        </w:numPr>
        <w:ind w:left="0" w:firstLine="480"/>
        <w:rPr>
          <w:rFonts w:hAnsi="Times New Roman" w:cs="Times New Roman"/>
        </w:rPr>
      </w:pPr>
      <w:r>
        <w:rPr>
          <w:rFonts w:hAnsi="Times New Roman" w:cs="Times New Roman"/>
        </w:rPr>
        <w:t>《</w:t>
      </w:r>
      <w:r>
        <w:rPr>
          <w:rFonts w:hint="eastAsia" w:hAnsi="Times New Roman" w:cs="Times New Roman"/>
        </w:rPr>
        <w:t>中华人民共和国生态环境法典</w:t>
      </w:r>
      <w:r>
        <w:rPr>
          <w:rFonts w:hAnsi="Times New Roman" w:cs="Times New Roman"/>
        </w:rPr>
        <w:t>》（</w:t>
      </w:r>
      <w:r>
        <w:rPr>
          <w:rFonts w:hint="eastAsia" w:hAnsi="Times New Roman" w:cs="Times New Roman"/>
        </w:rPr>
        <w:t>2026年8月15日起施</w:t>
      </w:r>
      <w:r>
        <w:rPr>
          <w:rFonts w:hAnsi="Times New Roman" w:cs="Times New Roman"/>
        </w:rPr>
        <w:t>行）；</w:t>
      </w:r>
    </w:p>
    <w:p w14:paraId="311ABBF7">
      <w:pPr>
        <w:numPr>
          <w:ilvl w:val="0"/>
          <w:numId w:val="2"/>
        </w:numPr>
        <w:ind w:left="0" w:firstLine="480"/>
        <w:rPr>
          <w:rFonts w:hAnsi="Times New Roman" w:cs="Times New Roman"/>
        </w:rPr>
      </w:pPr>
      <w:r>
        <w:rPr>
          <w:rFonts w:hAnsi="Times New Roman" w:cs="Times New Roman"/>
        </w:rPr>
        <w:t>《中华人民共和国水土保持法》（2010年修订，2011年3月1日起施行）；</w:t>
      </w:r>
    </w:p>
    <w:p w14:paraId="24D72C8A">
      <w:pPr>
        <w:numPr>
          <w:ilvl w:val="0"/>
          <w:numId w:val="2"/>
        </w:numPr>
        <w:ind w:left="0" w:firstLine="480"/>
        <w:rPr>
          <w:rFonts w:hAnsi="Times New Roman" w:cs="Times New Roman"/>
        </w:rPr>
      </w:pPr>
      <w:r>
        <w:rPr>
          <w:rFonts w:hAnsi="Times New Roman" w:cs="Times New Roman"/>
        </w:rPr>
        <w:t>《中华人民共和国水法》（2016年修正，2016年7月2日起施行）；</w:t>
      </w:r>
    </w:p>
    <w:p w14:paraId="63C897E3">
      <w:pPr>
        <w:numPr>
          <w:ilvl w:val="0"/>
          <w:numId w:val="2"/>
        </w:numPr>
        <w:ind w:left="0" w:firstLine="480"/>
        <w:rPr>
          <w:rFonts w:hAnsi="Times New Roman" w:cs="Times New Roman"/>
        </w:rPr>
      </w:pPr>
      <w:r>
        <w:rPr>
          <w:rFonts w:hAnsi="Times New Roman" w:cs="Times New Roman"/>
        </w:rPr>
        <w:t>《中华人民共和国矿产资源法》（2024年11月8日修订，2025年7月1日起施行）；</w:t>
      </w:r>
    </w:p>
    <w:p w14:paraId="2D20ABC5">
      <w:pPr>
        <w:numPr>
          <w:ilvl w:val="0"/>
          <w:numId w:val="2"/>
        </w:numPr>
        <w:ind w:left="0" w:firstLine="480"/>
        <w:rPr>
          <w:rFonts w:hAnsi="Times New Roman" w:cs="Times New Roman"/>
        </w:rPr>
      </w:pPr>
      <w:r>
        <w:rPr>
          <w:rFonts w:hAnsi="Times New Roman" w:cs="Times New Roman"/>
        </w:rPr>
        <w:t>《中华人民共和国矿山安全法》（2009年8月27日修正）；</w:t>
      </w:r>
    </w:p>
    <w:p w14:paraId="6272D3FA">
      <w:pPr>
        <w:numPr>
          <w:ilvl w:val="0"/>
          <w:numId w:val="2"/>
        </w:numPr>
        <w:ind w:left="0" w:firstLine="480"/>
        <w:rPr>
          <w:rFonts w:hAnsi="Times New Roman" w:cs="Times New Roman"/>
        </w:rPr>
      </w:pPr>
      <w:r>
        <w:rPr>
          <w:rFonts w:hAnsi="Times New Roman" w:cs="Times New Roman"/>
        </w:rPr>
        <w:t>《中华人民共和国野生动物保护法》（2022年12月30日修订，2023年5月1日起施行）；</w:t>
      </w:r>
    </w:p>
    <w:p w14:paraId="4D880189">
      <w:pPr>
        <w:numPr>
          <w:ilvl w:val="0"/>
          <w:numId w:val="2"/>
        </w:numPr>
        <w:ind w:left="0" w:firstLine="480"/>
        <w:rPr>
          <w:rFonts w:hAnsi="Times New Roman" w:cs="Times New Roman"/>
        </w:rPr>
      </w:pPr>
      <w:r>
        <w:rPr>
          <w:rFonts w:hAnsi="Times New Roman" w:cs="Times New Roman"/>
        </w:rPr>
        <w:t>《中华人民共和国森林法》（2019年12月28日修订，2020年7月1日起施行）；</w:t>
      </w:r>
    </w:p>
    <w:p w14:paraId="2A2E050D">
      <w:pPr>
        <w:numPr>
          <w:ilvl w:val="0"/>
          <w:numId w:val="2"/>
        </w:numPr>
        <w:ind w:left="0" w:firstLine="480"/>
        <w:rPr>
          <w:rFonts w:hAnsi="Times New Roman" w:cs="Times New Roman"/>
        </w:rPr>
      </w:pPr>
      <w:r>
        <w:rPr>
          <w:rFonts w:hAnsi="Times New Roman" w:cs="Times New Roman"/>
        </w:rPr>
        <w:t>《中华人民共和国土地管理法》（2019年8月26日修正，2020年1月1日起施行）；</w:t>
      </w:r>
    </w:p>
    <w:p w14:paraId="2AC2A557">
      <w:pPr>
        <w:numPr>
          <w:ilvl w:val="0"/>
          <w:numId w:val="2"/>
        </w:numPr>
        <w:ind w:left="0" w:firstLine="480"/>
        <w:rPr>
          <w:rFonts w:hAnsi="Times New Roman" w:cs="Times New Roman"/>
        </w:rPr>
      </w:pPr>
      <w:r>
        <w:rPr>
          <w:rFonts w:hAnsi="Times New Roman" w:cs="Times New Roman"/>
        </w:rPr>
        <w:t>《中华人民共和国环境保护税法》（2018年修正，2018年10月26日起施行）；</w:t>
      </w:r>
    </w:p>
    <w:p w14:paraId="6280A962">
      <w:pPr>
        <w:numPr>
          <w:ilvl w:val="0"/>
          <w:numId w:val="2"/>
        </w:numPr>
        <w:ind w:left="0" w:firstLine="480"/>
        <w:rPr>
          <w:rFonts w:hAnsi="Times New Roman" w:cs="Times New Roman"/>
        </w:rPr>
      </w:pPr>
      <w:r>
        <w:rPr>
          <w:rFonts w:hAnsi="Times New Roman" w:cs="Times New Roman"/>
        </w:rPr>
        <w:t>《中华人民共和国节约能源法》（2018年修正，2018年10月26日施行）；</w:t>
      </w:r>
    </w:p>
    <w:p w14:paraId="335EB555">
      <w:pPr>
        <w:numPr>
          <w:ilvl w:val="0"/>
          <w:numId w:val="2"/>
        </w:numPr>
        <w:ind w:left="0" w:firstLine="480"/>
        <w:rPr>
          <w:rFonts w:hAnsi="Times New Roman" w:cs="Times New Roman"/>
        </w:rPr>
      </w:pPr>
      <w:r>
        <w:rPr>
          <w:rFonts w:hAnsi="Times New Roman" w:cs="Times New Roman"/>
        </w:rPr>
        <w:t>《中华人民共和国循环经济促进法》（2018年修正，2018年10月26日施行）；</w:t>
      </w:r>
    </w:p>
    <w:p w14:paraId="77CEAC55">
      <w:pPr>
        <w:numPr>
          <w:ilvl w:val="0"/>
          <w:numId w:val="2"/>
        </w:numPr>
        <w:ind w:left="0" w:firstLine="480"/>
        <w:rPr>
          <w:rFonts w:hAnsi="Times New Roman" w:cs="Times New Roman"/>
        </w:rPr>
      </w:pPr>
      <w:r>
        <w:rPr>
          <w:rFonts w:hAnsi="Times New Roman" w:cs="Times New Roman"/>
        </w:rPr>
        <w:t>《中华人民共和国陆生野生动物保护实施条例》（2016年2月6日修订）；</w:t>
      </w:r>
    </w:p>
    <w:p w14:paraId="14A4D0CA">
      <w:pPr>
        <w:numPr>
          <w:ilvl w:val="0"/>
          <w:numId w:val="2"/>
        </w:numPr>
        <w:ind w:left="0" w:firstLine="480"/>
        <w:rPr>
          <w:rFonts w:hAnsi="Times New Roman" w:cs="Times New Roman"/>
        </w:rPr>
      </w:pPr>
      <w:r>
        <w:rPr>
          <w:rFonts w:hAnsi="Times New Roman" w:cs="Times New Roman"/>
        </w:rPr>
        <w:t>《国家重点保护野生植物名录》（国家林业和草原局 农业农村部公告（2021年第15号）；</w:t>
      </w:r>
    </w:p>
    <w:p w14:paraId="08796C84">
      <w:pPr>
        <w:numPr>
          <w:ilvl w:val="0"/>
          <w:numId w:val="2"/>
        </w:numPr>
        <w:ind w:left="0" w:firstLine="480"/>
        <w:rPr>
          <w:rFonts w:hAnsi="Times New Roman" w:cs="Times New Roman"/>
        </w:rPr>
      </w:pPr>
      <w:r>
        <w:rPr>
          <w:rFonts w:hAnsi="Times New Roman" w:cs="Times New Roman"/>
        </w:rPr>
        <w:t>《国家重点保护野生动物名录》（国家林业和草原局农业农村部公告2021年第3号）；</w:t>
      </w:r>
    </w:p>
    <w:p w14:paraId="60487130">
      <w:pPr>
        <w:numPr>
          <w:ilvl w:val="0"/>
          <w:numId w:val="2"/>
        </w:numPr>
        <w:ind w:left="0" w:firstLine="480"/>
        <w:rPr>
          <w:rFonts w:hAnsi="Times New Roman" w:cs="Times New Roman"/>
        </w:rPr>
      </w:pPr>
      <w:r>
        <w:rPr>
          <w:rFonts w:hAnsi="Times New Roman" w:cs="Times New Roman"/>
        </w:rPr>
        <w:t>《建设项目环境保护管理条例》（中华人民共和国国务院令第682号，2017年10月1日起施行）；</w:t>
      </w:r>
    </w:p>
    <w:p w14:paraId="79B794A2">
      <w:pPr>
        <w:numPr>
          <w:ilvl w:val="0"/>
          <w:numId w:val="2"/>
        </w:numPr>
        <w:ind w:left="0" w:firstLine="480"/>
        <w:rPr>
          <w:rFonts w:hAnsi="Times New Roman" w:cs="Times New Roman"/>
        </w:rPr>
      </w:pPr>
      <w:r>
        <w:rPr>
          <w:rFonts w:hAnsi="Times New Roman" w:cs="Times New Roman"/>
        </w:rPr>
        <w:t>《国务院关于印发大气污染防治行动计划的通知》（国发[2013]37号）；</w:t>
      </w:r>
    </w:p>
    <w:p w14:paraId="7F083AEF">
      <w:pPr>
        <w:numPr>
          <w:ilvl w:val="0"/>
          <w:numId w:val="2"/>
        </w:numPr>
        <w:ind w:left="0" w:firstLine="480"/>
        <w:rPr>
          <w:rFonts w:hAnsi="Times New Roman" w:cs="Times New Roman"/>
        </w:rPr>
      </w:pPr>
      <w:r>
        <w:rPr>
          <w:rFonts w:hAnsi="Times New Roman" w:cs="Times New Roman"/>
        </w:rPr>
        <w:t>《国务院关于印发</w:t>
      </w:r>
      <w:r>
        <w:rPr>
          <w:rFonts w:hint="eastAsia" w:hAnsi="Times New Roman" w:cs="Times New Roman"/>
        </w:rPr>
        <w:t>&lt;</w:t>
      </w:r>
      <w:r>
        <w:rPr>
          <w:rFonts w:hAnsi="Times New Roman" w:cs="Times New Roman"/>
        </w:rPr>
        <w:t>空气质量持续改善行动计划</w:t>
      </w:r>
      <w:r>
        <w:rPr>
          <w:rFonts w:hint="eastAsia" w:hAnsi="Times New Roman" w:cs="Times New Roman"/>
        </w:rPr>
        <w:t>&gt;</w:t>
      </w:r>
      <w:r>
        <w:rPr>
          <w:rFonts w:hAnsi="Times New Roman" w:cs="Times New Roman"/>
        </w:rPr>
        <w:t>的通知》（国发[2023]24号）；</w:t>
      </w:r>
    </w:p>
    <w:p w14:paraId="5A581058">
      <w:pPr>
        <w:numPr>
          <w:ilvl w:val="0"/>
          <w:numId w:val="2"/>
        </w:numPr>
        <w:ind w:left="0" w:firstLine="480"/>
        <w:rPr>
          <w:rFonts w:hAnsi="Times New Roman" w:cs="Times New Roman"/>
        </w:rPr>
      </w:pPr>
      <w:r>
        <w:rPr>
          <w:rFonts w:hAnsi="Times New Roman" w:cs="Times New Roman"/>
        </w:rPr>
        <w:t>《国务院关于印发水污染防治行动计划的通知》（国发[2015]17号）；</w:t>
      </w:r>
    </w:p>
    <w:p w14:paraId="67BE237B">
      <w:pPr>
        <w:numPr>
          <w:ilvl w:val="0"/>
          <w:numId w:val="2"/>
        </w:numPr>
        <w:ind w:left="0" w:firstLine="480"/>
        <w:rPr>
          <w:rFonts w:hAnsi="Times New Roman" w:cs="Times New Roman"/>
        </w:rPr>
      </w:pPr>
      <w:r>
        <w:rPr>
          <w:rFonts w:hAnsi="Times New Roman" w:cs="Times New Roman"/>
        </w:rPr>
        <w:t>《国务院关于印发土壤污染防治行动计划的通知》（国发[2016]31号）；</w:t>
      </w:r>
    </w:p>
    <w:p w14:paraId="0EFA0A3F">
      <w:pPr>
        <w:numPr>
          <w:ilvl w:val="0"/>
          <w:numId w:val="2"/>
        </w:numPr>
        <w:ind w:left="0" w:firstLine="480"/>
        <w:rPr>
          <w:rFonts w:hAnsi="Times New Roman" w:cs="Times New Roman"/>
        </w:rPr>
      </w:pPr>
      <w:r>
        <w:rPr>
          <w:rFonts w:hint="eastAsia" w:hAnsi="Times New Roman" w:cs="Times New Roman"/>
        </w:rPr>
        <w:t>《关于印发&lt;土壤污染源头防控行动计划&gt;的通知》（环土壤[2024]80号）；</w:t>
      </w:r>
    </w:p>
    <w:p w14:paraId="27E1FB5F">
      <w:pPr>
        <w:numPr>
          <w:ilvl w:val="0"/>
          <w:numId w:val="2"/>
        </w:numPr>
        <w:ind w:left="0" w:firstLine="480"/>
        <w:rPr>
          <w:rFonts w:hAnsi="Times New Roman" w:cs="Times New Roman"/>
        </w:rPr>
      </w:pPr>
      <w:r>
        <w:rPr>
          <w:rFonts w:hAnsi="Times New Roman" w:cs="Times New Roman"/>
        </w:rPr>
        <w:t>《关于印发</w:t>
      </w:r>
      <w:r>
        <w:rPr>
          <w:rFonts w:hint="eastAsia" w:hAnsi="Times New Roman" w:cs="Times New Roman"/>
        </w:rPr>
        <w:t>&lt;</w:t>
      </w:r>
      <w:r>
        <w:rPr>
          <w:rFonts w:hAnsi="Times New Roman" w:cs="Times New Roman"/>
        </w:rPr>
        <w:t>“十四五”噪声污染防治行动计划</w:t>
      </w:r>
      <w:r>
        <w:rPr>
          <w:rFonts w:hint="eastAsia" w:hAnsi="Times New Roman" w:cs="Times New Roman"/>
        </w:rPr>
        <w:t>&gt;</w:t>
      </w:r>
      <w:r>
        <w:rPr>
          <w:rFonts w:hAnsi="Times New Roman" w:cs="Times New Roman"/>
        </w:rPr>
        <w:t>的通知》（环大气[2023]1号）；</w:t>
      </w:r>
    </w:p>
    <w:p w14:paraId="5ED77BDA">
      <w:pPr>
        <w:numPr>
          <w:ilvl w:val="0"/>
          <w:numId w:val="2"/>
        </w:numPr>
        <w:ind w:left="0" w:firstLine="480"/>
        <w:rPr>
          <w:rFonts w:hAnsi="Times New Roman" w:cs="Times New Roman"/>
        </w:rPr>
      </w:pPr>
      <w:r>
        <w:rPr>
          <w:rFonts w:hAnsi="Times New Roman" w:cs="Times New Roman"/>
        </w:rPr>
        <w:t>《国务院关于落实科学发展观加强环境保护的决定》（国发[2005]39号）；</w:t>
      </w:r>
    </w:p>
    <w:p w14:paraId="2CA69764">
      <w:pPr>
        <w:numPr>
          <w:ilvl w:val="0"/>
          <w:numId w:val="2"/>
        </w:numPr>
        <w:ind w:left="0" w:firstLine="480"/>
        <w:rPr>
          <w:rFonts w:hAnsi="Times New Roman" w:cs="Times New Roman"/>
        </w:rPr>
      </w:pPr>
      <w:r>
        <w:rPr>
          <w:rFonts w:hAnsi="Times New Roman" w:cs="Times New Roman"/>
        </w:rPr>
        <w:t>《国务院办公厅关于印发控制污染物排放许可制实施方案的通知》（国办发[2016]81号）；</w:t>
      </w:r>
    </w:p>
    <w:p w14:paraId="581D5AD7">
      <w:pPr>
        <w:numPr>
          <w:ilvl w:val="0"/>
          <w:numId w:val="2"/>
        </w:numPr>
        <w:ind w:left="0" w:firstLine="480"/>
        <w:rPr>
          <w:rFonts w:hAnsi="Times New Roman" w:cs="Times New Roman"/>
        </w:rPr>
      </w:pPr>
      <w:r>
        <w:rPr>
          <w:rFonts w:hAnsi="Times New Roman" w:cs="Times New Roman"/>
        </w:rPr>
        <w:t>《关于做好环境影响评价制度与排污许可制衔接相关工作的通知》（环办环评[2017]84号）；</w:t>
      </w:r>
    </w:p>
    <w:p w14:paraId="332298A8">
      <w:pPr>
        <w:numPr>
          <w:ilvl w:val="0"/>
          <w:numId w:val="2"/>
        </w:numPr>
        <w:ind w:left="0" w:firstLine="480"/>
        <w:rPr>
          <w:rFonts w:hAnsi="Times New Roman" w:cs="Times New Roman"/>
        </w:rPr>
      </w:pPr>
      <w:r>
        <w:rPr>
          <w:rFonts w:hAnsi="Times New Roman" w:cs="Times New Roman"/>
        </w:rPr>
        <w:t>《关于进一步加强环境影响评价管理防范环境风险的通知》（环发[2012]77号）；</w:t>
      </w:r>
    </w:p>
    <w:p w14:paraId="731CADF0">
      <w:pPr>
        <w:numPr>
          <w:ilvl w:val="0"/>
          <w:numId w:val="2"/>
        </w:numPr>
        <w:ind w:left="0" w:firstLine="480"/>
        <w:rPr>
          <w:rFonts w:hAnsi="Times New Roman" w:eastAsia="宋体" w:cs="Times New Roman"/>
        </w:rPr>
      </w:pPr>
      <w:r>
        <w:rPr>
          <w:rFonts w:hAnsi="Times New Roman" w:cs="Times New Roman"/>
        </w:rPr>
        <w:t>《关于印发&lt;企业事业单位突发环境事件应急预案备案管理办法（试行）&gt;的通知》（环发[2015]4号）；</w:t>
      </w:r>
    </w:p>
    <w:p w14:paraId="738A08CC">
      <w:pPr>
        <w:numPr>
          <w:ilvl w:val="0"/>
          <w:numId w:val="2"/>
        </w:numPr>
        <w:ind w:left="0" w:firstLine="480"/>
        <w:rPr>
          <w:rFonts w:hAnsi="Times New Roman" w:cs="Times New Roman"/>
        </w:rPr>
      </w:pPr>
      <w:r>
        <w:rPr>
          <w:rFonts w:hAnsi="Times New Roman" w:cs="Times New Roman"/>
        </w:rPr>
        <w:t>《关于切实加强风险防范严格环境影响评价管理的通知》（环发[2012] 98号）；</w:t>
      </w:r>
    </w:p>
    <w:p w14:paraId="04827947">
      <w:pPr>
        <w:numPr>
          <w:ilvl w:val="0"/>
          <w:numId w:val="2"/>
        </w:numPr>
        <w:ind w:left="0" w:firstLine="480"/>
        <w:rPr>
          <w:rFonts w:hAnsi="Times New Roman" w:cs="Times New Roman"/>
        </w:rPr>
      </w:pPr>
      <w:r>
        <w:rPr>
          <w:rFonts w:hAnsi="Times New Roman" w:cs="Times New Roman"/>
        </w:rPr>
        <w:t>《建设项目环境影响评价分类管理名录（2021年版）》（生态环境部部令第16号，2021年1月1日起施行）；</w:t>
      </w:r>
    </w:p>
    <w:p w14:paraId="1F0D8351">
      <w:pPr>
        <w:numPr>
          <w:ilvl w:val="0"/>
          <w:numId w:val="2"/>
        </w:numPr>
        <w:ind w:left="0" w:firstLine="480"/>
        <w:rPr>
          <w:rFonts w:hAnsi="Times New Roman" w:cs="Times New Roman"/>
        </w:rPr>
      </w:pPr>
      <w:r>
        <w:rPr>
          <w:rFonts w:hAnsi="Times New Roman" w:cs="Times New Roman"/>
        </w:rPr>
        <w:t>《国家危险废物名录（2025年版）》（生态环境部令第36号，2025年1月1日起施行）；</w:t>
      </w:r>
    </w:p>
    <w:p w14:paraId="74C53F06">
      <w:pPr>
        <w:numPr>
          <w:ilvl w:val="0"/>
          <w:numId w:val="2"/>
        </w:numPr>
        <w:ind w:left="0" w:firstLine="480"/>
        <w:rPr>
          <w:rFonts w:hAnsi="Times New Roman" w:cs="Times New Roman"/>
        </w:rPr>
      </w:pPr>
      <w:r>
        <w:rPr>
          <w:rFonts w:hAnsi="Times New Roman" w:cs="Times New Roman"/>
        </w:rPr>
        <w:t>《产业结构调整指导目录（2024年本）》（2024年2月1日起施行）；</w:t>
      </w:r>
    </w:p>
    <w:p w14:paraId="437932D2">
      <w:pPr>
        <w:numPr>
          <w:ilvl w:val="0"/>
          <w:numId w:val="2"/>
        </w:numPr>
        <w:ind w:left="0" w:firstLine="480"/>
        <w:rPr>
          <w:rFonts w:hAnsi="Times New Roman" w:cs="Times New Roman"/>
        </w:rPr>
      </w:pPr>
      <w:r>
        <w:rPr>
          <w:rFonts w:hAnsi="Times New Roman" w:cs="Times New Roman"/>
          <w:lang w:bidi="en-US"/>
        </w:rPr>
        <w:t>《环境影响评价公众参与办法》（生态环境部令第4号，2019年1月1日起施行）；</w:t>
      </w:r>
    </w:p>
    <w:p w14:paraId="0275CC90">
      <w:pPr>
        <w:numPr>
          <w:ilvl w:val="0"/>
          <w:numId w:val="2"/>
        </w:numPr>
        <w:ind w:left="0" w:firstLine="480"/>
        <w:rPr>
          <w:rFonts w:hAnsi="Times New Roman" w:cs="Times New Roman"/>
        </w:rPr>
      </w:pPr>
      <w:r>
        <w:rPr>
          <w:rFonts w:hAnsi="Times New Roman" w:cs="Times New Roman"/>
        </w:rPr>
        <w:t>《土地复垦条例》（国务院第592号令，2011年3月5日）；</w:t>
      </w:r>
    </w:p>
    <w:p w14:paraId="757BFCE8">
      <w:pPr>
        <w:numPr>
          <w:ilvl w:val="0"/>
          <w:numId w:val="2"/>
        </w:numPr>
        <w:ind w:left="0" w:firstLine="480"/>
        <w:rPr>
          <w:rFonts w:hAnsi="Times New Roman" w:cs="Times New Roman"/>
        </w:rPr>
      </w:pPr>
      <w:r>
        <w:rPr>
          <w:rFonts w:hAnsi="Times New Roman" w:cs="Times New Roman"/>
        </w:rPr>
        <w:t>《工矿用地土壤环境管理办法（试行）》（部令第3号，2018年8月1日起施行）；</w:t>
      </w:r>
    </w:p>
    <w:p w14:paraId="3196A05A">
      <w:pPr>
        <w:numPr>
          <w:ilvl w:val="0"/>
          <w:numId w:val="2"/>
        </w:numPr>
        <w:ind w:left="0" w:firstLine="480"/>
        <w:rPr>
          <w:rFonts w:hAnsi="Times New Roman" w:cs="Times New Roman"/>
        </w:rPr>
      </w:pPr>
      <w:r>
        <w:rPr>
          <w:rFonts w:hAnsi="Times New Roman" w:cs="Times New Roman"/>
        </w:rPr>
        <w:t>《地质灾害防治条例》（国务院第394号令，2004年3月1日起施行）；</w:t>
      </w:r>
    </w:p>
    <w:p w14:paraId="66F78D74">
      <w:pPr>
        <w:numPr>
          <w:ilvl w:val="0"/>
          <w:numId w:val="2"/>
        </w:numPr>
        <w:ind w:left="0" w:firstLine="480"/>
        <w:rPr>
          <w:rFonts w:hAnsi="Times New Roman" w:cs="Times New Roman"/>
        </w:rPr>
      </w:pPr>
      <w:r>
        <w:rPr>
          <w:rFonts w:hAnsi="Times New Roman" w:cs="Times New Roman"/>
        </w:rPr>
        <w:t>《土地复垦条例实施办法》（2013年3月1日起施行）；</w:t>
      </w:r>
    </w:p>
    <w:p w14:paraId="0AC07E83">
      <w:pPr>
        <w:numPr>
          <w:ilvl w:val="0"/>
          <w:numId w:val="2"/>
        </w:numPr>
        <w:ind w:left="0" w:firstLine="480"/>
        <w:rPr>
          <w:rFonts w:hAnsi="Times New Roman" w:cs="Times New Roman"/>
        </w:rPr>
      </w:pPr>
      <w:r>
        <w:rPr>
          <w:rFonts w:hint="eastAsia" w:hAnsi="Times New Roman" w:cs="Times New Roman"/>
        </w:rPr>
        <w:t>《建设项目使用林地审核审批管理办法》（2015年3月30日国家林业局令第35号；2016年9月22日国家林业局令第42号修改）</w:t>
      </w:r>
      <w:r>
        <w:rPr>
          <w:rFonts w:hAnsi="Times New Roman" w:cs="Times New Roman"/>
        </w:rPr>
        <w:t>。</w:t>
      </w:r>
    </w:p>
    <w:p w14:paraId="0FFBC098">
      <w:pPr>
        <w:pStyle w:val="4"/>
        <w:spacing w:before="180" w:after="120"/>
        <w:rPr>
          <w:rFonts w:hAnsi="Times New Roman" w:cs="Times New Roman"/>
        </w:rPr>
      </w:pPr>
      <w:r>
        <w:rPr>
          <w:rFonts w:hAnsi="Times New Roman" w:cs="Times New Roman"/>
        </w:rPr>
        <w:t>地方有关规划和规定</w:t>
      </w:r>
    </w:p>
    <w:p w14:paraId="706A4A3B">
      <w:pPr>
        <w:numPr>
          <w:ilvl w:val="0"/>
          <w:numId w:val="3"/>
        </w:numPr>
        <w:ind w:left="0" w:firstLine="480"/>
        <w:rPr>
          <w:rFonts w:hAnsi="Times New Roman" w:cs="Times New Roman"/>
        </w:rPr>
      </w:pPr>
      <w:r>
        <w:rPr>
          <w:rFonts w:hAnsi="Times New Roman" w:cs="Times New Roman"/>
        </w:rPr>
        <w:t>《黑龙江省大气污染防治条例》（</w:t>
      </w:r>
      <w:r>
        <w:rPr>
          <w:rFonts w:hint="eastAsia" w:hAnsi="Times New Roman" w:cs="Times New Roman"/>
        </w:rPr>
        <w:t>2018年12月27日</w:t>
      </w:r>
      <w:r>
        <w:rPr>
          <w:rFonts w:hAnsi="Times New Roman" w:cs="Times New Roman"/>
        </w:rPr>
        <w:t>修正）；</w:t>
      </w:r>
    </w:p>
    <w:p w14:paraId="0BCD7BD4">
      <w:pPr>
        <w:numPr>
          <w:ilvl w:val="0"/>
          <w:numId w:val="3"/>
        </w:numPr>
        <w:ind w:left="0" w:firstLine="480"/>
        <w:rPr>
          <w:rFonts w:hAnsi="Times New Roman" w:cs="Times New Roman"/>
        </w:rPr>
      </w:pPr>
      <w:r>
        <w:rPr>
          <w:rFonts w:hAnsi="Times New Roman" w:cs="Times New Roman"/>
        </w:rPr>
        <w:t>《</w:t>
      </w:r>
      <w:r>
        <w:rPr>
          <w:rFonts w:hint="eastAsia" w:hAnsi="Times New Roman" w:cs="Times New Roman"/>
        </w:rPr>
        <w:t>黑龙江省水污染防治条例</w:t>
      </w:r>
      <w:r>
        <w:rPr>
          <w:rFonts w:hAnsi="Times New Roman" w:cs="Times New Roman"/>
        </w:rPr>
        <w:t>》（</w:t>
      </w:r>
      <w:r>
        <w:rPr>
          <w:rFonts w:hint="eastAsia" w:hAnsi="Times New Roman" w:cs="Times New Roman"/>
        </w:rPr>
        <w:t>2023年12月1日起施行</w:t>
      </w:r>
      <w:r>
        <w:rPr>
          <w:rFonts w:hAnsi="Times New Roman" w:cs="Times New Roman"/>
        </w:rPr>
        <w:t>）；</w:t>
      </w:r>
    </w:p>
    <w:p w14:paraId="76A8E798">
      <w:pPr>
        <w:numPr>
          <w:ilvl w:val="0"/>
          <w:numId w:val="3"/>
        </w:numPr>
        <w:ind w:left="0" w:firstLine="480"/>
        <w:rPr>
          <w:rFonts w:hAnsi="Times New Roman" w:cs="Times New Roman"/>
        </w:rPr>
      </w:pPr>
      <w:r>
        <w:rPr>
          <w:rFonts w:hint="eastAsia" w:hAnsi="Times New Roman" w:cs="Times New Roman"/>
        </w:rPr>
        <w:t>《黑龙江省固体废物污染环境防治条例》（2025年1月1日起施行）</w:t>
      </w:r>
    </w:p>
    <w:p w14:paraId="4778FAEF">
      <w:pPr>
        <w:numPr>
          <w:ilvl w:val="0"/>
          <w:numId w:val="3"/>
        </w:numPr>
        <w:ind w:left="0" w:firstLine="480"/>
        <w:rPr>
          <w:rFonts w:hAnsi="Times New Roman" w:cs="Times New Roman"/>
        </w:rPr>
      </w:pPr>
      <w:r>
        <w:rPr>
          <w:rFonts w:hAnsi="Times New Roman" w:cs="Times New Roman"/>
        </w:rPr>
        <w:t>《黑龙江省黑土地保护利用条例》（黑龙江省人民代表大会常务委员会第17号，2024年3月1日起施行）；</w:t>
      </w:r>
    </w:p>
    <w:p w14:paraId="1002711B">
      <w:pPr>
        <w:numPr>
          <w:ilvl w:val="0"/>
          <w:numId w:val="3"/>
        </w:numPr>
        <w:ind w:left="0" w:firstLine="480"/>
        <w:rPr>
          <w:rFonts w:hAnsi="Times New Roman" w:cs="Times New Roman"/>
        </w:rPr>
      </w:pPr>
      <w:r>
        <w:rPr>
          <w:rFonts w:hAnsi="Times New Roman" w:cs="Times New Roman"/>
        </w:rPr>
        <w:t>《黑龙江省水土保持条例》；</w:t>
      </w:r>
    </w:p>
    <w:p w14:paraId="65501DFB">
      <w:pPr>
        <w:numPr>
          <w:ilvl w:val="0"/>
          <w:numId w:val="3"/>
        </w:numPr>
        <w:ind w:left="0" w:firstLine="480"/>
        <w:rPr>
          <w:rFonts w:hAnsi="Times New Roman" w:cs="Times New Roman"/>
        </w:rPr>
      </w:pPr>
      <w:r>
        <w:rPr>
          <w:rFonts w:hAnsi="Times New Roman" w:cs="Times New Roman"/>
        </w:rPr>
        <w:t>《黑龙江省人民政府关于印发</w:t>
      </w:r>
      <w:r>
        <w:rPr>
          <w:rFonts w:hint="eastAsia" w:hAnsi="Times New Roman" w:cs="Times New Roman"/>
        </w:rPr>
        <w:t>&lt;</w:t>
      </w:r>
      <w:r>
        <w:rPr>
          <w:rFonts w:hAnsi="Times New Roman" w:cs="Times New Roman"/>
        </w:rPr>
        <w:t>黑龙江省大气污染防治行动计划实施细则</w:t>
      </w:r>
      <w:r>
        <w:rPr>
          <w:rFonts w:hint="eastAsia" w:hAnsi="Times New Roman" w:cs="Times New Roman"/>
        </w:rPr>
        <w:t>&gt;</w:t>
      </w:r>
      <w:r>
        <w:rPr>
          <w:rFonts w:hAnsi="Times New Roman" w:cs="Times New Roman"/>
        </w:rPr>
        <w:t>的通知》（黑政发</w:t>
      </w:r>
      <w:r>
        <w:rPr>
          <w:rFonts w:hint="eastAsia" w:hAnsi="Times New Roman" w:cs="Times New Roman"/>
        </w:rPr>
        <w:t>[2014]</w:t>
      </w:r>
      <w:r>
        <w:rPr>
          <w:rFonts w:hAnsi="Times New Roman" w:cs="Times New Roman"/>
        </w:rPr>
        <w:t>1号）；</w:t>
      </w:r>
    </w:p>
    <w:p w14:paraId="39C6F66C">
      <w:pPr>
        <w:numPr>
          <w:ilvl w:val="0"/>
          <w:numId w:val="3"/>
        </w:numPr>
        <w:ind w:left="0" w:firstLine="480"/>
        <w:rPr>
          <w:rFonts w:hAnsi="Times New Roman" w:cs="Times New Roman"/>
        </w:rPr>
      </w:pPr>
      <w:r>
        <w:rPr>
          <w:rFonts w:hAnsi="Times New Roman" w:cs="Times New Roman"/>
        </w:rPr>
        <w:t>《黑龙江省人民政府关于印发</w:t>
      </w:r>
      <w:r>
        <w:rPr>
          <w:rFonts w:hint="eastAsia" w:hAnsi="Times New Roman" w:cs="Times New Roman"/>
        </w:rPr>
        <w:t>&lt;</w:t>
      </w:r>
      <w:r>
        <w:rPr>
          <w:rFonts w:hAnsi="Times New Roman" w:cs="Times New Roman"/>
        </w:rPr>
        <w:t>黑龙江省水污染防治工作方案</w:t>
      </w:r>
      <w:r>
        <w:rPr>
          <w:rFonts w:hint="eastAsia" w:hAnsi="Times New Roman" w:cs="Times New Roman"/>
        </w:rPr>
        <w:t>&gt;</w:t>
      </w:r>
      <w:r>
        <w:rPr>
          <w:rFonts w:hAnsi="Times New Roman" w:cs="Times New Roman"/>
        </w:rPr>
        <w:t>的通知》（黑政发</w:t>
      </w:r>
      <w:r>
        <w:rPr>
          <w:rFonts w:hint="eastAsia" w:hAnsi="Times New Roman" w:cs="Times New Roman"/>
        </w:rPr>
        <w:t>[2016]</w:t>
      </w:r>
      <w:r>
        <w:rPr>
          <w:rFonts w:hAnsi="Times New Roman" w:cs="Times New Roman"/>
        </w:rPr>
        <w:t>3号）；</w:t>
      </w:r>
    </w:p>
    <w:p w14:paraId="1EC1D64E">
      <w:pPr>
        <w:numPr>
          <w:ilvl w:val="0"/>
          <w:numId w:val="3"/>
        </w:numPr>
        <w:ind w:left="0" w:firstLine="480"/>
        <w:rPr>
          <w:rFonts w:hAnsi="Times New Roman" w:cs="Times New Roman"/>
        </w:rPr>
      </w:pPr>
      <w:r>
        <w:rPr>
          <w:rFonts w:hAnsi="Times New Roman" w:cs="Times New Roman"/>
        </w:rPr>
        <w:t>《关于落实</w:t>
      </w:r>
      <w:r>
        <w:rPr>
          <w:rFonts w:hint="eastAsia" w:hAnsi="Times New Roman" w:cs="Times New Roman"/>
        </w:rPr>
        <w:t>&lt;</w:t>
      </w:r>
      <w:r>
        <w:rPr>
          <w:rFonts w:hAnsi="Times New Roman" w:cs="Times New Roman"/>
        </w:rPr>
        <w:t>水污染防治行动计划</w:t>
      </w:r>
      <w:r>
        <w:rPr>
          <w:rFonts w:hint="eastAsia" w:hAnsi="Times New Roman" w:cs="Times New Roman"/>
        </w:rPr>
        <w:t>&gt;</w:t>
      </w:r>
      <w:r>
        <w:rPr>
          <w:rFonts w:hAnsi="Times New Roman" w:cs="Times New Roman"/>
        </w:rPr>
        <w:t>实施区域差别化环境准入的指导意见》（黑环规</w:t>
      </w:r>
      <w:r>
        <w:rPr>
          <w:rFonts w:hint="eastAsia" w:hAnsi="Times New Roman" w:cs="Times New Roman"/>
        </w:rPr>
        <w:t>[2017]</w:t>
      </w:r>
      <w:r>
        <w:rPr>
          <w:rFonts w:hAnsi="Times New Roman" w:cs="Times New Roman"/>
        </w:rPr>
        <w:t>2号）；</w:t>
      </w:r>
    </w:p>
    <w:p w14:paraId="4BBBDD07">
      <w:pPr>
        <w:numPr>
          <w:ilvl w:val="0"/>
          <w:numId w:val="3"/>
        </w:numPr>
        <w:ind w:left="0" w:firstLine="480"/>
        <w:rPr>
          <w:rFonts w:hAnsi="Times New Roman" w:cs="Times New Roman"/>
        </w:rPr>
      </w:pPr>
      <w:r>
        <w:rPr>
          <w:rFonts w:hint="eastAsia" w:hAnsi="Times New Roman" w:cs="Times New Roman"/>
        </w:rPr>
        <w:t>《关于印发&lt;黑龙江省</w:t>
      </w:r>
      <w:r>
        <w:rPr>
          <w:rFonts w:hAnsi="Times New Roman" w:cs="Times New Roman"/>
        </w:rPr>
        <w:t>“十四五”</w:t>
      </w:r>
      <w:r>
        <w:rPr>
          <w:rFonts w:hint="eastAsia" w:hAnsi="Times New Roman" w:cs="Times New Roman"/>
        </w:rPr>
        <w:t>噪声污染防治行动计划&gt;的通知》（黑环</w:t>
      </w:r>
      <w:r>
        <w:rPr>
          <w:rFonts w:hAnsi="Times New Roman" w:cs="Times New Roman"/>
        </w:rPr>
        <w:t>发</w:t>
      </w:r>
      <w:r>
        <w:rPr>
          <w:rFonts w:hint="eastAsia" w:hAnsi="Times New Roman" w:cs="Times New Roman"/>
        </w:rPr>
        <w:t>[</w:t>
      </w:r>
      <w:r>
        <w:rPr>
          <w:rFonts w:hAnsi="Times New Roman" w:cs="Times New Roman"/>
        </w:rPr>
        <w:t>2023</w:t>
      </w:r>
      <w:r>
        <w:rPr>
          <w:rFonts w:hint="eastAsia" w:hAnsi="Times New Roman" w:cs="Times New Roman"/>
        </w:rPr>
        <w:t>]</w:t>
      </w:r>
      <w:r>
        <w:rPr>
          <w:rFonts w:hAnsi="Times New Roman" w:cs="Times New Roman"/>
        </w:rPr>
        <w:t>4号</w:t>
      </w:r>
      <w:r>
        <w:rPr>
          <w:rFonts w:hint="eastAsia" w:hAnsi="Times New Roman" w:cs="Times New Roman"/>
        </w:rPr>
        <w:t>）；</w:t>
      </w:r>
    </w:p>
    <w:p w14:paraId="02E01937">
      <w:pPr>
        <w:numPr>
          <w:ilvl w:val="0"/>
          <w:numId w:val="3"/>
        </w:numPr>
        <w:ind w:left="0" w:firstLine="480"/>
        <w:rPr>
          <w:rFonts w:hAnsi="Times New Roman" w:cs="Times New Roman"/>
        </w:rPr>
      </w:pPr>
      <w:r>
        <w:rPr>
          <w:rFonts w:hAnsi="Times New Roman" w:cs="Times New Roman"/>
        </w:rPr>
        <w:t>《黑龙江省人民政府关于实施“三线一单”生态环境分区管控的意见》（黑政发</w:t>
      </w:r>
      <w:r>
        <w:rPr>
          <w:rFonts w:hint="eastAsia" w:hAnsi="Times New Roman" w:cs="Times New Roman"/>
        </w:rPr>
        <w:t>[2020]</w:t>
      </w:r>
      <w:r>
        <w:rPr>
          <w:rFonts w:hAnsi="Times New Roman" w:cs="Times New Roman"/>
        </w:rPr>
        <w:t>14号）；</w:t>
      </w:r>
    </w:p>
    <w:p w14:paraId="53784D4E">
      <w:pPr>
        <w:numPr>
          <w:ilvl w:val="0"/>
          <w:numId w:val="3"/>
        </w:numPr>
        <w:ind w:left="0" w:firstLine="480"/>
        <w:rPr>
          <w:rFonts w:hAnsi="Times New Roman" w:cs="Times New Roman"/>
        </w:rPr>
      </w:pPr>
      <w:r>
        <w:rPr>
          <w:rFonts w:hint="eastAsia" w:hAnsi="Times New Roman" w:cs="Times New Roman"/>
        </w:rPr>
        <w:t>《黑龙江省重点保护野生植物名录（第一批）》（黑龙江省林业和草原局公告2025年第1号，</w:t>
      </w:r>
      <w:r>
        <w:rPr>
          <w:rFonts w:hAnsi="Times New Roman" w:cs="Times New Roman"/>
        </w:rPr>
        <w:t>2025</w:t>
      </w:r>
      <w:r>
        <w:rPr>
          <w:rFonts w:hint="eastAsia" w:hAnsi="Times New Roman" w:cs="Times New Roman"/>
        </w:rPr>
        <w:t>年</w:t>
      </w:r>
      <w:r>
        <w:rPr>
          <w:rFonts w:hAnsi="Times New Roman" w:cs="Times New Roman"/>
        </w:rPr>
        <w:t>2</w:t>
      </w:r>
      <w:r>
        <w:rPr>
          <w:rFonts w:hint="eastAsia" w:hAnsi="Times New Roman" w:cs="Times New Roman"/>
        </w:rPr>
        <w:t>月</w:t>
      </w:r>
      <w:r>
        <w:rPr>
          <w:rFonts w:hAnsi="Times New Roman" w:cs="Times New Roman"/>
        </w:rPr>
        <w:t>27</w:t>
      </w:r>
      <w:r>
        <w:rPr>
          <w:rFonts w:hint="eastAsia" w:hAnsi="Times New Roman" w:cs="Times New Roman"/>
        </w:rPr>
        <w:t>日发布）；</w:t>
      </w:r>
    </w:p>
    <w:p w14:paraId="200DD845">
      <w:pPr>
        <w:numPr>
          <w:ilvl w:val="0"/>
          <w:numId w:val="3"/>
        </w:numPr>
        <w:ind w:left="0" w:firstLine="480"/>
        <w:rPr>
          <w:rFonts w:hAnsi="Times New Roman" w:cs="Times New Roman"/>
        </w:rPr>
      </w:pPr>
      <w:r>
        <w:rPr>
          <w:rFonts w:hint="eastAsia" w:hAnsi="Times New Roman" w:cs="Times New Roman"/>
        </w:rPr>
        <w:t>《黑龙江省重点保护野生动物名录（第一批）》（黑龙江省林业和草原局公告2025年第1号，</w:t>
      </w:r>
      <w:r>
        <w:rPr>
          <w:rFonts w:hAnsi="Times New Roman" w:cs="Times New Roman"/>
        </w:rPr>
        <w:t>2025</w:t>
      </w:r>
      <w:r>
        <w:rPr>
          <w:rFonts w:hint="eastAsia" w:hAnsi="Times New Roman" w:cs="Times New Roman"/>
        </w:rPr>
        <w:t>年</w:t>
      </w:r>
      <w:r>
        <w:rPr>
          <w:rFonts w:hAnsi="Times New Roman" w:cs="Times New Roman"/>
        </w:rPr>
        <w:t>2</w:t>
      </w:r>
      <w:r>
        <w:rPr>
          <w:rFonts w:hint="eastAsia" w:hAnsi="Times New Roman" w:cs="Times New Roman"/>
        </w:rPr>
        <w:t>月</w:t>
      </w:r>
      <w:r>
        <w:rPr>
          <w:rFonts w:hAnsi="Times New Roman" w:cs="Times New Roman"/>
        </w:rPr>
        <w:t>27</w:t>
      </w:r>
      <w:r>
        <w:rPr>
          <w:rFonts w:hint="eastAsia" w:hAnsi="Times New Roman" w:cs="Times New Roman"/>
        </w:rPr>
        <w:t>日发布）；</w:t>
      </w:r>
    </w:p>
    <w:p w14:paraId="72E065E5">
      <w:pPr>
        <w:numPr>
          <w:ilvl w:val="0"/>
          <w:numId w:val="3"/>
        </w:numPr>
        <w:ind w:left="0" w:firstLine="480"/>
        <w:rPr>
          <w:rFonts w:hAnsi="Times New Roman" w:cs="Times New Roman"/>
        </w:rPr>
      </w:pPr>
      <w:r>
        <w:rPr>
          <w:rFonts w:hAnsi="Times New Roman" w:cs="Times New Roman"/>
        </w:rPr>
        <w:t>《黑河市人民政府关于加强“三线一单”生态环境分区管控的实施意见》（黑市政规</w:t>
      </w:r>
      <w:r>
        <w:rPr>
          <w:rFonts w:hint="eastAsia" w:hAnsi="Times New Roman" w:cs="Times New Roman"/>
        </w:rPr>
        <w:t>[2021]</w:t>
      </w:r>
      <w:r>
        <w:rPr>
          <w:rFonts w:hAnsi="Times New Roman" w:cs="Times New Roman"/>
        </w:rPr>
        <w:t>2号）；</w:t>
      </w:r>
    </w:p>
    <w:p w14:paraId="576CFE19">
      <w:pPr>
        <w:numPr>
          <w:ilvl w:val="0"/>
          <w:numId w:val="3"/>
        </w:numPr>
        <w:ind w:left="0" w:firstLine="480"/>
        <w:rPr>
          <w:rFonts w:hAnsi="Times New Roman" w:cs="Times New Roman"/>
          <w:lang w:bidi="en-US"/>
        </w:rPr>
      </w:pPr>
      <w:r>
        <w:rPr>
          <w:rFonts w:hAnsi="Times New Roman" w:cs="Times New Roman"/>
        </w:rPr>
        <w:t>《</w:t>
      </w:r>
      <w:r>
        <w:rPr>
          <w:rFonts w:hint="eastAsia" w:cs="Times New Roman"/>
        </w:rPr>
        <w:t>关于发布2023年黑河市生态环境分区管控动态更新成果的通知</w:t>
      </w:r>
      <w:r>
        <w:rPr>
          <w:rFonts w:hAnsi="Times New Roman" w:cs="Times New Roman"/>
        </w:rPr>
        <w:t>》（黑市区域环评办发</w:t>
      </w:r>
      <w:r>
        <w:rPr>
          <w:rFonts w:hint="eastAsia" w:hAnsi="Times New Roman" w:cs="Times New Roman"/>
        </w:rPr>
        <w:t>[2024]</w:t>
      </w:r>
      <w:r>
        <w:rPr>
          <w:rFonts w:hAnsi="Times New Roman" w:cs="Times New Roman"/>
        </w:rPr>
        <w:t>1号）</w:t>
      </w:r>
    </w:p>
    <w:p w14:paraId="49CD4044">
      <w:pPr>
        <w:numPr>
          <w:ilvl w:val="0"/>
          <w:numId w:val="3"/>
        </w:numPr>
        <w:ind w:left="0" w:firstLine="480"/>
        <w:rPr>
          <w:rFonts w:hAnsi="Times New Roman" w:cs="Times New Roman"/>
        </w:rPr>
      </w:pPr>
      <w:r>
        <w:rPr>
          <w:rFonts w:hAnsi="Times New Roman" w:cs="Times New Roman"/>
        </w:rPr>
        <w:t>《黑龙江省水土保持规划（2015-2030年）》；</w:t>
      </w:r>
    </w:p>
    <w:p w14:paraId="08F9480A">
      <w:pPr>
        <w:numPr>
          <w:ilvl w:val="0"/>
          <w:numId w:val="3"/>
        </w:numPr>
        <w:ind w:left="0" w:firstLine="480"/>
        <w:rPr>
          <w:rFonts w:hAnsi="Times New Roman" w:cs="Times New Roman"/>
        </w:rPr>
      </w:pPr>
      <w:r>
        <w:rPr>
          <w:rFonts w:hAnsi="Times New Roman" w:cs="Times New Roman"/>
        </w:rPr>
        <w:t>《黑龙江省主体功能区规划》；</w:t>
      </w:r>
    </w:p>
    <w:p w14:paraId="3EC39F13">
      <w:pPr>
        <w:numPr>
          <w:ilvl w:val="0"/>
          <w:numId w:val="3"/>
        </w:numPr>
        <w:ind w:left="0" w:firstLine="480"/>
        <w:rPr>
          <w:rFonts w:hAnsi="Times New Roman" w:cs="Times New Roman"/>
        </w:rPr>
      </w:pPr>
      <w:r>
        <w:rPr>
          <w:rFonts w:hAnsi="Times New Roman" w:cs="Times New Roman"/>
        </w:rPr>
        <w:t>《黑龙江省生态功能区划》；</w:t>
      </w:r>
    </w:p>
    <w:p w14:paraId="01D8EFA3">
      <w:pPr>
        <w:numPr>
          <w:ilvl w:val="0"/>
          <w:numId w:val="3"/>
        </w:numPr>
        <w:ind w:left="0" w:firstLine="480"/>
        <w:rPr>
          <w:rFonts w:hAnsi="Times New Roman" w:cs="Times New Roman"/>
        </w:rPr>
      </w:pPr>
      <w:r>
        <w:rPr>
          <w:rFonts w:hAnsi="Times New Roman" w:cs="Times New Roman"/>
        </w:rPr>
        <w:t>《黑龙江省建设项目环境保护管理办法》（黑龙江省人民政府令第23号）；</w:t>
      </w:r>
    </w:p>
    <w:p w14:paraId="62B1CD8A">
      <w:pPr>
        <w:numPr>
          <w:ilvl w:val="0"/>
          <w:numId w:val="3"/>
        </w:numPr>
        <w:ind w:left="0" w:firstLine="480"/>
        <w:rPr>
          <w:rFonts w:hAnsi="Times New Roman" w:cs="Times New Roman"/>
        </w:rPr>
      </w:pPr>
      <w:r>
        <w:rPr>
          <w:rFonts w:hAnsi="Times New Roman" w:cs="Times New Roman"/>
        </w:rPr>
        <w:t>《</w:t>
      </w:r>
      <w:r>
        <w:rPr>
          <w:rFonts w:hint="eastAsia" w:hAnsi="Times New Roman" w:cs="Times New Roman"/>
        </w:rPr>
        <w:t>黑龙江省矿产资源总体规划（</w:t>
      </w:r>
      <w:r>
        <w:rPr>
          <w:rFonts w:hAnsi="Times New Roman" w:cs="Times New Roman"/>
        </w:rPr>
        <w:t xml:space="preserve">2021-2025 </w:t>
      </w:r>
      <w:r>
        <w:rPr>
          <w:rFonts w:hint="eastAsia" w:hAnsi="Times New Roman" w:cs="Times New Roman"/>
        </w:rPr>
        <w:t>年）</w:t>
      </w:r>
      <w:r>
        <w:rPr>
          <w:rFonts w:hAnsi="Times New Roman" w:cs="Times New Roman"/>
        </w:rPr>
        <w:t>》；</w:t>
      </w:r>
    </w:p>
    <w:p w14:paraId="2B49D69B">
      <w:pPr>
        <w:numPr>
          <w:ilvl w:val="0"/>
          <w:numId w:val="3"/>
        </w:numPr>
        <w:ind w:left="0" w:firstLine="480"/>
        <w:rPr>
          <w:rFonts w:hAnsi="Times New Roman" w:cs="Times New Roman"/>
        </w:rPr>
      </w:pPr>
      <w:r>
        <w:rPr>
          <w:rFonts w:hint="eastAsia" w:hAnsi="Times New Roman" w:cs="Times New Roman"/>
        </w:rPr>
        <w:t>《黑河市国土空间总体规划（</w:t>
      </w:r>
      <w:r>
        <w:rPr>
          <w:rFonts w:hAnsi="Times New Roman" w:cs="Times New Roman"/>
        </w:rPr>
        <w:t>2021</w:t>
      </w:r>
      <w:r>
        <w:rPr>
          <w:rFonts w:hint="eastAsia" w:hAnsi="Times New Roman" w:cs="Times New Roman"/>
        </w:rPr>
        <w:t>—</w:t>
      </w:r>
      <w:r>
        <w:rPr>
          <w:rFonts w:hAnsi="Times New Roman" w:cs="Times New Roman"/>
        </w:rPr>
        <w:t>2035</w:t>
      </w:r>
      <w:r>
        <w:rPr>
          <w:rFonts w:hint="eastAsia" w:hAnsi="Times New Roman" w:cs="Times New Roman"/>
        </w:rPr>
        <w:t>年）》；</w:t>
      </w:r>
    </w:p>
    <w:p w14:paraId="529E6BDF">
      <w:pPr>
        <w:numPr>
          <w:ilvl w:val="0"/>
          <w:numId w:val="3"/>
        </w:numPr>
        <w:ind w:left="0" w:firstLine="480"/>
        <w:rPr>
          <w:rFonts w:hAnsi="Times New Roman" w:cs="Times New Roman"/>
        </w:rPr>
      </w:pPr>
      <w:r>
        <w:rPr>
          <w:rFonts w:hAnsi="Times New Roman" w:cs="Times New Roman"/>
        </w:rPr>
        <w:t>《</w:t>
      </w:r>
      <w:r>
        <w:rPr>
          <w:rFonts w:hint="eastAsia" w:hAnsi="Times New Roman" w:cs="Times New Roman"/>
        </w:rPr>
        <w:t>嫩江市</w:t>
      </w:r>
      <w:r>
        <w:rPr>
          <w:rFonts w:hAnsi="Times New Roman" w:cs="Times New Roman"/>
        </w:rPr>
        <w:t>砂石土资源开发利用专项规划（20</w:t>
      </w:r>
      <w:r>
        <w:rPr>
          <w:rFonts w:hint="eastAsia" w:hAnsi="Times New Roman" w:cs="Times New Roman"/>
        </w:rPr>
        <w:t>21</w:t>
      </w:r>
      <w:r>
        <w:rPr>
          <w:rFonts w:hAnsi="Times New Roman" w:cs="Times New Roman"/>
        </w:rPr>
        <w:t>-2025年）》；</w:t>
      </w:r>
    </w:p>
    <w:p w14:paraId="3524443B">
      <w:pPr>
        <w:numPr>
          <w:ilvl w:val="0"/>
          <w:numId w:val="3"/>
        </w:numPr>
        <w:ind w:left="0" w:firstLine="480"/>
        <w:rPr>
          <w:rFonts w:hAnsi="Times New Roman" w:cs="Times New Roman"/>
        </w:rPr>
      </w:pPr>
      <w:r>
        <w:rPr>
          <w:rFonts w:hint="eastAsia" w:hAnsi="Times New Roman" w:cs="Times New Roman"/>
        </w:rPr>
        <w:t>《嫩江市水土保持规划（2019-2030年）》</w:t>
      </w:r>
      <w:r>
        <w:rPr>
          <w:rFonts w:hAnsi="Times New Roman" w:cs="Times New Roman"/>
        </w:rPr>
        <w:t>。</w:t>
      </w:r>
    </w:p>
    <w:p w14:paraId="5E092D70">
      <w:pPr>
        <w:pStyle w:val="4"/>
        <w:spacing w:before="180" w:after="120"/>
        <w:rPr>
          <w:rFonts w:hAnsi="Times New Roman" w:cs="Times New Roman"/>
        </w:rPr>
      </w:pPr>
      <w:r>
        <w:rPr>
          <w:rFonts w:hAnsi="Times New Roman" w:cs="Times New Roman"/>
        </w:rPr>
        <w:t>技术规范及其他</w:t>
      </w:r>
    </w:p>
    <w:p w14:paraId="7CEB0EEF">
      <w:pPr>
        <w:pStyle w:val="173"/>
        <w:numPr>
          <w:ilvl w:val="0"/>
          <w:numId w:val="4"/>
        </w:numPr>
        <w:ind w:firstLineChars="0"/>
        <w:rPr>
          <w:rFonts w:hAnsi="Times New Roman" w:cs="Times New Roman"/>
        </w:rPr>
      </w:pPr>
      <w:r>
        <w:rPr>
          <w:rFonts w:hAnsi="Times New Roman" w:cs="Times New Roman"/>
        </w:rPr>
        <w:t>《建设项目环境影响评价技术导则 总纲》（HJ2.1-2016）；</w:t>
      </w:r>
    </w:p>
    <w:p w14:paraId="20B0A48C">
      <w:pPr>
        <w:pStyle w:val="173"/>
        <w:numPr>
          <w:ilvl w:val="0"/>
          <w:numId w:val="4"/>
        </w:numPr>
        <w:ind w:firstLineChars="0"/>
        <w:rPr>
          <w:rFonts w:hAnsi="Times New Roman" w:cs="Times New Roman"/>
        </w:rPr>
      </w:pPr>
      <w:r>
        <w:rPr>
          <w:rFonts w:hAnsi="Times New Roman" w:cs="Times New Roman"/>
        </w:rPr>
        <w:t>《环境影响评价技术导则 大气环境》（HJ2.2-2018）；</w:t>
      </w:r>
    </w:p>
    <w:p w14:paraId="0B95CA1E">
      <w:pPr>
        <w:pStyle w:val="173"/>
        <w:numPr>
          <w:ilvl w:val="0"/>
          <w:numId w:val="4"/>
        </w:numPr>
        <w:ind w:firstLineChars="0"/>
        <w:rPr>
          <w:rFonts w:hAnsi="Times New Roman" w:cs="Times New Roman"/>
        </w:rPr>
      </w:pPr>
      <w:r>
        <w:rPr>
          <w:rFonts w:hAnsi="Times New Roman" w:cs="Times New Roman"/>
        </w:rPr>
        <w:t>《环境影响评价技术导则 地表水环境》（HJ2.3-2018）；</w:t>
      </w:r>
    </w:p>
    <w:p w14:paraId="02C3DE49">
      <w:pPr>
        <w:pStyle w:val="173"/>
        <w:numPr>
          <w:ilvl w:val="0"/>
          <w:numId w:val="4"/>
        </w:numPr>
        <w:ind w:firstLineChars="0"/>
        <w:rPr>
          <w:rFonts w:hAnsi="Times New Roman" w:cs="Times New Roman"/>
        </w:rPr>
      </w:pPr>
      <w:r>
        <w:rPr>
          <w:rFonts w:hAnsi="Times New Roman" w:cs="Times New Roman"/>
        </w:rPr>
        <w:t>《环境影响评价技术导则 地下水环境》（HJ610-2016）；</w:t>
      </w:r>
    </w:p>
    <w:p w14:paraId="5C4F742F">
      <w:pPr>
        <w:pStyle w:val="173"/>
        <w:numPr>
          <w:ilvl w:val="0"/>
          <w:numId w:val="4"/>
        </w:numPr>
        <w:ind w:firstLineChars="0"/>
        <w:rPr>
          <w:rFonts w:hAnsi="Times New Roman" w:cs="Times New Roman"/>
        </w:rPr>
      </w:pPr>
      <w:r>
        <w:rPr>
          <w:rFonts w:hAnsi="Times New Roman" w:cs="Times New Roman"/>
        </w:rPr>
        <w:t>《环境影响评价技术导则 生态影响》（HJ19-2022）；</w:t>
      </w:r>
    </w:p>
    <w:p w14:paraId="1A3FCA33">
      <w:pPr>
        <w:pStyle w:val="173"/>
        <w:numPr>
          <w:ilvl w:val="0"/>
          <w:numId w:val="4"/>
        </w:numPr>
        <w:ind w:firstLineChars="0"/>
        <w:rPr>
          <w:rFonts w:hAnsi="Times New Roman" w:cs="Times New Roman"/>
        </w:rPr>
      </w:pPr>
      <w:bookmarkStart w:id="77" w:name="bookmark77"/>
      <w:bookmarkEnd w:id="77"/>
      <w:r>
        <w:rPr>
          <w:rFonts w:hAnsi="Times New Roman" w:cs="Times New Roman"/>
        </w:rPr>
        <w:t>《环境影响评价技术导则 声环境》（HJ2.4-2021）；</w:t>
      </w:r>
    </w:p>
    <w:p w14:paraId="44CDE971">
      <w:pPr>
        <w:pStyle w:val="173"/>
        <w:numPr>
          <w:ilvl w:val="0"/>
          <w:numId w:val="4"/>
        </w:numPr>
        <w:ind w:firstLineChars="0"/>
        <w:rPr>
          <w:rFonts w:hAnsi="Times New Roman" w:cs="Times New Roman"/>
        </w:rPr>
      </w:pPr>
      <w:r>
        <w:rPr>
          <w:rFonts w:hAnsi="Times New Roman" w:cs="Times New Roman"/>
        </w:rPr>
        <w:t>《环境影响评价技术导则 土壤环境（试行）》（HJ964-2018）；</w:t>
      </w:r>
    </w:p>
    <w:p w14:paraId="25D3C27D">
      <w:pPr>
        <w:pStyle w:val="173"/>
        <w:numPr>
          <w:ilvl w:val="0"/>
          <w:numId w:val="4"/>
        </w:numPr>
        <w:ind w:firstLineChars="0"/>
        <w:rPr>
          <w:rFonts w:hAnsi="Times New Roman" w:cs="Times New Roman"/>
        </w:rPr>
      </w:pPr>
      <w:r>
        <w:rPr>
          <w:rFonts w:hAnsi="Times New Roman" w:cs="Times New Roman"/>
        </w:rPr>
        <w:t>《建设项目环境风险评价技术导则》（HJ169-2018）；</w:t>
      </w:r>
    </w:p>
    <w:p w14:paraId="7DAF052A">
      <w:pPr>
        <w:pStyle w:val="173"/>
        <w:numPr>
          <w:ilvl w:val="0"/>
          <w:numId w:val="4"/>
        </w:numPr>
        <w:ind w:firstLineChars="0"/>
        <w:rPr>
          <w:rFonts w:hAnsi="Times New Roman" w:cs="Times New Roman"/>
        </w:rPr>
      </w:pPr>
      <w:r>
        <w:rPr>
          <w:rFonts w:hAnsi="Times New Roman" w:cs="Times New Roman"/>
        </w:rPr>
        <w:t>《矿山生态环境保护与污染防治技术政策》（环发〔2005〕109号）；</w:t>
      </w:r>
    </w:p>
    <w:p w14:paraId="33E402BA">
      <w:pPr>
        <w:pStyle w:val="173"/>
        <w:numPr>
          <w:ilvl w:val="0"/>
          <w:numId w:val="4"/>
        </w:numPr>
        <w:ind w:firstLineChars="0"/>
        <w:rPr>
          <w:rFonts w:hAnsi="Times New Roman" w:cs="Times New Roman"/>
        </w:rPr>
      </w:pPr>
      <w:r>
        <w:rPr>
          <w:rFonts w:hAnsi="Times New Roman" w:cs="Times New Roman"/>
        </w:rPr>
        <w:t>《矿山生态环境保护与恢复治理技术规范（试行）》（HJ651-2013）；</w:t>
      </w:r>
    </w:p>
    <w:p w14:paraId="738296B5">
      <w:pPr>
        <w:pStyle w:val="173"/>
        <w:numPr>
          <w:ilvl w:val="0"/>
          <w:numId w:val="4"/>
        </w:numPr>
        <w:ind w:firstLineChars="0"/>
        <w:rPr>
          <w:rFonts w:hAnsi="Times New Roman" w:cs="Times New Roman"/>
        </w:rPr>
      </w:pPr>
      <w:r>
        <w:rPr>
          <w:rFonts w:hAnsi="Times New Roman" w:cs="Times New Roman"/>
        </w:rPr>
        <w:t>《一般工业固体废物贮存和填埋污染控制标准》（GB18599-2020）；</w:t>
      </w:r>
    </w:p>
    <w:p w14:paraId="70F5A9C1">
      <w:pPr>
        <w:pStyle w:val="173"/>
        <w:numPr>
          <w:ilvl w:val="0"/>
          <w:numId w:val="4"/>
        </w:numPr>
        <w:ind w:firstLineChars="0"/>
        <w:rPr>
          <w:rFonts w:hAnsi="Times New Roman" w:cs="Times New Roman"/>
        </w:rPr>
      </w:pPr>
      <w:r>
        <w:rPr>
          <w:rFonts w:hAnsi="Times New Roman" w:cs="Times New Roman"/>
        </w:rPr>
        <w:t>《生物多样性观测技术导则 陆生维管植物》（HJ 710.1-2014）；</w:t>
      </w:r>
    </w:p>
    <w:p w14:paraId="75C88488">
      <w:pPr>
        <w:pStyle w:val="173"/>
        <w:numPr>
          <w:ilvl w:val="0"/>
          <w:numId w:val="4"/>
        </w:numPr>
        <w:ind w:firstLineChars="0"/>
        <w:rPr>
          <w:rFonts w:hAnsi="Times New Roman" w:cs="Times New Roman"/>
        </w:rPr>
      </w:pPr>
      <w:r>
        <w:rPr>
          <w:rFonts w:hAnsi="Times New Roman" w:cs="Times New Roman"/>
        </w:rPr>
        <w:t>《生物多样性观测技术导则 陆生哺乳动物》（HJ 710.3-2014）；</w:t>
      </w:r>
    </w:p>
    <w:p w14:paraId="14851EDA">
      <w:pPr>
        <w:pStyle w:val="173"/>
        <w:numPr>
          <w:ilvl w:val="0"/>
          <w:numId w:val="4"/>
        </w:numPr>
        <w:ind w:firstLineChars="0"/>
        <w:rPr>
          <w:rFonts w:hAnsi="Times New Roman" w:cs="Times New Roman"/>
        </w:rPr>
      </w:pPr>
      <w:r>
        <w:rPr>
          <w:rFonts w:hAnsi="Times New Roman" w:cs="Times New Roman"/>
        </w:rPr>
        <w:t>《生物多样性观测技术导则 鸟类》（HJ 710.4-2014）；</w:t>
      </w:r>
    </w:p>
    <w:p w14:paraId="732E76C7">
      <w:pPr>
        <w:pStyle w:val="173"/>
        <w:numPr>
          <w:ilvl w:val="0"/>
          <w:numId w:val="4"/>
        </w:numPr>
        <w:ind w:firstLineChars="0"/>
        <w:rPr>
          <w:rFonts w:hAnsi="Times New Roman" w:cs="Times New Roman"/>
        </w:rPr>
      </w:pPr>
      <w:r>
        <w:rPr>
          <w:rFonts w:hAnsi="Times New Roman" w:cs="Times New Roman"/>
        </w:rPr>
        <w:t>《生物多样性观测技术导则 爬行动物》（HJ 710.5-2014）；</w:t>
      </w:r>
    </w:p>
    <w:p w14:paraId="5184EA57">
      <w:pPr>
        <w:pStyle w:val="173"/>
        <w:numPr>
          <w:ilvl w:val="0"/>
          <w:numId w:val="4"/>
        </w:numPr>
        <w:ind w:firstLineChars="0"/>
        <w:rPr>
          <w:rFonts w:hAnsi="Times New Roman" w:cs="Times New Roman"/>
        </w:rPr>
      </w:pPr>
      <w:r>
        <w:rPr>
          <w:rFonts w:hAnsi="Times New Roman" w:cs="Times New Roman"/>
        </w:rPr>
        <w:t>《生物多样性观测技术导则 两栖动物》（HJ 710.6-2014）；</w:t>
      </w:r>
    </w:p>
    <w:p w14:paraId="6253D220">
      <w:pPr>
        <w:pStyle w:val="173"/>
        <w:numPr>
          <w:ilvl w:val="0"/>
          <w:numId w:val="4"/>
        </w:numPr>
        <w:ind w:firstLineChars="0"/>
        <w:rPr>
          <w:rFonts w:hAnsi="Times New Roman" w:cs="Times New Roman"/>
        </w:rPr>
      </w:pPr>
      <w:r>
        <w:rPr>
          <w:rFonts w:hint="eastAsia" w:hAnsi="Times New Roman" w:cs="Times New Roman"/>
        </w:rPr>
        <w:t>《中国生物多样性红色名录-高等植物卷（2020）》（生态环境部 中国科学院）；</w:t>
      </w:r>
    </w:p>
    <w:p w14:paraId="406C0FD2">
      <w:pPr>
        <w:pStyle w:val="173"/>
        <w:numPr>
          <w:ilvl w:val="0"/>
          <w:numId w:val="4"/>
        </w:numPr>
        <w:ind w:firstLineChars="0"/>
        <w:rPr>
          <w:rFonts w:hAnsi="Times New Roman" w:cs="Times New Roman"/>
        </w:rPr>
      </w:pPr>
      <w:r>
        <w:rPr>
          <w:rFonts w:hint="eastAsia" w:hAnsi="Times New Roman" w:cs="Times New Roman"/>
        </w:rPr>
        <w:t>《中国生物多样性红色名录-脊椎动物卷（2020）》（生态环境部 中国科学院）；</w:t>
      </w:r>
    </w:p>
    <w:p w14:paraId="14EEC5F3">
      <w:pPr>
        <w:pStyle w:val="173"/>
        <w:numPr>
          <w:ilvl w:val="0"/>
          <w:numId w:val="4"/>
        </w:numPr>
        <w:ind w:firstLineChars="0"/>
        <w:rPr>
          <w:rFonts w:hAnsi="Times New Roman" w:cs="Times New Roman"/>
        </w:rPr>
      </w:pPr>
      <w:r>
        <w:rPr>
          <w:rFonts w:hint="eastAsia" w:hAnsi="Times New Roman" w:cs="Times New Roman"/>
        </w:rPr>
        <w:t>《非金属矿行业绿色矿山建设规范》（DZ/T0312-2018）；</w:t>
      </w:r>
    </w:p>
    <w:p w14:paraId="3CCC2219">
      <w:pPr>
        <w:pStyle w:val="173"/>
        <w:numPr>
          <w:ilvl w:val="0"/>
          <w:numId w:val="4"/>
        </w:numPr>
        <w:ind w:firstLineChars="0"/>
        <w:rPr>
          <w:rFonts w:hAnsi="Times New Roman" w:cs="Times New Roman"/>
        </w:rPr>
      </w:pPr>
      <w:r>
        <w:rPr>
          <w:rFonts w:hint="eastAsia" w:hAnsi="Times New Roman" w:cs="Times New Roman"/>
        </w:rPr>
        <w:t>《砂石行业绿色矿山建设规范》（DZ/T0316-2018）；</w:t>
      </w:r>
    </w:p>
    <w:p w14:paraId="0D2F4C2D">
      <w:pPr>
        <w:pStyle w:val="173"/>
        <w:numPr>
          <w:ilvl w:val="0"/>
          <w:numId w:val="4"/>
        </w:numPr>
        <w:ind w:firstLineChars="0"/>
        <w:rPr>
          <w:rFonts w:hAnsi="Times New Roman" w:cs="Times New Roman"/>
        </w:rPr>
      </w:pPr>
      <w:r>
        <w:rPr>
          <w:rFonts w:hint="eastAsia" w:hAnsi="Times New Roman" w:cs="Times New Roman"/>
        </w:rPr>
        <w:t>《关于进一步加强绿色矿山建设的通知》（自然资规[2024]1号）</w:t>
      </w:r>
      <w:r>
        <w:rPr>
          <w:rFonts w:hAnsi="Times New Roman" w:cs="Times New Roman"/>
        </w:rPr>
        <w:t>。</w:t>
      </w:r>
    </w:p>
    <w:p w14:paraId="0B5671D3">
      <w:pPr>
        <w:pStyle w:val="4"/>
        <w:spacing w:before="180" w:after="120"/>
        <w:rPr>
          <w:rFonts w:hAnsi="Times New Roman" w:cs="Times New Roman"/>
        </w:rPr>
      </w:pPr>
      <w:r>
        <w:rPr>
          <w:rFonts w:hAnsi="Times New Roman" w:cs="Times New Roman"/>
        </w:rPr>
        <w:t>项目相关文件</w:t>
      </w:r>
    </w:p>
    <w:p w14:paraId="544D3340">
      <w:pPr>
        <w:pStyle w:val="173"/>
        <w:numPr>
          <w:ilvl w:val="0"/>
          <w:numId w:val="5"/>
        </w:numPr>
        <w:ind w:left="0" w:firstLine="480"/>
        <w:rPr>
          <w:rFonts w:hAnsi="Times New Roman" w:cs="Times New Roman"/>
        </w:rPr>
      </w:pPr>
      <w:r>
        <w:rPr>
          <w:rFonts w:hAnsi="Times New Roman" w:cs="Times New Roman"/>
        </w:rPr>
        <w:t>《黑龙江省嫩江市塔溪乡马厂河采石场建筑用凝灰岩矿资源量核实报告》（哈尔滨向达规划设计有限公司）；</w:t>
      </w:r>
    </w:p>
    <w:p w14:paraId="03456865">
      <w:pPr>
        <w:pStyle w:val="173"/>
        <w:numPr>
          <w:ilvl w:val="0"/>
          <w:numId w:val="5"/>
        </w:numPr>
        <w:ind w:left="0" w:firstLine="480"/>
        <w:rPr>
          <w:rFonts w:hAnsi="Times New Roman" w:cs="Times New Roman"/>
        </w:rPr>
      </w:pPr>
      <w:r>
        <w:rPr>
          <w:rFonts w:hAnsi="Times New Roman" w:cs="Times New Roman"/>
        </w:rPr>
        <w:t>《黑龙江省嫩江市塔溪乡马厂河采石场建筑用凝灰岩矿产资源开发利用方案》（哈尔滨向达规划设计有限公司）；</w:t>
      </w:r>
    </w:p>
    <w:p w14:paraId="32D343D2">
      <w:pPr>
        <w:pStyle w:val="173"/>
        <w:numPr>
          <w:ilvl w:val="0"/>
          <w:numId w:val="5"/>
        </w:numPr>
        <w:ind w:left="0" w:firstLine="480"/>
        <w:rPr>
          <w:rFonts w:hAnsi="Times New Roman" w:cs="Times New Roman"/>
        </w:rPr>
      </w:pPr>
      <w:r>
        <w:rPr>
          <w:rFonts w:hAnsi="Times New Roman" w:cs="Times New Roman"/>
        </w:rPr>
        <w:t>《黑龙江省黑河市瑞峰建筑工程有限责任公司塔溪乡马厂河采石场建筑用凝灰岩矿矿区生态修复方案》（黑龙江众林勘察技术咨询有限公司）。</w:t>
      </w:r>
    </w:p>
    <w:bookmarkEnd w:id="65"/>
    <w:bookmarkEnd w:id="66"/>
    <w:bookmarkEnd w:id="67"/>
    <w:bookmarkEnd w:id="68"/>
    <w:bookmarkEnd w:id="69"/>
    <w:bookmarkEnd w:id="70"/>
    <w:bookmarkEnd w:id="71"/>
    <w:bookmarkEnd w:id="72"/>
    <w:bookmarkEnd w:id="73"/>
    <w:p w14:paraId="299DF12B">
      <w:pPr>
        <w:pStyle w:val="3"/>
        <w:spacing w:before="180" w:after="120"/>
        <w:rPr>
          <w:rFonts w:cs="Times New Roman"/>
          <w:bCs/>
        </w:rPr>
      </w:pPr>
      <w:bookmarkStart w:id="78" w:name="_Toc234927684"/>
      <w:bookmarkStart w:id="79" w:name="_Toc61013639"/>
      <w:bookmarkStart w:id="80" w:name="_Toc61013434"/>
      <w:bookmarkStart w:id="81" w:name="_Toc61013024"/>
      <w:bookmarkStart w:id="82" w:name="_Toc12649290"/>
      <w:bookmarkStart w:id="83" w:name="_Toc61012940"/>
      <w:bookmarkStart w:id="84" w:name="_Toc61012548"/>
      <w:bookmarkStart w:id="85" w:name="_Toc61013844"/>
      <w:bookmarkStart w:id="86" w:name="_Toc76395483"/>
      <w:bookmarkStart w:id="87" w:name="_Toc61013229"/>
      <w:r>
        <w:rPr>
          <w:rFonts w:cs="Times New Roman"/>
        </w:rPr>
        <w:t>环境影响识别与评价因子确定</w:t>
      </w:r>
      <w:bookmarkEnd w:id="78"/>
    </w:p>
    <w:p w14:paraId="1C045812">
      <w:pPr>
        <w:pStyle w:val="4"/>
        <w:spacing w:before="180" w:after="120"/>
        <w:rPr>
          <w:rFonts w:hAnsi="Times New Roman" w:cs="Times New Roman"/>
        </w:rPr>
      </w:pPr>
      <w:r>
        <w:rPr>
          <w:rFonts w:hAnsi="Times New Roman" w:cs="Times New Roman"/>
        </w:rPr>
        <w:t>环境影响因素</w:t>
      </w:r>
      <w:r>
        <w:rPr>
          <w:rFonts w:hAnsi="Times New Roman" w:cs="Times New Roman"/>
          <w:bCs/>
        </w:rPr>
        <w:t>识别</w:t>
      </w:r>
    </w:p>
    <w:p w14:paraId="7D4C21A8">
      <w:pPr>
        <w:ind w:firstLine="480"/>
        <w:rPr>
          <w:rFonts w:hAnsi="Times New Roman" w:cs="Times New Roman"/>
        </w:rPr>
      </w:pPr>
      <w:r>
        <w:rPr>
          <w:rFonts w:hAnsi="Times New Roman" w:cs="Times New Roman"/>
        </w:rPr>
        <w:t>本项目为凝灰岩矿开采加工项目，根据项目在生产过程中各工序污染物排放特点及采取的污染防治措施，结合项目所在地区自然生态环境，对可能受本项目建设影响的环境因素进行识别，以确定项目对环境影响的程度和评价重点。该项目将会对周围环境产生有利或不利的影响，环境</w:t>
      </w:r>
      <w:r>
        <w:rPr>
          <w:rFonts w:hint="eastAsia" w:hAnsi="Times New Roman" w:cs="Times New Roman"/>
        </w:rPr>
        <w:t>影响</w:t>
      </w:r>
      <w:r>
        <w:rPr>
          <w:rFonts w:hAnsi="Times New Roman" w:cs="Times New Roman"/>
        </w:rPr>
        <w:t>识别结果见表2.3-1。</w:t>
      </w:r>
    </w:p>
    <w:p w14:paraId="3A8B71D9">
      <w:pPr>
        <w:pStyle w:val="178"/>
      </w:pPr>
      <w:r>
        <w:rPr>
          <w:rFonts w:ascii="Times New Roman" w:hAnsi="Times New Roman"/>
        </w:rPr>
        <w:t>表2.3-1  建设项目环境要素识别矩阵</w:t>
      </w:r>
    </w:p>
    <w:tbl>
      <w:tblPr>
        <w:tblStyle w:val="36"/>
        <w:tblW w:w="8505"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
      <w:tblGrid>
        <w:gridCol w:w="659"/>
        <w:gridCol w:w="1670"/>
        <w:gridCol w:w="1029"/>
        <w:gridCol w:w="1029"/>
        <w:gridCol w:w="1029"/>
        <w:gridCol w:w="1029"/>
        <w:gridCol w:w="1030"/>
        <w:gridCol w:w="1030"/>
      </w:tblGrid>
      <w:tr w14:paraId="0FC7A77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tblHeader/>
          <w:jc w:val="center"/>
        </w:trPr>
        <w:tc>
          <w:tcPr>
            <w:tcW w:w="2488" w:type="dxa"/>
            <w:gridSpan w:val="2"/>
            <w:vMerge w:val="restart"/>
            <w:vAlign w:val="center"/>
          </w:tcPr>
          <w:p w14:paraId="48DA350C">
            <w:pPr>
              <w:pStyle w:val="179"/>
              <w:rPr>
                <w:rFonts w:cs="Times New Roman"/>
                <w:b/>
              </w:rPr>
            </w:pPr>
            <w:r>
              <w:rPr>
                <w:rFonts w:cs="Times New Roman"/>
                <w:b/>
              </w:rPr>
              <w:t>类别</w:t>
            </w:r>
          </w:p>
        </w:tc>
        <w:tc>
          <w:tcPr>
            <w:tcW w:w="6584" w:type="dxa"/>
            <w:gridSpan w:val="6"/>
            <w:vAlign w:val="center"/>
          </w:tcPr>
          <w:p w14:paraId="2331D136">
            <w:pPr>
              <w:pStyle w:val="179"/>
              <w:rPr>
                <w:rFonts w:cs="Times New Roman"/>
                <w:b/>
              </w:rPr>
            </w:pPr>
            <w:r>
              <w:rPr>
                <w:rFonts w:cs="Times New Roman"/>
                <w:b/>
              </w:rPr>
              <w:t>环境质量</w:t>
            </w:r>
          </w:p>
        </w:tc>
      </w:tr>
      <w:tr w14:paraId="4F21A16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tblHeader/>
          <w:jc w:val="center"/>
        </w:trPr>
        <w:tc>
          <w:tcPr>
            <w:tcW w:w="2488" w:type="dxa"/>
            <w:gridSpan w:val="2"/>
            <w:vMerge w:val="continue"/>
            <w:vAlign w:val="center"/>
          </w:tcPr>
          <w:p w14:paraId="0CC9ED53">
            <w:pPr>
              <w:pStyle w:val="179"/>
              <w:rPr>
                <w:rFonts w:cs="Times New Roman"/>
                <w:b/>
              </w:rPr>
            </w:pPr>
          </w:p>
        </w:tc>
        <w:tc>
          <w:tcPr>
            <w:tcW w:w="1097" w:type="dxa"/>
            <w:vAlign w:val="center"/>
          </w:tcPr>
          <w:p w14:paraId="6839CB47">
            <w:pPr>
              <w:pStyle w:val="179"/>
              <w:rPr>
                <w:rFonts w:cs="Times New Roman"/>
                <w:b/>
              </w:rPr>
            </w:pPr>
            <w:r>
              <w:rPr>
                <w:rFonts w:cs="Times New Roman"/>
                <w:b/>
              </w:rPr>
              <w:t>环境空气</w:t>
            </w:r>
          </w:p>
        </w:tc>
        <w:tc>
          <w:tcPr>
            <w:tcW w:w="1097" w:type="dxa"/>
            <w:vAlign w:val="center"/>
          </w:tcPr>
          <w:p w14:paraId="45DB8997">
            <w:pPr>
              <w:pStyle w:val="179"/>
              <w:rPr>
                <w:rFonts w:cs="Times New Roman"/>
                <w:b/>
              </w:rPr>
            </w:pPr>
            <w:r>
              <w:rPr>
                <w:rFonts w:cs="Times New Roman"/>
                <w:b/>
              </w:rPr>
              <w:t>地表水环境</w:t>
            </w:r>
          </w:p>
        </w:tc>
        <w:tc>
          <w:tcPr>
            <w:tcW w:w="1097" w:type="dxa"/>
            <w:vAlign w:val="center"/>
          </w:tcPr>
          <w:p w14:paraId="3E868263">
            <w:pPr>
              <w:pStyle w:val="179"/>
              <w:rPr>
                <w:rFonts w:cs="Times New Roman"/>
                <w:b/>
              </w:rPr>
            </w:pPr>
            <w:r>
              <w:rPr>
                <w:rFonts w:cs="Times New Roman"/>
                <w:b/>
              </w:rPr>
              <w:t>地下水环境</w:t>
            </w:r>
          </w:p>
        </w:tc>
        <w:tc>
          <w:tcPr>
            <w:tcW w:w="1097" w:type="dxa"/>
            <w:vAlign w:val="center"/>
          </w:tcPr>
          <w:p w14:paraId="73116C22">
            <w:pPr>
              <w:pStyle w:val="179"/>
              <w:rPr>
                <w:rFonts w:cs="Times New Roman"/>
                <w:b/>
              </w:rPr>
            </w:pPr>
            <w:r>
              <w:rPr>
                <w:rFonts w:cs="Times New Roman"/>
                <w:b/>
              </w:rPr>
              <w:t>声环境</w:t>
            </w:r>
          </w:p>
        </w:tc>
        <w:tc>
          <w:tcPr>
            <w:tcW w:w="1098" w:type="dxa"/>
            <w:vAlign w:val="center"/>
          </w:tcPr>
          <w:p w14:paraId="2289AF89">
            <w:pPr>
              <w:pStyle w:val="179"/>
              <w:rPr>
                <w:rFonts w:cs="Times New Roman"/>
                <w:b/>
              </w:rPr>
            </w:pPr>
            <w:r>
              <w:rPr>
                <w:rFonts w:cs="Times New Roman"/>
                <w:b/>
              </w:rPr>
              <w:t>土壤环境</w:t>
            </w:r>
          </w:p>
        </w:tc>
        <w:tc>
          <w:tcPr>
            <w:tcW w:w="1098" w:type="dxa"/>
            <w:vAlign w:val="center"/>
          </w:tcPr>
          <w:p w14:paraId="26268749">
            <w:pPr>
              <w:pStyle w:val="179"/>
              <w:rPr>
                <w:rFonts w:cs="Times New Roman"/>
                <w:b/>
              </w:rPr>
            </w:pPr>
            <w:r>
              <w:rPr>
                <w:rFonts w:hint="eastAsia" w:cs="Times New Roman"/>
                <w:b/>
              </w:rPr>
              <w:t>生态环境</w:t>
            </w:r>
          </w:p>
        </w:tc>
      </w:tr>
      <w:tr w14:paraId="5D39FCD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700" w:type="dxa"/>
            <w:vMerge w:val="restart"/>
            <w:vAlign w:val="center"/>
          </w:tcPr>
          <w:p w14:paraId="42F9EC14">
            <w:pPr>
              <w:pStyle w:val="179"/>
              <w:rPr>
                <w:rFonts w:cs="Times New Roman"/>
              </w:rPr>
            </w:pPr>
            <w:r>
              <w:rPr>
                <w:rFonts w:cs="Times New Roman"/>
              </w:rPr>
              <w:t>施工期</w:t>
            </w:r>
          </w:p>
        </w:tc>
        <w:tc>
          <w:tcPr>
            <w:tcW w:w="1788" w:type="dxa"/>
            <w:vAlign w:val="center"/>
          </w:tcPr>
          <w:p w14:paraId="7ADA27A8">
            <w:pPr>
              <w:pStyle w:val="179"/>
              <w:rPr>
                <w:rFonts w:cs="Times New Roman"/>
              </w:rPr>
            </w:pPr>
            <w:r>
              <w:rPr>
                <w:rFonts w:cs="Times New Roman"/>
              </w:rPr>
              <w:t>场地平整</w:t>
            </w:r>
          </w:p>
        </w:tc>
        <w:tc>
          <w:tcPr>
            <w:tcW w:w="1097" w:type="dxa"/>
            <w:vAlign w:val="center"/>
          </w:tcPr>
          <w:p w14:paraId="76333813">
            <w:pPr>
              <w:pStyle w:val="179"/>
            </w:pPr>
            <w:r>
              <w:t>-2</w:t>
            </w:r>
            <w:r>
              <w:rPr>
                <w:rFonts w:cs="Times New Roman"/>
              </w:rPr>
              <w:t xml:space="preserve"> D</w:t>
            </w:r>
          </w:p>
        </w:tc>
        <w:tc>
          <w:tcPr>
            <w:tcW w:w="1097" w:type="dxa"/>
            <w:vAlign w:val="center"/>
          </w:tcPr>
          <w:p w14:paraId="5166CFEB">
            <w:pPr>
              <w:pStyle w:val="179"/>
              <w:rPr>
                <w:rFonts w:cs="Times New Roman"/>
              </w:rPr>
            </w:pPr>
            <w:r>
              <w:rPr>
                <w:rFonts w:hint="eastAsia" w:cs="Times New Roman"/>
              </w:rPr>
              <w:t>/</w:t>
            </w:r>
          </w:p>
        </w:tc>
        <w:tc>
          <w:tcPr>
            <w:tcW w:w="1097" w:type="dxa"/>
            <w:vAlign w:val="center"/>
          </w:tcPr>
          <w:p w14:paraId="03563E6B">
            <w:pPr>
              <w:pStyle w:val="179"/>
              <w:rPr>
                <w:rFonts w:cs="Times New Roman"/>
              </w:rPr>
            </w:pPr>
            <w:r>
              <w:rPr>
                <w:rFonts w:hint="eastAsia" w:cs="Times New Roman"/>
              </w:rPr>
              <w:t>/</w:t>
            </w:r>
          </w:p>
        </w:tc>
        <w:tc>
          <w:tcPr>
            <w:tcW w:w="1097" w:type="dxa"/>
            <w:vAlign w:val="center"/>
          </w:tcPr>
          <w:p w14:paraId="303EADC1">
            <w:pPr>
              <w:pStyle w:val="179"/>
              <w:rPr>
                <w:rFonts w:cs="Times New Roman"/>
              </w:rPr>
            </w:pPr>
            <w:r>
              <w:rPr>
                <w:rFonts w:cs="Times New Roman"/>
              </w:rPr>
              <w:t>-2D</w:t>
            </w:r>
          </w:p>
        </w:tc>
        <w:tc>
          <w:tcPr>
            <w:tcW w:w="1098" w:type="dxa"/>
            <w:vAlign w:val="center"/>
          </w:tcPr>
          <w:p w14:paraId="3A55811D">
            <w:pPr>
              <w:pStyle w:val="179"/>
              <w:rPr>
                <w:rFonts w:cs="Times New Roman"/>
              </w:rPr>
            </w:pPr>
            <w:r>
              <w:rPr>
                <w:rFonts w:cs="Times New Roman"/>
              </w:rPr>
              <w:t>-1D</w:t>
            </w:r>
          </w:p>
        </w:tc>
        <w:tc>
          <w:tcPr>
            <w:tcW w:w="1098" w:type="dxa"/>
            <w:vAlign w:val="center"/>
          </w:tcPr>
          <w:p w14:paraId="238E8502">
            <w:pPr>
              <w:pStyle w:val="179"/>
              <w:rPr>
                <w:rFonts w:cs="Times New Roman"/>
              </w:rPr>
            </w:pPr>
            <w:r>
              <w:rPr>
                <w:rFonts w:cs="Times New Roman"/>
              </w:rPr>
              <w:t>-2 C</w:t>
            </w:r>
          </w:p>
        </w:tc>
      </w:tr>
      <w:tr w14:paraId="4BEACFF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700" w:type="dxa"/>
            <w:vMerge w:val="continue"/>
            <w:vAlign w:val="center"/>
          </w:tcPr>
          <w:p w14:paraId="0CD906A6">
            <w:pPr>
              <w:pStyle w:val="179"/>
              <w:rPr>
                <w:rFonts w:cs="Times New Roman"/>
              </w:rPr>
            </w:pPr>
          </w:p>
        </w:tc>
        <w:tc>
          <w:tcPr>
            <w:tcW w:w="1788" w:type="dxa"/>
            <w:vAlign w:val="center"/>
          </w:tcPr>
          <w:p w14:paraId="7DEEC108">
            <w:pPr>
              <w:pStyle w:val="179"/>
              <w:rPr>
                <w:rFonts w:cs="Times New Roman"/>
              </w:rPr>
            </w:pPr>
            <w:r>
              <w:rPr>
                <w:rFonts w:cs="Times New Roman"/>
              </w:rPr>
              <w:t>材料运输</w:t>
            </w:r>
          </w:p>
        </w:tc>
        <w:tc>
          <w:tcPr>
            <w:tcW w:w="1097" w:type="dxa"/>
            <w:vAlign w:val="center"/>
          </w:tcPr>
          <w:p w14:paraId="29FFB42D">
            <w:pPr>
              <w:pStyle w:val="179"/>
            </w:pPr>
            <w:r>
              <w:t>-2</w:t>
            </w:r>
            <w:r>
              <w:rPr>
                <w:rFonts w:cs="Times New Roman"/>
              </w:rPr>
              <w:t xml:space="preserve"> D</w:t>
            </w:r>
          </w:p>
        </w:tc>
        <w:tc>
          <w:tcPr>
            <w:tcW w:w="1097" w:type="dxa"/>
            <w:vAlign w:val="center"/>
          </w:tcPr>
          <w:p w14:paraId="342C62A8">
            <w:pPr>
              <w:pStyle w:val="179"/>
              <w:rPr>
                <w:rFonts w:cs="Times New Roman"/>
              </w:rPr>
            </w:pPr>
            <w:r>
              <w:rPr>
                <w:rFonts w:hint="eastAsia" w:cs="Times New Roman"/>
              </w:rPr>
              <w:t>/</w:t>
            </w:r>
          </w:p>
        </w:tc>
        <w:tc>
          <w:tcPr>
            <w:tcW w:w="1097" w:type="dxa"/>
            <w:vAlign w:val="center"/>
          </w:tcPr>
          <w:p w14:paraId="6663C0AC">
            <w:pPr>
              <w:pStyle w:val="179"/>
              <w:rPr>
                <w:rFonts w:cs="Times New Roman"/>
              </w:rPr>
            </w:pPr>
            <w:r>
              <w:rPr>
                <w:rFonts w:hint="eastAsia" w:cs="Times New Roman"/>
              </w:rPr>
              <w:t>/</w:t>
            </w:r>
          </w:p>
        </w:tc>
        <w:tc>
          <w:tcPr>
            <w:tcW w:w="1097" w:type="dxa"/>
            <w:vAlign w:val="center"/>
          </w:tcPr>
          <w:p w14:paraId="7A9F4230">
            <w:pPr>
              <w:pStyle w:val="179"/>
              <w:rPr>
                <w:rFonts w:cs="Times New Roman"/>
              </w:rPr>
            </w:pPr>
            <w:r>
              <w:rPr>
                <w:rFonts w:cs="Times New Roman"/>
              </w:rPr>
              <w:t>-2D</w:t>
            </w:r>
          </w:p>
        </w:tc>
        <w:tc>
          <w:tcPr>
            <w:tcW w:w="1098" w:type="dxa"/>
            <w:vAlign w:val="center"/>
          </w:tcPr>
          <w:p w14:paraId="2634614F">
            <w:pPr>
              <w:pStyle w:val="179"/>
              <w:rPr>
                <w:rFonts w:cs="Times New Roman"/>
              </w:rPr>
            </w:pPr>
            <w:r>
              <w:rPr>
                <w:rFonts w:hint="eastAsia" w:cs="Times New Roman"/>
              </w:rPr>
              <w:t>/</w:t>
            </w:r>
          </w:p>
        </w:tc>
        <w:tc>
          <w:tcPr>
            <w:tcW w:w="1098" w:type="dxa"/>
            <w:vAlign w:val="center"/>
          </w:tcPr>
          <w:p w14:paraId="3A28D8C8">
            <w:pPr>
              <w:pStyle w:val="179"/>
              <w:rPr>
                <w:rFonts w:cs="Times New Roman"/>
              </w:rPr>
            </w:pPr>
            <w:r>
              <w:rPr>
                <w:rFonts w:cs="Times New Roman"/>
              </w:rPr>
              <w:t>-2 D</w:t>
            </w:r>
          </w:p>
        </w:tc>
      </w:tr>
      <w:tr w14:paraId="4698568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700" w:type="dxa"/>
            <w:vMerge w:val="continue"/>
            <w:vAlign w:val="center"/>
          </w:tcPr>
          <w:p w14:paraId="430CB067">
            <w:pPr>
              <w:pStyle w:val="179"/>
              <w:rPr>
                <w:rFonts w:cs="Times New Roman"/>
              </w:rPr>
            </w:pPr>
          </w:p>
        </w:tc>
        <w:tc>
          <w:tcPr>
            <w:tcW w:w="1788" w:type="dxa"/>
            <w:vAlign w:val="center"/>
          </w:tcPr>
          <w:p w14:paraId="55E6AFCF">
            <w:pPr>
              <w:pStyle w:val="179"/>
              <w:rPr>
                <w:rFonts w:cs="Times New Roman"/>
              </w:rPr>
            </w:pPr>
            <w:r>
              <w:rPr>
                <w:rFonts w:hint="eastAsia" w:cs="Times New Roman"/>
              </w:rPr>
              <w:t>岩土</w:t>
            </w:r>
            <w:r>
              <w:rPr>
                <w:rFonts w:cs="Times New Roman"/>
              </w:rPr>
              <w:t>剥离</w:t>
            </w:r>
          </w:p>
        </w:tc>
        <w:tc>
          <w:tcPr>
            <w:tcW w:w="1097" w:type="dxa"/>
            <w:vAlign w:val="center"/>
          </w:tcPr>
          <w:p w14:paraId="27A9C0C2">
            <w:pPr>
              <w:pStyle w:val="179"/>
            </w:pPr>
            <w:r>
              <w:t>-2</w:t>
            </w:r>
            <w:r>
              <w:rPr>
                <w:rFonts w:cs="Times New Roman"/>
              </w:rPr>
              <w:t xml:space="preserve"> D</w:t>
            </w:r>
          </w:p>
        </w:tc>
        <w:tc>
          <w:tcPr>
            <w:tcW w:w="1097" w:type="dxa"/>
            <w:vAlign w:val="center"/>
          </w:tcPr>
          <w:p w14:paraId="13EEFAD6">
            <w:pPr>
              <w:pStyle w:val="179"/>
              <w:rPr>
                <w:rFonts w:cs="Times New Roman"/>
              </w:rPr>
            </w:pPr>
            <w:r>
              <w:rPr>
                <w:rFonts w:hint="eastAsia" w:cs="Times New Roman"/>
              </w:rPr>
              <w:t>/</w:t>
            </w:r>
          </w:p>
        </w:tc>
        <w:tc>
          <w:tcPr>
            <w:tcW w:w="1097" w:type="dxa"/>
            <w:vAlign w:val="center"/>
          </w:tcPr>
          <w:p w14:paraId="1F73BED7">
            <w:pPr>
              <w:pStyle w:val="179"/>
              <w:rPr>
                <w:rFonts w:cs="Times New Roman"/>
              </w:rPr>
            </w:pPr>
            <w:r>
              <w:rPr>
                <w:rFonts w:hint="eastAsia" w:cs="Times New Roman"/>
              </w:rPr>
              <w:t>/</w:t>
            </w:r>
          </w:p>
        </w:tc>
        <w:tc>
          <w:tcPr>
            <w:tcW w:w="1097" w:type="dxa"/>
            <w:vAlign w:val="center"/>
          </w:tcPr>
          <w:p w14:paraId="37252783">
            <w:pPr>
              <w:pStyle w:val="179"/>
              <w:rPr>
                <w:rFonts w:cs="Times New Roman"/>
              </w:rPr>
            </w:pPr>
            <w:r>
              <w:rPr>
                <w:rFonts w:cs="Times New Roman"/>
              </w:rPr>
              <w:t>-2D</w:t>
            </w:r>
          </w:p>
        </w:tc>
        <w:tc>
          <w:tcPr>
            <w:tcW w:w="1098" w:type="dxa"/>
            <w:vAlign w:val="center"/>
          </w:tcPr>
          <w:p w14:paraId="3C614A00">
            <w:pPr>
              <w:pStyle w:val="179"/>
              <w:rPr>
                <w:rFonts w:cs="Times New Roman"/>
              </w:rPr>
            </w:pPr>
            <w:r>
              <w:rPr>
                <w:rFonts w:cs="Times New Roman"/>
              </w:rPr>
              <w:t>-1D</w:t>
            </w:r>
          </w:p>
        </w:tc>
        <w:tc>
          <w:tcPr>
            <w:tcW w:w="1098" w:type="dxa"/>
            <w:vAlign w:val="center"/>
          </w:tcPr>
          <w:p w14:paraId="47D2A9A8">
            <w:pPr>
              <w:pStyle w:val="179"/>
              <w:rPr>
                <w:rFonts w:cs="Times New Roman"/>
              </w:rPr>
            </w:pPr>
            <w:r>
              <w:rPr>
                <w:rFonts w:cs="Times New Roman"/>
              </w:rPr>
              <w:t>-2 C</w:t>
            </w:r>
          </w:p>
        </w:tc>
      </w:tr>
      <w:tr w14:paraId="1FA15FB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700" w:type="dxa"/>
            <w:vMerge w:val="continue"/>
            <w:vAlign w:val="center"/>
          </w:tcPr>
          <w:p w14:paraId="2682D509">
            <w:pPr>
              <w:pStyle w:val="179"/>
              <w:rPr>
                <w:rFonts w:cs="Times New Roman"/>
              </w:rPr>
            </w:pPr>
          </w:p>
        </w:tc>
        <w:tc>
          <w:tcPr>
            <w:tcW w:w="1788" w:type="dxa"/>
            <w:vAlign w:val="center"/>
          </w:tcPr>
          <w:p w14:paraId="0CF93635">
            <w:pPr>
              <w:pStyle w:val="179"/>
              <w:rPr>
                <w:rFonts w:cs="Times New Roman"/>
              </w:rPr>
            </w:pPr>
            <w:r>
              <w:rPr>
                <w:rFonts w:hint="eastAsia" w:cs="Times New Roman"/>
              </w:rPr>
              <w:t>施工</w:t>
            </w:r>
            <w:r>
              <w:rPr>
                <w:rFonts w:cs="Times New Roman"/>
              </w:rPr>
              <w:t>作业</w:t>
            </w:r>
          </w:p>
        </w:tc>
        <w:tc>
          <w:tcPr>
            <w:tcW w:w="1097" w:type="dxa"/>
            <w:vAlign w:val="center"/>
          </w:tcPr>
          <w:p w14:paraId="64172913">
            <w:pPr>
              <w:pStyle w:val="179"/>
              <w:rPr>
                <w:rFonts w:cs="Times New Roman"/>
              </w:rPr>
            </w:pPr>
            <w:r>
              <w:rPr>
                <w:rFonts w:hint="eastAsia" w:cs="Times New Roman"/>
              </w:rPr>
              <w:t>/</w:t>
            </w:r>
          </w:p>
        </w:tc>
        <w:tc>
          <w:tcPr>
            <w:tcW w:w="1097" w:type="dxa"/>
            <w:vAlign w:val="center"/>
          </w:tcPr>
          <w:p w14:paraId="79BB7D22">
            <w:pPr>
              <w:pStyle w:val="179"/>
              <w:rPr>
                <w:rFonts w:cs="Times New Roman"/>
              </w:rPr>
            </w:pPr>
            <w:r>
              <w:rPr>
                <w:rFonts w:hint="eastAsia" w:cs="Times New Roman"/>
              </w:rPr>
              <w:t>-1D</w:t>
            </w:r>
          </w:p>
        </w:tc>
        <w:tc>
          <w:tcPr>
            <w:tcW w:w="1097" w:type="dxa"/>
            <w:vAlign w:val="center"/>
          </w:tcPr>
          <w:p w14:paraId="7B3A806F">
            <w:pPr>
              <w:pStyle w:val="179"/>
              <w:rPr>
                <w:rFonts w:cs="Times New Roman"/>
              </w:rPr>
            </w:pPr>
            <w:r>
              <w:rPr>
                <w:rFonts w:hint="eastAsia" w:cs="Times New Roman"/>
              </w:rPr>
              <w:t>/</w:t>
            </w:r>
          </w:p>
        </w:tc>
        <w:tc>
          <w:tcPr>
            <w:tcW w:w="1097" w:type="dxa"/>
            <w:vAlign w:val="center"/>
          </w:tcPr>
          <w:p w14:paraId="0AE22F53">
            <w:pPr>
              <w:pStyle w:val="179"/>
              <w:rPr>
                <w:rFonts w:cs="Times New Roman"/>
              </w:rPr>
            </w:pPr>
            <w:r>
              <w:rPr>
                <w:rFonts w:cs="Times New Roman"/>
              </w:rPr>
              <w:t>-1D</w:t>
            </w:r>
          </w:p>
        </w:tc>
        <w:tc>
          <w:tcPr>
            <w:tcW w:w="1098" w:type="dxa"/>
            <w:vAlign w:val="center"/>
          </w:tcPr>
          <w:p w14:paraId="322BCB17">
            <w:pPr>
              <w:pStyle w:val="179"/>
              <w:rPr>
                <w:rFonts w:cs="Times New Roman"/>
              </w:rPr>
            </w:pPr>
            <w:r>
              <w:rPr>
                <w:rFonts w:hint="eastAsia" w:cs="Times New Roman"/>
              </w:rPr>
              <w:t>/</w:t>
            </w:r>
          </w:p>
        </w:tc>
        <w:tc>
          <w:tcPr>
            <w:tcW w:w="1098" w:type="dxa"/>
            <w:vAlign w:val="center"/>
          </w:tcPr>
          <w:p w14:paraId="111BB1BD">
            <w:pPr>
              <w:pStyle w:val="179"/>
              <w:rPr>
                <w:rFonts w:cs="Times New Roman"/>
              </w:rPr>
            </w:pPr>
            <w:r>
              <w:rPr>
                <w:rFonts w:cs="Times New Roman"/>
              </w:rPr>
              <w:t>-1 D</w:t>
            </w:r>
          </w:p>
        </w:tc>
      </w:tr>
      <w:tr w14:paraId="36B2C6D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700" w:type="dxa"/>
            <w:vMerge w:val="restart"/>
            <w:vAlign w:val="center"/>
          </w:tcPr>
          <w:p w14:paraId="35FA0A34">
            <w:pPr>
              <w:pStyle w:val="179"/>
              <w:rPr>
                <w:rFonts w:cs="Times New Roman"/>
              </w:rPr>
            </w:pPr>
            <w:r>
              <w:rPr>
                <w:rFonts w:cs="Times New Roman"/>
              </w:rPr>
              <w:t>营运期</w:t>
            </w:r>
          </w:p>
        </w:tc>
        <w:tc>
          <w:tcPr>
            <w:tcW w:w="1788" w:type="dxa"/>
            <w:vAlign w:val="center"/>
          </w:tcPr>
          <w:p w14:paraId="6189BD29">
            <w:pPr>
              <w:pStyle w:val="179"/>
              <w:rPr>
                <w:rFonts w:cs="Times New Roman"/>
              </w:rPr>
            </w:pPr>
            <w:r>
              <w:rPr>
                <w:rFonts w:cs="Times New Roman"/>
              </w:rPr>
              <w:t>矿山开采</w:t>
            </w:r>
          </w:p>
        </w:tc>
        <w:tc>
          <w:tcPr>
            <w:tcW w:w="1097" w:type="dxa"/>
            <w:vAlign w:val="center"/>
          </w:tcPr>
          <w:p w14:paraId="11C416A7">
            <w:pPr>
              <w:pStyle w:val="179"/>
              <w:rPr>
                <w:rFonts w:cs="Times New Roman"/>
              </w:rPr>
            </w:pPr>
            <w:r>
              <w:rPr>
                <w:rFonts w:cs="Times New Roman"/>
              </w:rPr>
              <w:t>-2C</w:t>
            </w:r>
          </w:p>
        </w:tc>
        <w:tc>
          <w:tcPr>
            <w:tcW w:w="1097" w:type="dxa"/>
            <w:vAlign w:val="center"/>
          </w:tcPr>
          <w:p w14:paraId="1510A9C9">
            <w:pPr>
              <w:pStyle w:val="179"/>
              <w:rPr>
                <w:rFonts w:cs="Times New Roman"/>
              </w:rPr>
            </w:pPr>
            <w:r>
              <w:rPr>
                <w:rFonts w:hint="eastAsia" w:cs="Times New Roman"/>
              </w:rPr>
              <w:t>/</w:t>
            </w:r>
          </w:p>
        </w:tc>
        <w:tc>
          <w:tcPr>
            <w:tcW w:w="1097" w:type="dxa"/>
            <w:vAlign w:val="center"/>
          </w:tcPr>
          <w:p w14:paraId="015B6A28">
            <w:pPr>
              <w:pStyle w:val="179"/>
              <w:rPr>
                <w:rFonts w:cs="Times New Roman"/>
              </w:rPr>
            </w:pPr>
            <w:r>
              <w:rPr>
                <w:rFonts w:cs="Times New Roman"/>
              </w:rPr>
              <w:t>-1C</w:t>
            </w:r>
          </w:p>
        </w:tc>
        <w:tc>
          <w:tcPr>
            <w:tcW w:w="1097" w:type="dxa"/>
            <w:vAlign w:val="center"/>
          </w:tcPr>
          <w:p w14:paraId="04FDF7DB">
            <w:pPr>
              <w:pStyle w:val="179"/>
              <w:rPr>
                <w:rFonts w:cs="Times New Roman"/>
              </w:rPr>
            </w:pPr>
            <w:r>
              <w:rPr>
                <w:rFonts w:cs="Times New Roman"/>
              </w:rPr>
              <w:t>-2C</w:t>
            </w:r>
          </w:p>
        </w:tc>
        <w:tc>
          <w:tcPr>
            <w:tcW w:w="1098" w:type="dxa"/>
            <w:vAlign w:val="center"/>
          </w:tcPr>
          <w:p w14:paraId="7EDE2F28">
            <w:pPr>
              <w:pStyle w:val="179"/>
              <w:rPr>
                <w:rFonts w:cs="Times New Roman"/>
              </w:rPr>
            </w:pPr>
            <w:r>
              <w:rPr>
                <w:rFonts w:cs="Times New Roman"/>
              </w:rPr>
              <w:t>-1C</w:t>
            </w:r>
          </w:p>
        </w:tc>
        <w:tc>
          <w:tcPr>
            <w:tcW w:w="1098" w:type="dxa"/>
            <w:vAlign w:val="center"/>
          </w:tcPr>
          <w:p w14:paraId="4B3DD3B5">
            <w:pPr>
              <w:pStyle w:val="179"/>
              <w:rPr>
                <w:rFonts w:cs="Times New Roman"/>
              </w:rPr>
            </w:pPr>
            <w:r>
              <w:rPr>
                <w:rFonts w:cs="Times New Roman"/>
              </w:rPr>
              <w:t>-2 C</w:t>
            </w:r>
          </w:p>
        </w:tc>
      </w:tr>
      <w:tr w14:paraId="6648516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700" w:type="dxa"/>
            <w:vMerge w:val="continue"/>
            <w:vAlign w:val="center"/>
          </w:tcPr>
          <w:p w14:paraId="2A8FAC16">
            <w:pPr>
              <w:pStyle w:val="179"/>
              <w:rPr>
                <w:rFonts w:cs="Times New Roman"/>
              </w:rPr>
            </w:pPr>
          </w:p>
        </w:tc>
        <w:tc>
          <w:tcPr>
            <w:tcW w:w="1788" w:type="dxa"/>
            <w:vAlign w:val="center"/>
          </w:tcPr>
          <w:p w14:paraId="67FC14F2">
            <w:pPr>
              <w:pStyle w:val="179"/>
              <w:rPr>
                <w:rFonts w:cs="Times New Roman"/>
              </w:rPr>
            </w:pPr>
            <w:r>
              <w:rPr>
                <w:rFonts w:cs="Times New Roman"/>
              </w:rPr>
              <w:t>矿石运输</w:t>
            </w:r>
          </w:p>
        </w:tc>
        <w:tc>
          <w:tcPr>
            <w:tcW w:w="1097" w:type="dxa"/>
            <w:vAlign w:val="center"/>
          </w:tcPr>
          <w:p w14:paraId="271B3F8D">
            <w:pPr>
              <w:pStyle w:val="179"/>
              <w:rPr>
                <w:rFonts w:cs="Times New Roman"/>
              </w:rPr>
            </w:pPr>
            <w:r>
              <w:rPr>
                <w:rFonts w:cs="Times New Roman"/>
              </w:rPr>
              <w:t>-2C</w:t>
            </w:r>
          </w:p>
        </w:tc>
        <w:tc>
          <w:tcPr>
            <w:tcW w:w="1097" w:type="dxa"/>
            <w:vAlign w:val="center"/>
          </w:tcPr>
          <w:p w14:paraId="618A6107">
            <w:pPr>
              <w:pStyle w:val="179"/>
              <w:rPr>
                <w:rFonts w:cs="Times New Roman"/>
              </w:rPr>
            </w:pPr>
            <w:r>
              <w:rPr>
                <w:rFonts w:hint="eastAsia" w:cs="Times New Roman"/>
              </w:rPr>
              <w:t>/</w:t>
            </w:r>
          </w:p>
        </w:tc>
        <w:tc>
          <w:tcPr>
            <w:tcW w:w="1097" w:type="dxa"/>
            <w:vAlign w:val="center"/>
          </w:tcPr>
          <w:p w14:paraId="6D0AC109">
            <w:pPr>
              <w:pStyle w:val="179"/>
              <w:rPr>
                <w:rFonts w:cs="Times New Roman"/>
              </w:rPr>
            </w:pPr>
            <w:r>
              <w:rPr>
                <w:rFonts w:hint="eastAsia" w:cs="Times New Roman"/>
              </w:rPr>
              <w:t>/</w:t>
            </w:r>
          </w:p>
        </w:tc>
        <w:tc>
          <w:tcPr>
            <w:tcW w:w="1097" w:type="dxa"/>
            <w:vAlign w:val="center"/>
          </w:tcPr>
          <w:p w14:paraId="709D0DAF">
            <w:pPr>
              <w:pStyle w:val="179"/>
              <w:rPr>
                <w:rFonts w:cs="Times New Roman"/>
              </w:rPr>
            </w:pPr>
            <w:r>
              <w:rPr>
                <w:rFonts w:cs="Times New Roman"/>
              </w:rPr>
              <w:t>-2C</w:t>
            </w:r>
          </w:p>
        </w:tc>
        <w:tc>
          <w:tcPr>
            <w:tcW w:w="1098" w:type="dxa"/>
            <w:vAlign w:val="center"/>
          </w:tcPr>
          <w:p w14:paraId="75A2FD25">
            <w:pPr>
              <w:pStyle w:val="179"/>
              <w:rPr>
                <w:rFonts w:cs="Times New Roman"/>
              </w:rPr>
            </w:pPr>
            <w:r>
              <w:rPr>
                <w:rFonts w:hint="eastAsia" w:cs="Times New Roman"/>
              </w:rPr>
              <w:t>/</w:t>
            </w:r>
          </w:p>
        </w:tc>
        <w:tc>
          <w:tcPr>
            <w:tcW w:w="1098" w:type="dxa"/>
            <w:vAlign w:val="center"/>
          </w:tcPr>
          <w:p w14:paraId="1121046C">
            <w:pPr>
              <w:pStyle w:val="179"/>
              <w:rPr>
                <w:rFonts w:cs="Times New Roman"/>
              </w:rPr>
            </w:pPr>
            <w:r>
              <w:rPr>
                <w:rFonts w:cs="Times New Roman"/>
              </w:rPr>
              <w:t>-1 C</w:t>
            </w:r>
          </w:p>
        </w:tc>
      </w:tr>
      <w:tr w14:paraId="7376072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700" w:type="dxa"/>
            <w:vMerge w:val="continue"/>
            <w:vAlign w:val="center"/>
          </w:tcPr>
          <w:p w14:paraId="7B3E89D0">
            <w:pPr>
              <w:pStyle w:val="179"/>
              <w:rPr>
                <w:rFonts w:cs="Times New Roman"/>
              </w:rPr>
            </w:pPr>
          </w:p>
        </w:tc>
        <w:tc>
          <w:tcPr>
            <w:tcW w:w="1788" w:type="dxa"/>
            <w:vAlign w:val="center"/>
          </w:tcPr>
          <w:p w14:paraId="43B267DC">
            <w:pPr>
              <w:pStyle w:val="179"/>
              <w:rPr>
                <w:rFonts w:cs="Times New Roman"/>
              </w:rPr>
            </w:pPr>
            <w:r>
              <w:rPr>
                <w:rFonts w:hint="eastAsia" w:cs="Times New Roman"/>
              </w:rPr>
              <w:t>初期</w:t>
            </w:r>
            <w:r>
              <w:rPr>
                <w:rFonts w:cs="Times New Roman"/>
              </w:rPr>
              <w:t>雨水</w:t>
            </w:r>
          </w:p>
        </w:tc>
        <w:tc>
          <w:tcPr>
            <w:tcW w:w="1097" w:type="dxa"/>
            <w:vAlign w:val="center"/>
          </w:tcPr>
          <w:p w14:paraId="57E814E2">
            <w:pPr>
              <w:pStyle w:val="179"/>
              <w:rPr>
                <w:rFonts w:cs="Times New Roman"/>
              </w:rPr>
            </w:pPr>
            <w:r>
              <w:rPr>
                <w:rFonts w:hint="eastAsia" w:cs="Times New Roman"/>
              </w:rPr>
              <w:t>/</w:t>
            </w:r>
          </w:p>
        </w:tc>
        <w:tc>
          <w:tcPr>
            <w:tcW w:w="1097" w:type="dxa"/>
            <w:vAlign w:val="center"/>
          </w:tcPr>
          <w:p w14:paraId="06970A3D">
            <w:pPr>
              <w:pStyle w:val="179"/>
              <w:rPr>
                <w:rFonts w:cs="Times New Roman"/>
              </w:rPr>
            </w:pPr>
            <w:r>
              <w:rPr>
                <w:rFonts w:cs="Times New Roman"/>
              </w:rPr>
              <w:t>-1C</w:t>
            </w:r>
          </w:p>
        </w:tc>
        <w:tc>
          <w:tcPr>
            <w:tcW w:w="1097" w:type="dxa"/>
            <w:vAlign w:val="center"/>
          </w:tcPr>
          <w:p w14:paraId="4827BD5B">
            <w:pPr>
              <w:pStyle w:val="179"/>
              <w:rPr>
                <w:rFonts w:cs="Times New Roman"/>
              </w:rPr>
            </w:pPr>
            <w:r>
              <w:rPr>
                <w:rFonts w:hint="eastAsia" w:cs="Times New Roman"/>
              </w:rPr>
              <w:t>/</w:t>
            </w:r>
          </w:p>
        </w:tc>
        <w:tc>
          <w:tcPr>
            <w:tcW w:w="1097" w:type="dxa"/>
            <w:vAlign w:val="center"/>
          </w:tcPr>
          <w:p w14:paraId="634014BE">
            <w:pPr>
              <w:pStyle w:val="179"/>
              <w:rPr>
                <w:rFonts w:cs="Times New Roman"/>
              </w:rPr>
            </w:pPr>
            <w:r>
              <w:rPr>
                <w:rFonts w:hint="eastAsia" w:cs="Times New Roman"/>
              </w:rPr>
              <w:t>/</w:t>
            </w:r>
          </w:p>
        </w:tc>
        <w:tc>
          <w:tcPr>
            <w:tcW w:w="1098" w:type="dxa"/>
            <w:vAlign w:val="center"/>
          </w:tcPr>
          <w:p w14:paraId="7E551002">
            <w:pPr>
              <w:pStyle w:val="179"/>
              <w:rPr>
                <w:rFonts w:cs="Times New Roman"/>
              </w:rPr>
            </w:pPr>
            <w:r>
              <w:rPr>
                <w:rFonts w:hint="eastAsia" w:cs="Times New Roman"/>
              </w:rPr>
              <w:t>/</w:t>
            </w:r>
          </w:p>
        </w:tc>
        <w:tc>
          <w:tcPr>
            <w:tcW w:w="1098" w:type="dxa"/>
            <w:vAlign w:val="center"/>
          </w:tcPr>
          <w:p w14:paraId="17F2B5A1">
            <w:pPr>
              <w:pStyle w:val="179"/>
              <w:rPr>
                <w:rFonts w:cs="Times New Roman"/>
              </w:rPr>
            </w:pPr>
            <w:r>
              <w:rPr>
                <w:rFonts w:hint="eastAsia" w:cs="Times New Roman"/>
              </w:rPr>
              <w:t>/</w:t>
            </w:r>
          </w:p>
        </w:tc>
      </w:tr>
      <w:tr w14:paraId="0C48DED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700" w:type="dxa"/>
            <w:vMerge w:val="continue"/>
            <w:vAlign w:val="center"/>
          </w:tcPr>
          <w:p w14:paraId="323F871B">
            <w:pPr>
              <w:pStyle w:val="179"/>
              <w:rPr>
                <w:rFonts w:cs="Times New Roman"/>
              </w:rPr>
            </w:pPr>
          </w:p>
        </w:tc>
        <w:tc>
          <w:tcPr>
            <w:tcW w:w="1788" w:type="dxa"/>
            <w:vAlign w:val="center"/>
          </w:tcPr>
          <w:p w14:paraId="512A1320">
            <w:pPr>
              <w:pStyle w:val="179"/>
              <w:rPr>
                <w:rFonts w:cs="Times New Roman"/>
              </w:rPr>
            </w:pPr>
            <w:r>
              <w:rPr>
                <w:rFonts w:hint="eastAsia" w:cs="Times New Roman"/>
              </w:rPr>
              <w:t>生活</w:t>
            </w:r>
            <w:r>
              <w:rPr>
                <w:rFonts w:cs="Times New Roman"/>
              </w:rPr>
              <w:t>污水</w:t>
            </w:r>
          </w:p>
        </w:tc>
        <w:tc>
          <w:tcPr>
            <w:tcW w:w="1097" w:type="dxa"/>
            <w:vAlign w:val="center"/>
          </w:tcPr>
          <w:p w14:paraId="3FA4CC16">
            <w:pPr>
              <w:pStyle w:val="179"/>
              <w:rPr>
                <w:rFonts w:cs="Times New Roman"/>
              </w:rPr>
            </w:pPr>
            <w:r>
              <w:rPr>
                <w:rFonts w:hint="eastAsia" w:cs="Times New Roman"/>
              </w:rPr>
              <w:t>/</w:t>
            </w:r>
          </w:p>
        </w:tc>
        <w:tc>
          <w:tcPr>
            <w:tcW w:w="1097" w:type="dxa"/>
            <w:vAlign w:val="center"/>
          </w:tcPr>
          <w:p w14:paraId="4F494F95">
            <w:pPr>
              <w:pStyle w:val="179"/>
              <w:rPr>
                <w:rFonts w:cs="Times New Roman"/>
              </w:rPr>
            </w:pPr>
            <w:r>
              <w:rPr>
                <w:rFonts w:cs="Times New Roman"/>
              </w:rPr>
              <w:t>-1C</w:t>
            </w:r>
          </w:p>
        </w:tc>
        <w:tc>
          <w:tcPr>
            <w:tcW w:w="1097" w:type="dxa"/>
            <w:vAlign w:val="center"/>
          </w:tcPr>
          <w:p w14:paraId="4D4A1987">
            <w:pPr>
              <w:pStyle w:val="179"/>
              <w:rPr>
                <w:rFonts w:cs="Times New Roman"/>
              </w:rPr>
            </w:pPr>
            <w:r>
              <w:rPr>
                <w:rFonts w:hint="eastAsia" w:cs="Times New Roman"/>
              </w:rPr>
              <w:t>/</w:t>
            </w:r>
          </w:p>
        </w:tc>
        <w:tc>
          <w:tcPr>
            <w:tcW w:w="1097" w:type="dxa"/>
            <w:vAlign w:val="center"/>
          </w:tcPr>
          <w:p w14:paraId="1CF54FEB">
            <w:pPr>
              <w:pStyle w:val="179"/>
              <w:rPr>
                <w:rFonts w:cs="Times New Roman"/>
              </w:rPr>
            </w:pPr>
            <w:r>
              <w:rPr>
                <w:rFonts w:hint="eastAsia" w:cs="Times New Roman"/>
              </w:rPr>
              <w:t>/</w:t>
            </w:r>
          </w:p>
        </w:tc>
        <w:tc>
          <w:tcPr>
            <w:tcW w:w="1098" w:type="dxa"/>
            <w:vAlign w:val="center"/>
          </w:tcPr>
          <w:p w14:paraId="4704B7D2">
            <w:pPr>
              <w:pStyle w:val="179"/>
              <w:rPr>
                <w:rFonts w:cs="Times New Roman"/>
              </w:rPr>
            </w:pPr>
            <w:r>
              <w:rPr>
                <w:rFonts w:hint="eastAsia" w:cs="Times New Roman"/>
              </w:rPr>
              <w:t>/</w:t>
            </w:r>
          </w:p>
        </w:tc>
        <w:tc>
          <w:tcPr>
            <w:tcW w:w="1098" w:type="dxa"/>
            <w:vAlign w:val="center"/>
          </w:tcPr>
          <w:p w14:paraId="419E01A2">
            <w:pPr>
              <w:pStyle w:val="179"/>
              <w:rPr>
                <w:rFonts w:cs="Times New Roman"/>
              </w:rPr>
            </w:pPr>
            <w:r>
              <w:rPr>
                <w:rFonts w:hint="eastAsia" w:cs="Times New Roman"/>
              </w:rPr>
              <w:t>/</w:t>
            </w:r>
          </w:p>
        </w:tc>
      </w:tr>
      <w:tr w14:paraId="7D5AF83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700" w:type="dxa"/>
            <w:vMerge w:val="restart"/>
            <w:vAlign w:val="center"/>
          </w:tcPr>
          <w:p w14:paraId="6ADD2FE8">
            <w:pPr>
              <w:pStyle w:val="179"/>
              <w:rPr>
                <w:rFonts w:cs="Times New Roman"/>
              </w:rPr>
            </w:pPr>
            <w:r>
              <w:rPr>
                <w:rFonts w:cs="Times New Roman"/>
              </w:rPr>
              <w:t>服务期满</w:t>
            </w:r>
          </w:p>
        </w:tc>
        <w:tc>
          <w:tcPr>
            <w:tcW w:w="1788" w:type="dxa"/>
            <w:vAlign w:val="center"/>
          </w:tcPr>
          <w:p w14:paraId="0CEDA57C">
            <w:pPr>
              <w:pStyle w:val="179"/>
              <w:rPr>
                <w:rFonts w:cs="Times New Roman"/>
              </w:rPr>
            </w:pPr>
            <w:r>
              <w:rPr>
                <w:rFonts w:cs="Times New Roman"/>
              </w:rPr>
              <w:t>闭坑</w:t>
            </w:r>
            <w:r>
              <w:rPr>
                <w:rFonts w:hint="eastAsia" w:cs="Times New Roman"/>
              </w:rPr>
              <w:t>平整</w:t>
            </w:r>
          </w:p>
        </w:tc>
        <w:tc>
          <w:tcPr>
            <w:tcW w:w="1097" w:type="dxa"/>
            <w:vAlign w:val="center"/>
          </w:tcPr>
          <w:p w14:paraId="4C788110">
            <w:pPr>
              <w:pStyle w:val="179"/>
              <w:rPr>
                <w:rFonts w:cs="Times New Roman"/>
              </w:rPr>
            </w:pPr>
            <w:r>
              <w:rPr>
                <w:rFonts w:cs="Times New Roman"/>
              </w:rPr>
              <w:t>-1D</w:t>
            </w:r>
          </w:p>
        </w:tc>
        <w:tc>
          <w:tcPr>
            <w:tcW w:w="1097" w:type="dxa"/>
            <w:vAlign w:val="center"/>
          </w:tcPr>
          <w:p w14:paraId="0EF2860D">
            <w:pPr>
              <w:pStyle w:val="179"/>
              <w:rPr>
                <w:rFonts w:cs="Times New Roman"/>
              </w:rPr>
            </w:pPr>
            <w:r>
              <w:rPr>
                <w:rFonts w:hint="eastAsia" w:cs="Times New Roman"/>
              </w:rPr>
              <w:t>+</w:t>
            </w:r>
            <w:r>
              <w:rPr>
                <w:rFonts w:cs="Times New Roman"/>
              </w:rPr>
              <w:t>1C</w:t>
            </w:r>
          </w:p>
        </w:tc>
        <w:tc>
          <w:tcPr>
            <w:tcW w:w="1097" w:type="dxa"/>
            <w:vAlign w:val="center"/>
          </w:tcPr>
          <w:p w14:paraId="381DF3DA">
            <w:pPr>
              <w:pStyle w:val="179"/>
              <w:rPr>
                <w:rFonts w:cs="Times New Roman"/>
              </w:rPr>
            </w:pPr>
            <w:r>
              <w:rPr>
                <w:rFonts w:hint="eastAsia" w:cs="Times New Roman"/>
              </w:rPr>
              <w:t>/</w:t>
            </w:r>
          </w:p>
        </w:tc>
        <w:tc>
          <w:tcPr>
            <w:tcW w:w="1097" w:type="dxa"/>
            <w:vAlign w:val="center"/>
          </w:tcPr>
          <w:p w14:paraId="5EA3FB76">
            <w:pPr>
              <w:pStyle w:val="179"/>
              <w:rPr>
                <w:rFonts w:cs="Times New Roman"/>
              </w:rPr>
            </w:pPr>
            <w:r>
              <w:rPr>
                <w:rFonts w:cs="Times New Roman"/>
              </w:rPr>
              <w:t>-1D</w:t>
            </w:r>
          </w:p>
        </w:tc>
        <w:tc>
          <w:tcPr>
            <w:tcW w:w="1098" w:type="dxa"/>
            <w:vAlign w:val="center"/>
          </w:tcPr>
          <w:p w14:paraId="35090488">
            <w:pPr>
              <w:pStyle w:val="179"/>
              <w:rPr>
                <w:rFonts w:cs="Times New Roman"/>
              </w:rPr>
            </w:pPr>
            <w:r>
              <w:rPr>
                <w:rFonts w:hint="eastAsia" w:cs="Times New Roman"/>
              </w:rPr>
              <w:t>/</w:t>
            </w:r>
          </w:p>
        </w:tc>
        <w:tc>
          <w:tcPr>
            <w:tcW w:w="1098" w:type="dxa"/>
            <w:vAlign w:val="center"/>
          </w:tcPr>
          <w:p w14:paraId="101FAA76">
            <w:pPr>
              <w:pStyle w:val="179"/>
              <w:rPr>
                <w:rFonts w:cs="Times New Roman"/>
              </w:rPr>
            </w:pPr>
            <w:r>
              <w:rPr>
                <w:rFonts w:hint="eastAsia" w:cs="Times New Roman"/>
              </w:rPr>
              <w:t>/</w:t>
            </w:r>
          </w:p>
        </w:tc>
      </w:tr>
      <w:tr w14:paraId="40A3C1F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700" w:type="dxa"/>
            <w:vMerge w:val="continue"/>
            <w:vAlign w:val="center"/>
          </w:tcPr>
          <w:p w14:paraId="4375DA1A">
            <w:pPr>
              <w:pStyle w:val="179"/>
              <w:rPr>
                <w:rFonts w:cs="Times New Roman"/>
              </w:rPr>
            </w:pPr>
          </w:p>
        </w:tc>
        <w:tc>
          <w:tcPr>
            <w:tcW w:w="1788" w:type="dxa"/>
            <w:vAlign w:val="center"/>
          </w:tcPr>
          <w:p w14:paraId="168AAE68">
            <w:pPr>
              <w:pStyle w:val="179"/>
              <w:rPr>
                <w:rFonts w:cs="Times New Roman"/>
              </w:rPr>
            </w:pPr>
            <w:r>
              <w:rPr>
                <w:rFonts w:cs="Times New Roman"/>
              </w:rPr>
              <w:t>土地利用</w:t>
            </w:r>
          </w:p>
        </w:tc>
        <w:tc>
          <w:tcPr>
            <w:tcW w:w="1097" w:type="dxa"/>
            <w:vAlign w:val="center"/>
          </w:tcPr>
          <w:p w14:paraId="6676BA82">
            <w:pPr>
              <w:pStyle w:val="179"/>
              <w:rPr>
                <w:rFonts w:cs="Times New Roman"/>
              </w:rPr>
            </w:pPr>
            <w:r>
              <w:rPr>
                <w:rFonts w:hint="eastAsia" w:cs="Times New Roman"/>
              </w:rPr>
              <w:t>+</w:t>
            </w:r>
            <w:r>
              <w:rPr>
                <w:rFonts w:cs="Times New Roman"/>
              </w:rPr>
              <w:t>1C</w:t>
            </w:r>
          </w:p>
        </w:tc>
        <w:tc>
          <w:tcPr>
            <w:tcW w:w="1097" w:type="dxa"/>
            <w:vAlign w:val="center"/>
          </w:tcPr>
          <w:p w14:paraId="3D675644">
            <w:pPr>
              <w:pStyle w:val="179"/>
              <w:rPr>
                <w:rFonts w:cs="Times New Roman"/>
              </w:rPr>
            </w:pPr>
            <w:r>
              <w:rPr>
                <w:rFonts w:hint="eastAsia" w:cs="Times New Roman"/>
              </w:rPr>
              <w:t>/</w:t>
            </w:r>
          </w:p>
        </w:tc>
        <w:tc>
          <w:tcPr>
            <w:tcW w:w="1097" w:type="dxa"/>
            <w:vAlign w:val="center"/>
          </w:tcPr>
          <w:p w14:paraId="42DFDB79">
            <w:pPr>
              <w:pStyle w:val="179"/>
              <w:rPr>
                <w:rFonts w:cs="Times New Roman"/>
              </w:rPr>
            </w:pPr>
            <w:r>
              <w:rPr>
                <w:rFonts w:hint="eastAsia" w:cs="Times New Roman"/>
              </w:rPr>
              <w:t>/</w:t>
            </w:r>
          </w:p>
        </w:tc>
        <w:tc>
          <w:tcPr>
            <w:tcW w:w="1097" w:type="dxa"/>
            <w:vAlign w:val="center"/>
          </w:tcPr>
          <w:p w14:paraId="4E7A22F3">
            <w:pPr>
              <w:pStyle w:val="179"/>
              <w:rPr>
                <w:rFonts w:cs="Times New Roman"/>
              </w:rPr>
            </w:pPr>
            <w:r>
              <w:rPr>
                <w:rFonts w:hint="eastAsia" w:cs="Times New Roman"/>
              </w:rPr>
              <w:t>/</w:t>
            </w:r>
          </w:p>
        </w:tc>
        <w:tc>
          <w:tcPr>
            <w:tcW w:w="1098" w:type="dxa"/>
            <w:vAlign w:val="center"/>
          </w:tcPr>
          <w:p w14:paraId="771534D4">
            <w:pPr>
              <w:pStyle w:val="179"/>
              <w:rPr>
                <w:rFonts w:cs="Times New Roman"/>
              </w:rPr>
            </w:pPr>
            <w:r>
              <w:rPr>
                <w:rFonts w:hint="eastAsia" w:cs="Times New Roman"/>
              </w:rPr>
              <w:t>/</w:t>
            </w:r>
          </w:p>
        </w:tc>
        <w:tc>
          <w:tcPr>
            <w:tcW w:w="1098" w:type="dxa"/>
            <w:vAlign w:val="center"/>
          </w:tcPr>
          <w:p w14:paraId="503D86DB">
            <w:pPr>
              <w:pStyle w:val="179"/>
              <w:rPr>
                <w:rFonts w:cs="Times New Roman"/>
              </w:rPr>
            </w:pPr>
            <w:r>
              <w:rPr>
                <w:rFonts w:cs="Times New Roman"/>
              </w:rPr>
              <w:t>+1 C</w:t>
            </w:r>
          </w:p>
        </w:tc>
      </w:tr>
      <w:tr w14:paraId="7EB4CBB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700" w:type="dxa"/>
            <w:vMerge w:val="continue"/>
            <w:vAlign w:val="center"/>
          </w:tcPr>
          <w:p w14:paraId="168E2C2B">
            <w:pPr>
              <w:pStyle w:val="179"/>
              <w:rPr>
                <w:rFonts w:cs="Times New Roman"/>
              </w:rPr>
            </w:pPr>
          </w:p>
        </w:tc>
        <w:tc>
          <w:tcPr>
            <w:tcW w:w="1788" w:type="dxa"/>
            <w:vAlign w:val="center"/>
          </w:tcPr>
          <w:p w14:paraId="197BC4C6">
            <w:pPr>
              <w:pStyle w:val="179"/>
              <w:rPr>
                <w:rFonts w:cs="Times New Roman"/>
              </w:rPr>
            </w:pPr>
            <w:r>
              <w:rPr>
                <w:rFonts w:cs="Times New Roman"/>
              </w:rPr>
              <w:t>植被恢复</w:t>
            </w:r>
          </w:p>
        </w:tc>
        <w:tc>
          <w:tcPr>
            <w:tcW w:w="1097" w:type="dxa"/>
            <w:vAlign w:val="center"/>
          </w:tcPr>
          <w:p w14:paraId="63ECC67B">
            <w:pPr>
              <w:pStyle w:val="179"/>
              <w:rPr>
                <w:rFonts w:cs="Times New Roman"/>
              </w:rPr>
            </w:pPr>
            <w:r>
              <w:rPr>
                <w:rFonts w:hint="eastAsia" w:cs="Times New Roman"/>
              </w:rPr>
              <w:t>+2</w:t>
            </w:r>
            <w:r>
              <w:rPr>
                <w:rFonts w:cs="Times New Roman"/>
              </w:rPr>
              <w:t>C</w:t>
            </w:r>
          </w:p>
        </w:tc>
        <w:tc>
          <w:tcPr>
            <w:tcW w:w="1097" w:type="dxa"/>
            <w:vAlign w:val="center"/>
          </w:tcPr>
          <w:p w14:paraId="53D8E544">
            <w:pPr>
              <w:pStyle w:val="179"/>
              <w:rPr>
                <w:rFonts w:cs="Times New Roman"/>
              </w:rPr>
            </w:pPr>
            <w:r>
              <w:rPr>
                <w:rFonts w:hint="eastAsia" w:cs="Times New Roman"/>
              </w:rPr>
              <w:t>+</w:t>
            </w:r>
            <w:r>
              <w:rPr>
                <w:rFonts w:cs="Times New Roman"/>
              </w:rPr>
              <w:t>1C</w:t>
            </w:r>
          </w:p>
        </w:tc>
        <w:tc>
          <w:tcPr>
            <w:tcW w:w="1097" w:type="dxa"/>
            <w:vAlign w:val="center"/>
          </w:tcPr>
          <w:p w14:paraId="2F4FC17E">
            <w:pPr>
              <w:pStyle w:val="179"/>
              <w:rPr>
                <w:rFonts w:cs="Times New Roman"/>
              </w:rPr>
            </w:pPr>
            <w:r>
              <w:rPr>
                <w:rFonts w:hint="eastAsia" w:cs="Times New Roman"/>
              </w:rPr>
              <w:t>/</w:t>
            </w:r>
          </w:p>
        </w:tc>
        <w:tc>
          <w:tcPr>
            <w:tcW w:w="1097" w:type="dxa"/>
            <w:vAlign w:val="center"/>
          </w:tcPr>
          <w:p w14:paraId="036B2B00">
            <w:pPr>
              <w:pStyle w:val="179"/>
              <w:rPr>
                <w:rFonts w:cs="Times New Roman"/>
              </w:rPr>
            </w:pPr>
            <w:r>
              <w:rPr>
                <w:rFonts w:hint="eastAsia" w:cs="Times New Roman"/>
              </w:rPr>
              <w:t>/</w:t>
            </w:r>
          </w:p>
        </w:tc>
        <w:tc>
          <w:tcPr>
            <w:tcW w:w="1098" w:type="dxa"/>
            <w:vAlign w:val="center"/>
          </w:tcPr>
          <w:p w14:paraId="18702287">
            <w:pPr>
              <w:pStyle w:val="179"/>
              <w:rPr>
                <w:rFonts w:cs="Times New Roman"/>
              </w:rPr>
            </w:pPr>
            <w:r>
              <w:rPr>
                <w:rFonts w:hint="eastAsia" w:cs="Times New Roman"/>
              </w:rPr>
              <w:t>+</w:t>
            </w:r>
            <w:r>
              <w:rPr>
                <w:rFonts w:cs="Times New Roman"/>
              </w:rPr>
              <w:t>1C</w:t>
            </w:r>
          </w:p>
        </w:tc>
        <w:tc>
          <w:tcPr>
            <w:tcW w:w="1098" w:type="dxa"/>
            <w:vAlign w:val="center"/>
          </w:tcPr>
          <w:p w14:paraId="4DAB6B9A">
            <w:pPr>
              <w:pStyle w:val="179"/>
              <w:rPr>
                <w:rFonts w:cs="Times New Roman"/>
              </w:rPr>
            </w:pPr>
            <w:r>
              <w:rPr>
                <w:rFonts w:cs="Times New Roman"/>
              </w:rPr>
              <w:t>+2 C</w:t>
            </w:r>
          </w:p>
        </w:tc>
      </w:tr>
    </w:tbl>
    <w:p w14:paraId="5A8C186F">
      <w:pPr>
        <w:pStyle w:val="179"/>
        <w:ind w:firstLine="420" w:firstLineChars="200"/>
        <w:jc w:val="left"/>
        <w:rPr>
          <w:rFonts w:cs="Times New Roman"/>
        </w:rPr>
      </w:pPr>
      <w:r>
        <w:rPr>
          <w:rFonts w:cs="Times New Roman"/>
        </w:rPr>
        <w:t>备注：1、表中“+”表示正效益，“-”表示负效益；2、表中数字表示影响的相对程度，“1”表示影响较小，“2”表示影响中等，“3”表示影响较大；3、表中“D”表示短期影响，“C”表示长期影响。</w:t>
      </w:r>
    </w:p>
    <w:p w14:paraId="004B79F7">
      <w:pPr>
        <w:pStyle w:val="4"/>
        <w:spacing w:before="180" w:after="120"/>
        <w:rPr>
          <w:rFonts w:hAnsi="Times New Roman" w:cs="Times New Roman"/>
        </w:rPr>
      </w:pPr>
      <w:r>
        <w:rPr>
          <w:rFonts w:hAnsi="Times New Roman" w:cs="Times New Roman"/>
        </w:rPr>
        <w:t>评价因子确定</w:t>
      </w:r>
    </w:p>
    <w:p w14:paraId="6C712855">
      <w:pPr>
        <w:ind w:firstLine="480"/>
        <w:rPr>
          <w:rFonts w:hAnsi="Times New Roman" w:cs="Times New Roman"/>
        </w:rPr>
      </w:pPr>
      <w:r>
        <w:rPr>
          <w:rFonts w:hAnsi="Times New Roman" w:cs="Times New Roman"/>
        </w:rPr>
        <w:t>根据本项目特征及周边环境，确定本项目评价现状因子和预测评价因子，具体见表2.</w:t>
      </w:r>
      <w:r>
        <w:rPr>
          <w:rFonts w:hint="eastAsia" w:hAnsi="Times New Roman" w:cs="Times New Roman"/>
        </w:rPr>
        <w:t>3-2</w:t>
      </w:r>
      <w:r>
        <w:rPr>
          <w:rFonts w:hAnsi="Times New Roman" w:cs="Times New Roman"/>
        </w:rPr>
        <w:t>。生态影响评价因子筛选结果见表2.3-</w:t>
      </w:r>
      <w:r>
        <w:rPr>
          <w:rFonts w:hint="eastAsia" w:hAnsi="Times New Roman" w:cs="Times New Roman"/>
        </w:rPr>
        <w:t>3</w:t>
      </w:r>
      <w:r>
        <w:rPr>
          <w:rFonts w:hAnsi="Times New Roman" w:cs="Times New Roman"/>
        </w:rPr>
        <w:t>。</w:t>
      </w:r>
    </w:p>
    <w:p w14:paraId="52E1BA03">
      <w:pPr>
        <w:pStyle w:val="178"/>
        <w:rPr>
          <w:rFonts w:ascii="Times New Roman" w:hAnsi="Times New Roman"/>
        </w:rPr>
      </w:pPr>
      <w:r>
        <w:rPr>
          <w:rFonts w:ascii="Times New Roman" w:hAnsi="Times New Roman"/>
        </w:rPr>
        <w:t>表2.3-</w:t>
      </w:r>
      <w:r>
        <w:rPr>
          <w:rFonts w:hint="eastAsia" w:ascii="Times New Roman" w:hAnsi="Times New Roman"/>
        </w:rPr>
        <w:t>2</w:t>
      </w:r>
      <w:r>
        <w:rPr>
          <w:rFonts w:ascii="Times New Roman" w:hAnsi="Times New Roman"/>
        </w:rPr>
        <w:t xml:space="preserve">  评价因子识别表</w:t>
      </w:r>
    </w:p>
    <w:p w14:paraId="0C1E8F3B">
      <w:pPr>
        <w:topLinePunct/>
        <w:spacing w:line="14" w:lineRule="exact"/>
        <w:ind w:firstLine="480"/>
        <w:rPr>
          <w:rFonts w:hAnsi="Times New Roman" w:cs="Times New Roman"/>
        </w:rPr>
      </w:pPr>
    </w:p>
    <w:tbl>
      <w:tblPr>
        <w:tblStyle w:val="36"/>
        <w:tblW w:w="8505"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407"/>
        <w:gridCol w:w="658"/>
        <w:gridCol w:w="61"/>
        <w:gridCol w:w="895"/>
        <w:gridCol w:w="5484"/>
      </w:tblGrid>
      <w:tr w14:paraId="45E2381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827" w:type="pct"/>
            <w:vAlign w:val="center"/>
          </w:tcPr>
          <w:p w14:paraId="276346EC">
            <w:pPr>
              <w:pStyle w:val="179"/>
              <w:rPr>
                <w:rFonts w:cs="Times New Roman"/>
                <w:b/>
              </w:rPr>
            </w:pPr>
            <w:r>
              <w:rPr>
                <w:rFonts w:cs="Times New Roman"/>
                <w:b/>
              </w:rPr>
              <w:t>环境要素</w:t>
            </w:r>
          </w:p>
        </w:tc>
        <w:tc>
          <w:tcPr>
            <w:tcW w:w="949" w:type="pct"/>
            <w:gridSpan w:val="3"/>
            <w:vAlign w:val="center"/>
          </w:tcPr>
          <w:p w14:paraId="6FDA22A2">
            <w:pPr>
              <w:pStyle w:val="179"/>
              <w:rPr>
                <w:rFonts w:cs="Times New Roman"/>
                <w:b/>
              </w:rPr>
            </w:pPr>
            <w:r>
              <w:rPr>
                <w:rFonts w:cs="Times New Roman"/>
                <w:b/>
              </w:rPr>
              <w:t>评价类别</w:t>
            </w:r>
          </w:p>
        </w:tc>
        <w:tc>
          <w:tcPr>
            <w:tcW w:w="3224" w:type="pct"/>
            <w:vAlign w:val="center"/>
          </w:tcPr>
          <w:p w14:paraId="4CBC21EC">
            <w:pPr>
              <w:pStyle w:val="179"/>
              <w:rPr>
                <w:rFonts w:cs="Times New Roman"/>
                <w:b/>
              </w:rPr>
            </w:pPr>
            <w:r>
              <w:rPr>
                <w:rFonts w:cs="Times New Roman"/>
                <w:b/>
              </w:rPr>
              <w:t>评价因子</w:t>
            </w:r>
          </w:p>
        </w:tc>
      </w:tr>
      <w:tr w14:paraId="4FE09AE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7" w:type="pct"/>
            <w:vMerge w:val="restart"/>
            <w:vAlign w:val="center"/>
          </w:tcPr>
          <w:p w14:paraId="1654E9F1">
            <w:pPr>
              <w:pStyle w:val="179"/>
              <w:rPr>
                <w:rFonts w:cs="Times New Roman"/>
              </w:rPr>
            </w:pPr>
            <w:r>
              <w:rPr>
                <w:rFonts w:cs="Times New Roman"/>
              </w:rPr>
              <w:t>环境空气</w:t>
            </w:r>
          </w:p>
        </w:tc>
        <w:tc>
          <w:tcPr>
            <w:tcW w:w="949" w:type="pct"/>
            <w:gridSpan w:val="3"/>
            <w:vAlign w:val="center"/>
          </w:tcPr>
          <w:p w14:paraId="1E2EB4DB">
            <w:pPr>
              <w:pStyle w:val="179"/>
              <w:rPr>
                <w:rFonts w:cs="Times New Roman"/>
              </w:rPr>
            </w:pPr>
            <w:r>
              <w:rPr>
                <w:rFonts w:cs="Times New Roman"/>
              </w:rPr>
              <w:t>现状评价</w:t>
            </w:r>
          </w:p>
        </w:tc>
        <w:tc>
          <w:tcPr>
            <w:tcW w:w="3224" w:type="pct"/>
            <w:vAlign w:val="center"/>
          </w:tcPr>
          <w:p w14:paraId="0C484DAD">
            <w:pPr>
              <w:pStyle w:val="179"/>
              <w:rPr>
                <w:rFonts w:cs="Times New Roman"/>
              </w:rPr>
            </w:pPr>
            <w:r>
              <w:rPr>
                <w:rFonts w:cs="Times New Roman"/>
              </w:rPr>
              <w:t>PM</w:t>
            </w:r>
            <w:r>
              <w:rPr>
                <w:rFonts w:cs="Times New Roman"/>
                <w:vertAlign w:val="subscript"/>
              </w:rPr>
              <w:t>10</w:t>
            </w:r>
            <w:r>
              <w:rPr>
                <w:rFonts w:cs="Times New Roman"/>
              </w:rPr>
              <w:t>、NO</w:t>
            </w:r>
            <w:r>
              <w:rPr>
                <w:rFonts w:cs="Times New Roman"/>
                <w:vertAlign w:val="subscript"/>
              </w:rPr>
              <w:t>2</w:t>
            </w:r>
            <w:r>
              <w:rPr>
                <w:rFonts w:cs="Times New Roman"/>
              </w:rPr>
              <w:t>、SO</w:t>
            </w:r>
            <w:r>
              <w:rPr>
                <w:rFonts w:cs="Times New Roman"/>
                <w:vertAlign w:val="subscript"/>
              </w:rPr>
              <w:t>2</w:t>
            </w:r>
            <w:r>
              <w:rPr>
                <w:rFonts w:cs="Times New Roman"/>
              </w:rPr>
              <w:t>、PM</w:t>
            </w:r>
            <w:r>
              <w:rPr>
                <w:rFonts w:cs="Times New Roman"/>
                <w:vertAlign w:val="subscript"/>
              </w:rPr>
              <w:t>2.5</w:t>
            </w:r>
            <w:r>
              <w:rPr>
                <w:rFonts w:cs="Times New Roman"/>
              </w:rPr>
              <w:t>、CO、O</w:t>
            </w:r>
            <w:r>
              <w:rPr>
                <w:rFonts w:cs="Times New Roman"/>
                <w:vertAlign w:val="subscript"/>
              </w:rPr>
              <w:t>3</w:t>
            </w:r>
            <w:r>
              <w:rPr>
                <w:rFonts w:cs="Times New Roman"/>
              </w:rPr>
              <w:t>、TSP</w:t>
            </w:r>
          </w:p>
        </w:tc>
      </w:tr>
      <w:tr w14:paraId="3AAC826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7" w:type="pct"/>
            <w:vMerge w:val="continue"/>
            <w:vAlign w:val="center"/>
          </w:tcPr>
          <w:p w14:paraId="2168EFF9">
            <w:pPr>
              <w:pStyle w:val="179"/>
              <w:rPr>
                <w:rFonts w:cs="Times New Roman"/>
              </w:rPr>
            </w:pPr>
          </w:p>
        </w:tc>
        <w:tc>
          <w:tcPr>
            <w:tcW w:w="387" w:type="pct"/>
            <w:vMerge w:val="restart"/>
            <w:vAlign w:val="center"/>
          </w:tcPr>
          <w:p w14:paraId="4956FEBB">
            <w:pPr>
              <w:pStyle w:val="179"/>
              <w:rPr>
                <w:rFonts w:cs="Times New Roman"/>
              </w:rPr>
            </w:pPr>
            <w:r>
              <w:rPr>
                <w:rFonts w:cs="Times New Roman"/>
              </w:rPr>
              <w:t>影响评价</w:t>
            </w:r>
          </w:p>
        </w:tc>
        <w:tc>
          <w:tcPr>
            <w:tcW w:w="562" w:type="pct"/>
            <w:gridSpan w:val="2"/>
            <w:vAlign w:val="center"/>
          </w:tcPr>
          <w:p w14:paraId="5D2D3328">
            <w:pPr>
              <w:pStyle w:val="14"/>
              <w:spacing w:after="0" w:line="240" w:lineRule="auto"/>
              <w:ind w:firstLine="0" w:firstLineChars="0"/>
              <w:jc w:val="center"/>
              <w:rPr>
                <w:bCs/>
                <w:sz w:val="21"/>
                <w:szCs w:val="21"/>
              </w:rPr>
            </w:pPr>
            <w:r>
              <w:rPr>
                <w:bCs/>
                <w:sz w:val="21"/>
                <w:szCs w:val="21"/>
              </w:rPr>
              <w:t>施工期</w:t>
            </w:r>
          </w:p>
        </w:tc>
        <w:tc>
          <w:tcPr>
            <w:tcW w:w="3224" w:type="pct"/>
            <w:vAlign w:val="center"/>
          </w:tcPr>
          <w:p w14:paraId="48F116C8">
            <w:pPr>
              <w:pStyle w:val="179"/>
              <w:rPr>
                <w:rFonts w:cs="Times New Roman"/>
              </w:rPr>
            </w:pPr>
            <w:r>
              <w:rPr>
                <w:rFonts w:cs="Times New Roman"/>
              </w:rPr>
              <w:t>TSP</w:t>
            </w:r>
          </w:p>
        </w:tc>
      </w:tr>
      <w:tr w14:paraId="4FAA125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7" w:type="pct"/>
            <w:vMerge w:val="continue"/>
            <w:vAlign w:val="center"/>
          </w:tcPr>
          <w:p w14:paraId="7B505D29">
            <w:pPr>
              <w:pStyle w:val="179"/>
              <w:rPr>
                <w:rFonts w:cs="Times New Roman"/>
              </w:rPr>
            </w:pPr>
          </w:p>
        </w:tc>
        <w:tc>
          <w:tcPr>
            <w:tcW w:w="387" w:type="pct"/>
            <w:vMerge w:val="continue"/>
            <w:vAlign w:val="center"/>
          </w:tcPr>
          <w:p w14:paraId="55381E37">
            <w:pPr>
              <w:pStyle w:val="179"/>
              <w:rPr>
                <w:rFonts w:cs="Times New Roman"/>
              </w:rPr>
            </w:pPr>
          </w:p>
        </w:tc>
        <w:tc>
          <w:tcPr>
            <w:tcW w:w="562" w:type="pct"/>
            <w:gridSpan w:val="2"/>
            <w:vAlign w:val="center"/>
          </w:tcPr>
          <w:p w14:paraId="350F186D">
            <w:pPr>
              <w:pStyle w:val="14"/>
              <w:spacing w:after="0" w:line="240" w:lineRule="auto"/>
              <w:ind w:firstLine="0" w:firstLineChars="0"/>
              <w:jc w:val="center"/>
              <w:rPr>
                <w:bCs/>
                <w:sz w:val="21"/>
                <w:szCs w:val="21"/>
              </w:rPr>
            </w:pPr>
            <w:r>
              <w:rPr>
                <w:bCs/>
                <w:sz w:val="21"/>
                <w:szCs w:val="21"/>
              </w:rPr>
              <w:t>运营期</w:t>
            </w:r>
          </w:p>
        </w:tc>
        <w:tc>
          <w:tcPr>
            <w:tcW w:w="3224" w:type="pct"/>
            <w:vAlign w:val="center"/>
          </w:tcPr>
          <w:p w14:paraId="4A437763">
            <w:pPr>
              <w:pStyle w:val="179"/>
              <w:rPr>
                <w:rFonts w:cs="Times New Roman"/>
              </w:rPr>
            </w:pPr>
            <w:r>
              <w:rPr>
                <w:rFonts w:cs="Times New Roman"/>
              </w:rPr>
              <w:t>TS</w:t>
            </w:r>
            <w:r>
              <w:rPr>
                <w:rFonts w:hint="eastAsia" w:cs="Times New Roman"/>
              </w:rPr>
              <w:t>P</w:t>
            </w:r>
          </w:p>
        </w:tc>
      </w:tr>
      <w:tr w14:paraId="36025E0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7" w:type="pct"/>
            <w:vMerge w:val="restart"/>
            <w:vAlign w:val="center"/>
          </w:tcPr>
          <w:p w14:paraId="53A7D055">
            <w:pPr>
              <w:pStyle w:val="179"/>
              <w:rPr>
                <w:rFonts w:cs="Times New Roman"/>
              </w:rPr>
            </w:pPr>
            <w:r>
              <w:rPr>
                <w:rFonts w:cs="Times New Roman"/>
              </w:rPr>
              <w:t>声环境</w:t>
            </w:r>
          </w:p>
        </w:tc>
        <w:tc>
          <w:tcPr>
            <w:tcW w:w="949" w:type="pct"/>
            <w:gridSpan w:val="3"/>
            <w:vAlign w:val="center"/>
          </w:tcPr>
          <w:p w14:paraId="28020A84">
            <w:pPr>
              <w:pStyle w:val="179"/>
              <w:rPr>
                <w:rFonts w:cs="Times New Roman"/>
              </w:rPr>
            </w:pPr>
            <w:r>
              <w:rPr>
                <w:rFonts w:cs="Times New Roman"/>
              </w:rPr>
              <w:t>现状评价</w:t>
            </w:r>
          </w:p>
        </w:tc>
        <w:tc>
          <w:tcPr>
            <w:tcW w:w="3224" w:type="pct"/>
            <w:vAlign w:val="center"/>
          </w:tcPr>
          <w:p w14:paraId="333254A9">
            <w:pPr>
              <w:pStyle w:val="179"/>
              <w:rPr>
                <w:rFonts w:cs="Times New Roman"/>
              </w:rPr>
            </w:pPr>
            <w:r>
              <w:rPr>
                <w:rFonts w:cs="Times New Roman"/>
              </w:rPr>
              <w:t>连续等效A声级</w:t>
            </w:r>
          </w:p>
        </w:tc>
      </w:tr>
      <w:tr w14:paraId="6B3D243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7" w:type="pct"/>
            <w:vMerge w:val="continue"/>
            <w:vAlign w:val="center"/>
          </w:tcPr>
          <w:p w14:paraId="085B9316">
            <w:pPr>
              <w:pStyle w:val="179"/>
              <w:rPr>
                <w:rFonts w:cs="Times New Roman"/>
              </w:rPr>
            </w:pPr>
          </w:p>
        </w:tc>
        <w:tc>
          <w:tcPr>
            <w:tcW w:w="423" w:type="pct"/>
            <w:gridSpan w:val="2"/>
            <w:vMerge w:val="restart"/>
            <w:vAlign w:val="center"/>
          </w:tcPr>
          <w:p w14:paraId="6B78BC17">
            <w:pPr>
              <w:pStyle w:val="179"/>
              <w:rPr>
                <w:rFonts w:cs="Times New Roman"/>
              </w:rPr>
            </w:pPr>
            <w:r>
              <w:rPr>
                <w:rFonts w:cs="Times New Roman"/>
              </w:rPr>
              <w:t>影响评价</w:t>
            </w:r>
          </w:p>
        </w:tc>
        <w:tc>
          <w:tcPr>
            <w:tcW w:w="526" w:type="pct"/>
            <w:vAlign w:val="center"/>
          </w:tcPr>
          <w:p w14:paraId="7B515812">
            <w:pPr>
              <w:pStyle w:val="14"/>
              <w:spacing w:after="0" w:line="240" w:lineRule="auto"/>
              <w:ind w:firstLine="0" w:firstLineChars="0"/>
              <w:jc w:val="center"/>
              <w:rPr>
                <w:bCs/>
                <w:sz w:val="21"/>
                <w:szCs w:val="21"/>
              </w:rPr>
            </w:pPr>
            <w:r>
              <w:rPr>
                <w:bCs/>
                <w:sz w:val="21"/>
                <w:szCs w:val="21"/>
              </w:rPr>
              <w:t>施工期</w:t>
            </w:r>
          </w:p>
        </w:tc>
        <w:tc>
          <w:tcPr>
            <w:tcW w:w="3224" w:type="pct"/>
            <w:vAlign w:val="center"/>
          </w:tcPr>
          <w:p w14:paraId="11237EC4">
            <w:pPr>
              <w:pStyle w:val="179"/>
              <w:rPr>
                <w:rFonts w:cs="Times New Roman"/>
              </w:rPr>
            </w:pPr>
            <w:r>
              <w:rPr>
                <w:rFonts w:cs="Times New Roman"/>
              </w:rPr>
              <w:t>连续等效A声级</w:t>
            </w:r>
          </w:p>
        </w:tc>
      </w:tr>
      <w:tr w14:paraId="29CDB5A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7" w:type="pct"/>
            <w:vMerge w:val="continue"/>
            <w:vAlign w:val="center"/>
          </w:tcPr>
          <w:p w14:paraId="52DDC66A">
            <w:pPr>
              <w:pStyle w:val="179"/>
              <w:rPr>
                <w:rFonts w:cs="Times New Roman"/>
              </w:rPr>
            </w:pPr>
          </w:p>
        </w:tc>
        <w:tc>
          <w:tcPr>
            <w:tcW w:w="423" w:type="pct"/>
            <w:gridSpan w:val="2"/>
            <w:vMerge w:val="continue"/>
            <w:vAlign w:val="center"/>
          </w:tcPr>
          <w:p w14:paraId="007C44A1">
            <w:pPr>
              <w:pStyle w:val="179"/>
              <w:rPr>
                <w:rFonts w:cs="Times New Roman"/>
              </w:rPr>
            </w:pPr>
          </w:p>
        </w:tc>
        <w:tc>
          <w:tcPr>
            <w:tcW w:w="526" w:type="pct"/>
            <w:vAlign w:val="center"/>
          </w:tcPr>
          <w:p w14:paraId="16F5DCC8">
            <w:pPr>
              <w:pStyle w:val="14"/>
              <w:spacing w:after="0" w:line="240" w:lineRule="auto"/>
              <w:ind w:firstLine="0" w:firstLineChars="0"/>
              <w:jc w:val="center"/>
              <w:rPr>
                <w:bCs/>
                <w:sz w:val="21"/>
                <w:szCs w:val="21"/>
              </w:rPr>
            </w:pPr>
            <w:r>
              <w:rPr>
                <w:bCs/>
                <w:sz w:val="21"/>
                <w:szCs w:val="21"/>
              </w:rPr>
              <w:t>运营期</w:t>
            </w:r>
          </w:p>
        </w:tc>
        <w:tc>
          <w:tcPr>
            <w:tcW w:w="3224" w:type="pct"/>
            <w:vAlign w:val="center"/>
          </w:tcPr>
          <w:p w14:paraId="08D7204A">
            <w:pPr>
              <w:pStyle w:val="179"/>
              <w:rPr>
                <w:rFonts w:cs="Times New Roman"/>
              </w:rPr>
            </w:pPr>
            <w:r>
              <w:rPr>
                <w:rFonts w:cs="Times New Roman"/>
              </w:rPr>
              <w:t>连续等效A声级</w:t>
            </w:r>
          </w:p>
        </w:tc>
      </w:tr>
      <w:tr w14:paraId="390F198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7" w:type="pct"/>
            <w:vMerge w:val="restart"/>
            <w:vAlign w:val="center"/>
          </w:tcPr>
          <w:p w14:paraId="19FC9EC9">
            <w:pPr>
              <w:pStyle w:val="179"/>
              <w:rPr>
                <w:rFonts w:cs="Times New Roman"/>
              </w:rPr>
            </w:pPr>
            <w:r>
              <w:rPr>
                <w:rFonts w:cs="Times New Roman"/>
              </w:rPr>
              <w:t>地表水</w:t>
            </w:r>
          </w:p>
        </w:tc>
        <w:tc>
          <w:tcPr>
            <w:tcW w:w="949" w:type="pct"/>
            <w:gridSpan w:val="3"/>
            <w:vAlign w:val="center"/>
          </w:tcPr>
          <w:p w14:paraId="617E1EEA">
            <w:pPr>
              <w:pStyle w:val="179"/>
              <w:rPr>
                <w:rFonts w:cs="Times New Roman"/>
              </w:rPr>
            </w:pPr>
            <w:r>
              <w:rPr>
                <w:rFonts w:cs="Times New Roman"/>
              </w:rPr>
              <w:t>环境现状评价</w:t>
            </w:r>
          </w:p>
        </w:tc>
        <w:tc>
          <w:tcPr>
            <w:tcW w:w="3224" w:type="pct"/>
            <w:vAlign w:val="center"/>
          </w:tcPr>
          <w:p w14:paraId="0D9FCCAF">
            <w:pPr>
              <w:pStyle w:val="179"/>
              <w:rPr>
                <w:rFonts w:cs="Times New Roman"/>
              </w:rPr>
            </w:pPr>
            <w:r>
              <w:rPr>
                <w:rFonts w:cs="Times New Roman"/>
              </w:rPr>
              <w:t>pH、溶解氧、高锰酸盐指数、COD、BOD</w:t>
            </w:r>
            <w:r>
              <w:rPr>
                <w:rFonts w:cs="Times New Roman"/>
                <w:vertAlign w:val="subscript"/>
              </w:rPr>
              <w:t>5</w:t>
            </w:r>
            <w:r>
              <w:rPr>
                <w:rFonts w:cs="Times New Roman"/>
              </w:rPr>
              <w:t>、氨氮、总磷、粪大肠菌群</w:t>
            </w:r>
          </w:p>
        </w:tc>
      </w:tr>
      <w:tr w14:paraId="670B987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7" w:type="pct"/>
            <w:vMerge w:val="continue"/>
            <w:vAlign w:val="center"/>
          </w:tcPr>
          <w:p w14:paraId="35FC8396">
            <w:pPr>
              <w:pStyle w:val="179"/>
              <w:rPr>
                <w:rFonts w:cs="Times New Roman"/>
              </w:rPr>
            </w:pPr>
          </w:p>
        </w:tc>
        <w:tc>
          <w:tcPr>
            <w:tcW w:w="423" w:type="pct"/>
            <w:gridSpan w:val="2"/>
            <w:vMerge w:val="restart"/>
            <w:vAlign w:val="center"/>
          </w:tcPr>
          <w:p w14:paraId="0EE71D02">
            <w:pPr>
              <w:pStyle w:val="179"/>
              <w:rPr>
                <w:rFonts w:cs="Times New Roman"/>
              </w:rPr>
            </w:pPr>
            <w:r>
              <w:rPr>
                <w:rFonts w:cs="Times New Roman"/>
              </w:rPr>
              <w:t>影响评价</w:t>
            </w:r>
          </w:p>
        </w:tc>
        <w:tc>
          <w:tcPr>
            <w:tcW w:w="526" w:type="pct"/>
            <w:vAlign w:val="center"/>
          </w:tcPr>
          <w:p w14:paraId="125B6828">
            <w:pPr>
              <w:pStyle w:val="14"/>
              <w:spacing w:after="0" w:line="240" w:lineRule="auto"/>
              <w:ind w:firstLine="0" w:firstLineChars="0"/>
              <w:jc w:val="center"/>
              <w:rPr>
                <w:bCs/>
                <w:sz w:val="21"/>
                <w:szCs w:val="21"/>
              </w:rPr>
            </w:pPr>
            <w:r>
              <w:rPr>
                <w:bCs/>
                <w:sz w:val="21"/>
                <w:szCs w:val="21"/>
              </w:rPr>
              <w:t>施工期</w:t>
            </w:r>
          </w:p>
        </w:tc>
        <w:tc>
          <w:tcPr>
            <w:tcW w:w="3224" w:type="pct"/>
            <w:vAlign w:val="center"/>
          </w:tcPr>
          <w:p w14:paraId="6F5B05FB">
            <w:pPr>
              <w:pStyle w:val="179"/>
              <w:rPr>
                <w:rFonts w:cs="Times New Roman"/>
              </w:rPr>
            </w:pPr>
            <w:r>
              <w:rPr>
                <w:rFonts w:cs="Times New Roman"/>
              </w:rPr>
              <w:t>COD、SS、氨氮</w:t>
            </w:r>
          </w:p>
        </w:tc>
      </w:tr>
      <w:tr w14:paraId="499A467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7" w:type="pct"/>
            <w:vMerge w:val="continue"/>
            <w:vAlign w:val="center"/>
          </w:tcPr>
          <w:p w14:paraId="65386057">
            <w:pPr>
              <w:pStyle w:val="179"/>
              <w:rPr>
                <w:rFonts w:cs="Times New Roman"/>
              </w:rPr>
            </w:pPr>
          </w:p>
        </w:tc>
        <w:tc>
          <w:tcPr>
            <w:tcW w:w="423" w:type="pct"/>
            <w:gridSpan w:val="2"/>
            <w:vMerge w:val="continue"/>
            <w:vAlign w:val="center"/>
          </w:tcPr>
          <w:p w14:paraId="6A734BE7">
            <w:pPr>
              <w:pStyle w:val="179"/>
              <w:rPr>
                <w:rFonts w:cs="Times New Roman"/>
              </w:rPr>
            </w:pPr>
          </w:p>
        </w:tc>
        <w:tc>
          <w:tcPr>
            <w:tcW w:w="526" w:type="pct"/>
            <w:vAlign w:val="center"/>
          </w:tcPr>
          <w:p w14:paraId="73CC4C3C">
            <w:pPr>
              <w:pStyle w:val="14"/>
              <w:spacing w:after="0" w:line="240" w:lineRule="auto"/>
              <w:ind w:firstLine="0" w:firstLineChars="0"/>
              <w:jc w:val="center"/>
              <w:rPr>
                <w:bCs/>
                <w:sz w:val="21"/>
                <w:szCs w:val="21"/>
              </w:rPr>
            </w:pPr>
            <w:r>
              <w:rPr>
                <w:bCs/>
                <w:sz w:val="21"/>
                <w:szCs w:val="21"/>
              </w:rPr>
              <w:t>运营期</w:t>
            </w:r>
          </w:p>
        </w:tc>
        <w:tc>
          <w:tcPr>
            <w:tcW w:w="3224" w:type="pct"/>
            <w:vAlign w:val="center"/>
          </w:tcPr>
          <w:p w14:paraId="69DEE092">
            <w:pPr>
              <w:pStyle w:val="179"/>
              <w:rPr>
                <w:rFonts w:cs="Times New Roman"/>
              </w:rPr>
            </w:pPr>
            <w:r>
              <w:rPr>
                <w:rFonts w:cs="Times New Roman"/>
              </w:rPr>
              <w:t>COD、SS、氨氮</w:t>
            </w:r>
          </w:p>
        </w:tc>
      </w:tr>
      <w:tr w14:paraId="4010926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7" w:type="pct"/>
            <w:vMerge w:val="restart"/>
            <w:vAlign w:val="center"/>
          </w:tcPr>
          <w:p w14:paraId="449A2AD3">
            <w:pPr>
              <w:pStyle w:val="179"/>
              <w:rPr>
                <w:rFonts w:cs="Times New Roman"/>
              </w:rPr>
            </w:pPr>
            <w:r>
              <w:rPr>
                <w:rFonts w:cs="Times New Roman"/>
              </w:rPr>
              <w:t>固体废物</w:t>
            </w:r>
          </w:p>
        </w:tc>
        <w:tc>
          <w:tcPr>
            <w:tcW w:w="423" w:type="pct"/>
            <w:gridSpan w:val="2"/>
            <w:vMerge w:val="restart"/>
            <w:vAlign w:val="center"/>
          </w:tcPr>
          <w:p w14:paraId="5948E1E7">
            <w:pPr>
              <w:pStyle w:val="179"/>
              <w:rPr>
                <w:rFonts w:cs="Times New Roman"/>
              </w:rPr>
            </w:pPr>
            <w:r>
              <w:rPr>
                <w:rFonts w:cs="Times New Roman"/>
              </w:rPr>
              <w:t>影响评价</w:t>
            </w:r>
          </w:p>
        </w:tc>
        <w:tc>
          <w:tcPr>
            <w:tcW w:w="526" w:type="pct"/>
            <w:vAlign w:val="center"/>
          </w:tcPr>
          <w:p w14:paraId="597BB04F">
            <w:pPr>
              <w:pStyle w:val="14"/>
              <w:spacing w:after="0" w:line="240" w:lineRule="auto"/>
              <w:ind w:firstLine="0" w:firstLineChars="0"/>
              <w:jc w:val="center"/>
              <w:rPr>
                <w:bCs/>
                <w:sz w:val="21"/>
                <w:szCs w:val="21"/>
              </w:rPr>
            </w:pPr>
            <w:r>
              <w:rPr>
                <w:bCs/>
                <w:sz w:val="21"/>
                <w:szCs w:val="21"/>
              </w:rPr>
              <w:t>施工期</w:t>
            </w:r>
          </w:p>
        </w:tc>
        <w:tc>
          <w:tcPr>
            <w:tcW w:w="3224" w:type="pct"/>
            <w:vAlign w:val="center"/>
          </w:tcPr>
          <w:p w14:paraId="18AD2DB2">
            <w:pPr>
              <w:pStyle w:val="179"/>
              <w:rPr>
                <w:rFonts w:cs="Times New Roman"/>
              </w:rPr>
            </w:pPr>
            <w:r>
              <w:rPr>
                <w:rFonts w:cs="Times New Roman"/>
              </w:rPr>
              <w:t>生活垃圾</w:t>
            </w:r>
          </w:p>
        </w:tc>
      </w:tr>
      <w:tr w14:paraId="5B6AB84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7" w:type="pct"/>
            <w:vMerge w:val="continue"/>
            <w:vAlign w:val="center"/>
          </w:tcPr>
          <w:p w14:paraId="79DA1FD5">
            <w:pPr>
              <w:pStyle w:val="179"/>
              <w:rPr>
                <w:rFonts w:cs="Times New Roman"/>
              </w:rPr>
            </w:pPr>
          </w:p>
        </w:tc>
        <w:tc>
          <w:tcPr>
            <w:tcW w:w="423" w:type="pct"/>
            <w:gridSpan w:val="2"/>
            <w:vMerge w:val="continue"/>
            <w:vAlign w:val="center"/>
          </w:tcPr>
          <w:p w14:paraId="31DE435F">
            <w:pPr>
              <w:pStyle w:val="179"/>
              <w:rPr>
                <w:rFonts w:cs="Times New Roman"/>
              </w:rPr>
            </w:pPr>
          </w:p>
        </w:tc>
        <w:tc>
          <w:tcPr>
            <w:tcW w:w="526" w:type="pct"/>
            <w:vAlign w:val="center"/>
          </w:tcPr>
          <w:p w14:paraId="11CAA830">
            <w:pPr>
              <w:pStyle w:val="179"/>
              <w:rPr>
                <w:rFonts w:cs="Times New Roman"/>
              </w:rPr>
            </w:pPr>
            <w:r>
              <w:rPr>
                <w:bCs w:val="0"/>
                <w:szCs w:val="21"/>
              </w:rPr>
              <w:t>运营期</w:t>
            </w:r>
          </w:p>
        </w:tc>
        <w:tc>
          <w:tcPr>
            <w:tcW w:w="3224" w:type="pct"/>
            <w:vAlign w:val="center"/>
          </w:tcPr>
          <w:p w14:paraId="7CFCA5B4">
            <w:pPr>
              <w:pStyle w:val="179"/>
              <w:rPr>
                <w:rFonts w:cs="Times New Roman"/>
              </w:rPr>
            </w:pPr>
            <w:r>
              <w:rPr>
                <w:rFonts w:cs="Times New Roman"/>
              </w:rPr>
              <w:t>生活垃圾、沉淀池</w:t>
            </w:r>
            <w:r>
              <w:rPr>
                <w:rFonts w:hint="eastAsia" w:cs="Times New Roman"/>
              </w:rPr>
              <w:t>沉渣</w:t>
            </w:r>
          </w:p>
        </w:tc>
      </w:tr>
      <w:tr w14:paraId="63D875B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7" w:type="pct"/>
            <w:vMerge w:val="restart"/>
            <w:vAlign w:val="center"/>
          </w:tcPr>
          <w:p w14:paraId="6C86EEE5">
            <w:pPr>
              <w:pStyle w:val="179"/>
              <w:rPr>
                <w:rFonts w:cs="Times New Roman"/>
              </w:rPr>
            </w:pPr>
            <w:r>
              <w:rPr>
                <w:rFonts w:cs="Times New Roman"/>
              </w:rPr>
              <w:t>土壤</w:t>
            </w:r>
          </w:p>
        </w:tc>
        <w:tc>
          <w:tcPr>
            <w:tcW w:w="949" w:type="pct"/>
            <w:gridSpan w:val="3"/>
            <w:vAlign w:val="center"/>
          </w:tcPr>
          <w:p w14:paraId="79842542">
            <w:pPr>
              <w:pStyle w:val="179"/>
              <w:rPr>
                <w:bCs w:val="0"/>
                <w:szCs w:val="21"/>
              </w:rPr>
            </w:pPr>
            <w:r>
              <w:rPr>
                <w:rFonts w:cs="Times New Roman"/>
              </w:rPr>
              <w:t>环境现状评价</w:t>
            </w:r>
          </w:p>
        </w:tc>
        <w:tc>
          <w:tcPr>
            <w:tcW w:w="3224" w:type="pct"/>
            <w:vAlign w:val="center"/>
          </w:tcPr>
          <w:p w14:paraId="24D84A10">
            <w:pPr>
              <w:pStyle w:val="179"/>
              <w:rPr>
                <w:rFonts w:cs="Times New Roman"/>
              </w:rPr>
            </w:pPr>
            <w:r>
              <w:rPr>
                <w:rFonts w:hint="eastAsia" w:cs="Times New Roman"/>
              </w:rPr>
              <w:t>pH值，砷、镉、铬（六价）、铜、铅、汞、镍、四氯化碳、氯仿、氯甲烷，1，1-二氯乙烷、1，2-二氯乙烷、1，1-二氯乙烯、顺-1，1-二氯乙烯、反-1，1-二氯乙烯、二氯甲烷、1，2-二氯丙烷、1，1，1，2-四氯乙烷、1，1，2，2-四氯乙烷、四氯乙烯、1，1，1-三氯乙烷、1，1，2-三氯乙烷、三氯乙烯、1，2，3-三氯丙烷、氯乙烯、苯、氯苯、1，2-二氯苯、1，4-二氯苯、乙苯、苯乙烯、甲苯、间二甲苯+对二甲苯、邻二甲苯、硝基苯、苯胺、2-氯酚、苯丙[α]蒽、苯丙[α]芘、苯丙[b]荧蒽、苯丙[k]荧蒽、䓛、二苯并[α，h]蒽、茚并[1，2，3-cd]芘、萘、石油烃</w:t>
            </w:r>
          </w:p>
        </w:tc>
      </w:tr>
      <w:bookmarkEnd w:id="79"/>
      <w:bookmarkEnd w:id="80"/>
      <w:bookmarkEnd w:id="81"/>
      <w:bookmarkEnd w:id="82"/>
      <w:bookmarkEnd w:id="83"/>
      <w:bookmarkEnd w:id="84"/>
      <w:bookmarkEnd w:id="85"/>
      <w:bookmarkEnd w:id="86"/>
      <w:bookmarkEnd w:id="87"/>
      <w:tr w14:paraId="566B7E6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7" w:type="pct"/>
            <w:vMerge w:val="continue"/>
            <w:vAlign w:val="center"/>
          </w:tcPr>
          <w:p w14:paraId="1C43EAC5">
            <w:pPr>
              <w:pStyle w:val="179"/>
              <w:rPr>
                <w:rFonts w:cs="Times New Roman"/>
              </w:rPr>
            </w:pPr>
          </w:p>
        </w:tc>
        <w:tc>
          <w:tcPr>
            <w:tcW w:w="423" w:type="pct"/>
            <w:gridSpan w:val="2"/>
            <w:vMerge w:val="restart"/>
            <w:vAlign w:val="center"/>
          </w:tcPr>
          <w:p w14:paraId="700DEE98">
            <w:pPr>
              <w:pStyle w:val="179"/>
              <w:rPr>
                <w:rFonts w:cs="Times New Roman"/>
              </w:rPr>
            </w:pPr>
            <w:r>
              <w:rPr>
                <w:rFonts w:cs="Times New Roman"/>
              </w:rPr>
              <w:t>影响评价</w:t>
            </w:r>
          </w:p>
        </w:tc>
        <w:tc>
          <w:tcPr>
            <w:tcW w:w="526" w:type="pct"/>
            <w:vAlign w:val="center"/>
          </w:tcPr>
          <w:p w14:paraId="3D92A5F3">
            <w:pPr>
              <w:pStyle w:val="14"/>
              <w:spacing w:after="0" w:line="240" w:lineRule="auto"/>
              <w:ind w:firstLine="0" w:firstLineChars="0"/>
              <w:jc w:val="center"/>
              <w:rPr>
                <w:bCs/>
                <w:sz w:val="21"/>
                <w:szCs w:val="21"/>
              </w:rPr>
            </w:pPr>
            <w:r>
              <w:rPr>
                <w:bCs/>
                <w:sz w:val="21"/>
                <w:szCs w:val="21"/>
              </w:rPr>
              <w:t>施工期</w:t>
            </w:r>
          </w:p>
        </w:tc>
        <w:tc>
          <w:tcPr>
            <w:tcW w:w="3224" w:type="pct"/>
            <w:vAlign w:val="center"/>
          </w:tcPr>
          <w:p w14:paraId="4ACC71E1">
            <w:pPr>
              <w:pStyle w:val="179"/>
              <w:rPr>
                <w:rFonts w:cs="Times New Roman"/>
              </w:rPr>
            </w:pPr>
            <w:r>
              <w:rPr>
                <w:rFonts w:hint="eastAsia" w:cs="Times New Roman"/>
              </w:rPr>
              <w:t>石油类</w:t>
            </w:r>
          </w:p>
        </w:tc>
      </w:tr>
      <w:tr w14:paraId="4A0A204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7" w:type="pct"/>
            <w:vMerge w:val="continue"/>
            <w:vAlign w:val="center"/>
          </w:tcPr>
          <w:p w14:paraId="49207E2F">
            <w:pPr>
              <w:pStyle w:val="179"/>
              <w:rPr>
                <w:rFonts w:cs="Times New Roman"/>
              </w:rPr>
            </w:pPr>
          </w:p>
        </w:tc>
        <w:tc>
          <w:tcPr>
            <w:tcW w:w="423" w:type="pct"/>
            <w:gridSpan w:val="2"/>
            <w:vMerge w:val="continue"/>
            <w:vAlign w:val="center"/>
          </w:tcPr>
          <w:p w14:paraId="47B49551">
            <w:pPr>
              <w:pStyle w:val="179"/>
              <w:rPr>
                <w:rFonts w:cs="Times New Roman"/>
              </w:rPr>
            </w:pPr>
          </w:p>
        </w:tc>
        <w:tc>
          <w:tcPr>
            <w:tcW w:w="526" w:type="pct"/>
            <w:vAlign w:val="center"/>
          </w:tcPr>
          <w:p w14:paraId="752FA8DE">
            <w:pPr>
              <w:pStyle w:val="179"/>
              <w:rPr>
                <w:rFonts w:cs="Times New Roman"/>
              </w:rPr>
            </w:pPr>
            <w:r>
              <w:rPr>
                <w:bCs w:val="0"/>
                <w:szCs w:val="21"/>
              </w:rPr>
              <w:t>运营期</w:t>
            </w:r>
          </w:p>
        </w:tc>
        <w:tc>
          <w:tcPr>
            <w:tcW w:w="3224" w:type="pct"/>
            <w:vAlign w:val="center"/>
          </w:tcPr>
          <w:p w14:paraId="3E9F8C66">
            <w:pPr>
              <w:pStyle w:val="179"/>
              <w:rPr>
                <w:rFonts w:cs="Times New Roman"/>
              </w:rPr>
            </w:pPr>
            <w:r>
              <w:rPr>
                <w:rFonts w:hint="eastAsia" w:cs="Times New Roman"/>
              </w:rPr>
              <w:t>石油类</w:t>
            </w:r>
          </w:p>
        </w:tc>
      </w:tr>
      <w:tr w14:paraId="595D2F8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7" w:type="pct"/>
            <w:vMerge w:val="restart"/>
            <w:vAlign w:val="center"/>
          </w:tcPr>
          <w:p w14:paraId="137D0D4E">
            <w:pPr>
              <w:pStyle w:val="179"/>
              <w:rPr>
                <w:rFonts w:cs="Times New Roman"/>
              </w:rPr>
            </w:pPr>
            <w:r>
              <w:rPr>
                <w:rFonts w:cs="Times New Roman"/>
              </w:rPr>
              <w:t>环境风险</w:t>
            </w:r>
          </w:p>
        </w:tc>
        <w:tc>
          <w:tcPr>
            <w:tcW w:w="423" w:type="pct"/>
            <w:gridSpan w:val="2"/>
            <w:vMerge w:val="restart"/>
            <w:vAlign w:val="center"/>
          </w:tcPr>
          <w:p w14:paraId="0C65789B">
            <w:pPr>
              <w:pStyle w:val="179"/>
              <w:rPr>
                <w:rFonts w:cs="Times New Roman"/>
              </w:rPr>
            </w:pPr>
            <w:r>
              <w:rPr>
                <w:rFonts w:cs="Times New Roman"/>
              </w:rPr>
              <w:t>影响评价</w:t>
            </w:r>
          </w:p>
        </w:tc>
        <w:tc>
          <w:tcPr>
            <w:tcW w:w="526" w:type="pct"/>
            <w:vAlign w:val="center"/>
          </w:tcPr>
          <w:p w14:paraId="78D3A48A">
            <w:pPr>
              <w:pStyle w:val="14"/>
              <w:spacing w:after="0" w:line="240" w:lineRule="auto"/>
              <w:ind w:firstLine="0" w:firstLineChars="0"/>
              <w:jc w:val="center"/>
              <w:rPr>
                <w:bCs/>
                <w:sz w:val="21"/>
                <w:szCs w:val="21"/>
              </w:rPr>
            </w:pPr>
            <w:r>
              <w:rPr>
                <w:bCs/>
                <w:sz w:val="21"/>
                <w:szCs w:val="21"/>
              </w:rPr>
              <w:t>施工期</w:t>
            </w:r>
          </w:p>
        </w:tc>
        <w:tc>
          <w:tcPr>
            <w:tcW w:w="3224" w:type="pct"/>
            <w:vAlign w:val="center"/>
          </w:tcPr>
          <w:p w14:paraId="7F31163F">
            <w:pPr>
              <w:pStyle w:val="179"/>
              <w:rPr>
                <w:rFonts w:cs="Times New Roman"/>
              </w:rPr>
            </w:pPr>
            <w:r>
              <w:rPr>
                <w:rFonts w:hint="eastAsia" w:cs="Times New Roman"/>
              </w:rPr>
              <w:t>/</w:t>
            </w:r>
          </w:p>
        </w:tc>
      </w:tr>
      <w:tr w14:paraId="20BCCBF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7" w:type="pct"/>
            <w:vMerge w:val="continue"/>
            <w:vAlign w:val="center"/>
          </w:tcPr>
          <w:p w14:paraId="07155DEE">
            <w:pPr>
              <w:pStyle w:val="179"/>
              <w:rPr>
                <w:rFonts w:cs="Times New Roman"/>
              </w:rPr>
            </w:pPr>
          </w:p>
        </w:tc>
        <w:tc>
          <w:tcPr>
            <w:tcW w:w="423" w:type="pct"/>
            <w:gridSpan w:val="2"/>
            <w:vMerge w:val="continue"/>
            <w:vAlign w:val="center"/>
          </w:tcPr>
          <w:p w14:paraId="776A939D">
            <w:pPr>
              <w:pStyle w:val="179"/>
              <w:rPr>
                <w:rFonts w:cs="Times New Roman"/>
              </w:rPr>
            </w:pPr>
          </w:p>
        </w:tc>
        <w:tc>
          <w:tcPr>
            <w:tcW w:w="526" w:type="pct"/>
            <w:vAlign w:val="center"/>
          </w:tcPr>
          <w:p w14:paraId="1FE997E0">
            <w:pPr>
              <w:pStyle w:val="179"/>
              <w:rPr>
                <w:rFonts w:cs="Times New Roman"/>
              </w:rPr>
            </w:pPr>
            <w:r>
              <w:rPr>
                <w:bCs w:val="0"/>
                <w:szCs w:val="21"/>
              </w:rPr>
              <w:t>运营期</w:t>
            </w:r>
          </w:p>
        </w:tc>
        <w:tc>
          <w:tcPr>
            <w:tcW w:w="3224" w:type="pct"/>
            <w:vAlign w:val="center"/>
          </w:tcPr>
          <w:p w14:paraId="78693F39">
            <w:pPr>
              <w:pStyle w:val="179"/>
              <w:rPr>
                <w:rFonts w:cs="Times New Roman"/>
              </w:rPr>
            </w:pPr>
            <w:r>
              <w:rPr>
                <w:rFonts w:hint="eastAsia" w:cs="Times New Roman"/>
              </w:rPr>
              <w:t>/</w:t>
            </w:r>
          </w:p>
        </w:tc>
      </w:tr>
    </w:tbl>
    <w:p w14:paraId="4CFAFFC2">
      <w:pPr>
        <w:pStyle w:val="178"/>
      </w:pPr>
      <w:bookmarkStart w:id="88" w:name="_Toc61013856"/>
      <w:bookmarkStart w:id="89" w:name="_Toc61013241"/>
      <w:bookmarkStart w:id="90" w:name="_Toc76395485"/>
      <w:bookmarkStart w:id="91" w:name="_Toc61013651"/>
      <w:bookmarkStart w:id="92" w:name="_Toc12649301"/>
      <w:bookmarkStart w:id="93" w:name="_Toc61013036"/>
      <w:bookmarkStart w:id="94" w:name="_Toc61012560"/>
      <w:bookmarkStart w:id="95" w:name="_Toc61012942"/>
      <w:bookmarkStart w:id="96" w:name="_Toc61013446"/>
      <w:r>
        <w:rPr>
          <w:rFonts w:ascii="Times New Roman"/>
        </w:rPr>
        <w:t>表2.3-</w:t>
      </w:r>
      <w:r>
        <w:rPr>
          <w:rFonts w:hint="eastAsia" w:ascii="Times New Roman"/>
        </w:rPr>
        <w:t>3</w:t>
      </w:r>
      <w:r>
        <w:rPr>
          <w:rFonts w:hint="eastAsia"/>
        </w:rPr>
        <w:t>施工期生态环境影响评价因子筛选表</w:t>
      </w:r>
    </w:p>
    <w:tbl>
      <w:tblPr>
        <w:tblStyle w:val="36"/>
        <w:tblW w:w="5000" w:type="pct"/>
        <w:jc w:val="center"/>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Layout w:type="autofit"/>
        <w:tblCellMar>
          <w:top w:w="0" w:type="dxa"/>
          <w:left w:w="108" w:type="dxa"/>
          <w:bottom w:w="0" w:type="dxa"/>
          <w:right w:w="108" w:type="dxa"/>
        </w:tblCellMar>
      </w:tblPr>
      <w:tblGrid>
        <w:gridCol w:w="1191"/>
        <w:gridCol w:w="2241"/>
        <w:gridCol w:w="2774"/>
        <w:gridCol w:w="1428"/>
        <w:gridCol w:w="895"/>
      </w:tblGrid>
      <w:tr w14:paraId="34C29B2C">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tblHeader/>
          <w:jc w:val="center"/>
        </w:trPr>
        <w:tc>
          <w:tcPr>
            <w:tcW w:w="1291" w:type="dxa"/>
            <w:noWrap/>
            <w:vAlign w:val="center"/>
          </w:tcPr>
          <w:p w14:paraId="772DC508">
            <w:pPr>
              <w:pStyle w:val="179"/>
              <w:rPr>
                <w:b/>
              </w:rPr>
            </w:pPr>
            <w:r>
              <w:rPr>
                <w:rFonts w:hint="eastAsia"/>
                <w:b/>
              </w:rPr>
              <w:t>受影响对象</w:t>
            </w:r>
          </w:p>
        </w:tc>
        <w:tc>
          <w:tcPr>
            <w:tcW w:w="2447" w:type="dxa"/>
            <w:noWrap/>
            <w:vAlign w:val="center"/>
          </w:tcPr>
          <w:p w14:paraId="4CA8BE7E">
            <w:pPr>
              <w:pStyle w:val="179"/>
              <w:rPr>
                <w:b/>
              </w:rPr>
            </w:pPr>
            <w:r>
              <w:rPr>
                <w:rFonts w:hint="eastAsia"/>
                <w:b/>
              </w:rPr>
              <w:t>评价因子</w:t>
            </w:r>
          </w:p>
        </w:tc>
        <w:tc>
          <w:tcPr>
            <w:tcW w:w="3035" w:type="dxa"/>
            <w:noWrap/>
            <w:vAlign w:val="center"/>
          </w:tcPr>
          <w:p w14:paraId="768C642F">
            <w:pPr>
              <w:pStyle w:val="179"/>
              <w:rPr>
                <w:b/>
              </w:rPr>
            </w:pPr>
            <w:r>
              <w:rPr>
                <w:rFonts w:hint="eastAsia"/>
                <w:b/>
              </w:rPr>
              <w:t>工程内容及影响方式</w:t>
            </w:r>
          </w:p>
        </w:tc>
        <w:tc>
          <w:tcPr>
            <w:tcW w:w="1551" w:type="dxa"/>
            <w:noWrap/>
            <w:vAlign w:val="center"/>
          </w:tcPr>
          <w:p w14:paraId="481B0865">
            <w:pPr>
              <w:pStyle w:val="179"/>
              <w:rPr>
                <w:b/>
              </w:rPr>
            </w:pPr>
            <w:r>
              <w:rPr>
                <w:rFonts w:hint="eastAsia"/>
                <w:b/>
              </w:rPr>
              <w:t>影响性质</w:t>
            </w:r>
          </w:p>
        </w:tc>
        <w:tc>
          <w:tcPr>
            <w:tcW w:w="964" w:type="dxa"/>
            <w:noWrap/>
            <w:vAlign w:val="center"/>
          </w:tcPr>
          <w:p w14:paraId="5AA18C2A">
            <w:pPr>
              <w:pStyle w:val="179"/>
              <w:rPr>
                <w:b/>
              </w:rPr>
            </w:pPr>
            <w:r>
              <w:rPr>
                <w:rFonts w:hint="eastAsia"/>
                <w:b/>
              </w:rPr>
              <w:t>影响程度</w:t>
            </w:r>
          </w:p>
        </w:tc>
      </w:tr>
      <w:tr w14:paraId="24DA9E99">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291" w:type="dxa"/>
            <w:noWrap/>
            <w:vAlign w:val="center"/>
          </w:tcPr>
          <w:p w14:paraId="73B4A448">
            <w:pPr>
              <w:pStyle w:val="179"/>
            </w:pPr>
            <w:r>
              <w:rPr>
                <w:rFonts w:hint="eastAsia"/>
              </w:rPr>
              <w:t>物种</w:t>
            </w:r>
          </w:p>
        </w:tc>
        <w:tc>
          <w:tcPr>
            <w:tcW w:w="2447" w:type="dxa"/>
            <w:noWrap/>
            <w:vAlign w:val="center"/>
          </w:tcPr>
          <w:p w14:paraId="27F4D7B4">
            <w:pPr>
              <w:pStyle w:val="179"/>
            </w:pPr>
            <w:r>
              <w:rPr>
                <w:rFonts w:hint="eastAsia"/>
              </w:rPr>
              <w:t>分布范围、种群数量、种群结构和行为</w:t>
            </w:r>
          </w:p>
        </w:tc>
        <w:tc>
          <w:tcPr>
            <w:tcW w:w="3035" w:type="dxa"/>
            <w:noWrap/>
            <w:vAlign w:val="center"/>
          </w:tcPr>
          <w:p w14:paraId="02DCA6FC">
            <w:pPr>
              <w:pStyle w:val="179"/>
            </w:pPr>
            <w:r>
              <w:rPr>
                <w:rFonts w:hint="eastAsia"/>
              </w:rPr>
              <w:t>工程占用、施工活动、噪声干扰/直接影响</w:t>
            </w:r>
          </w:p>
        </w:tc>
        <w:tc>
          <w:tcPr>
            <w:tcW w:w="1551" w:type="dxa"/>
            <w:noWrap/>
            <w:vAlign w:val="center"/>
          </w:tcPr>
          <w:p w14:paraId="570A7FC2">
            <w:pPr>
              <w:pStyle w:val="179"/>
            </w:pPr>
            <w:r>
              <w:rPr>
                <w:rFonts w:hint="eastAsia"/>
              </w:rPr>
              <w:t>短期、可逆</w:t>
            </w:r>
          </w:p>
        </w:tc>
        <w:tc>
          <w:tcPr>
            <w:tcW w:w="964" w:type="dxa"/>
            <w:noWrap/>
            <w:vAlign w:val="center"/>
          </w:tcPr>
          <w:p w14:paraId="0056F5FE">
            <w:pPr>
              <w:pStyle w:val="179"/>
            </w:pPr>
            <w:r>
              <w:rPr>
                <w:rFonts w:hint="eastAsia"/>
              </w:rPr>
              <w:t>弱</w:t>
            </w:r>
          </w:p>
        </w:tc>
      </w:tr>
      <w:tr w14:paraId="0D7B72E4">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291" w:type="dxa"/>
            <w:noWrap/>
            <w:vAlign w:val="center"/>
          </w:tcPr>
          <w:p w14:paraId="0364A1F8">
            <w:pPr>
              <w:pStyle w:val="179"/>
            </w:pPr>
            <w:r>
              <w:rPr>
                <w:rFonts w:hint="eastAsia"/>
              </w:rPr>
              <w:t>生境</w:t>
            </w:r>
          </w:p>
        </w:tc>
        <w:tc>
          <w:tcPr>
            <w:tcW w:w="2447" w:type="dxa"/>
            <w:noWrap/>
            <w:vAlign w:val="center"/>
          </w:tcPr>
          <w:p w14:paraId="79FF7660">
            <w:pPr>
              <w:pStyle w:val="179"/>
            </w:pPr>
            <w:r>
              <w:rPr>
                <w:rFonts w:hint="eastAsia"/>
              </w:rPr>
              <w:t>生境面积、质量、连通性</w:t>
            </w:r>
          </w:p>
        </w:tc>
        <w:tc>
          <w:tcPr>
            <w:tcW w:w="3035" w:type="dxa"/>
            <w:noWrap/>
            <w:vAlign w:val="center"/>
          </w:tcPr>
          <w:p w14:paraId="6A8DF680">
            <w:pPr>
              <w:pStyle w:val="179"/>
            </w:pPr>
            <w:r>
              <w:rPr>
                <w:rFonts w:hint="eastAsia"/>
              </w:rPr>
              <w:t>工程占用、施工活动/直接影响</w:t>
            </w:r>
          </w:p>
        </w:tc>
        <w:tc>
          <w:tcPr>
            <w:tcW w:w="1551" w:type="dxa"/>
            <w:noWrap/>
            <w:vAlign w:val="center"/>
          </w:tcPr>
          <w:p w14:paraId="0C76AB0C">
            <w:pPr>
              <w:pStyle w:val="179"/>
            </w:pPr>
            <w:r>
              <w:rPr>
                <w:rFonts w:hint="eastAsia"/>
              </w:rPr>
              <w:t>短期、可逆</w:t>
            </w:r>
          </w:p>
        </w:tc>
        <w:tc>
          <w:tcPr>
            <w:tcW w:w="964" w:type="dxa"/>
            <w:noWrap/>
            <w:vAlign w:val="center"/>
          </w:tcPr>
          <w:p w14:paraId="3DDEAB57">
            <w:pPr>
              <w:pStyle w:val="179"/>
            </w:pPr>
            <w:r>
              <w:rPr>
                <w:rFonts w:hint="eastAsia"/>
              </w:rPr>
              <w:t>弱</w:t>
            </w:r>
          </w:p>
        </w:tc>
      </w:tr>
      <w:tr w14:paraId="4236223F">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291" w:type="dxa"/>
            <w:noWrap/>
            <w:vAlign w:val="center"/>
          </w:tcPr>
          <w:p w14:paraId="2B9EE92E">
            <w:pPr>
              <w:pStyle w:val="179"/>
            </w:pPr>
            <w:r>
              <w:t>生物群落</w:t>
            </w:r>
          </w:p>
        </w:tc>
        <w:tc>
          <w:tcPr>
            <w:tcW w:w="2447" w:type="dxa"/>
            <w:noWrap/>
            <w:vAlign w:val="center"/>
          </w:tcPr>
          <w:p w14:paraId="4392C6D6">
            <w:pPr>
              <w:pStyle w:val="179"/>
            </w:pPr>
            <w:r>
              <w:t>物种组成、群落结构</w:t>
            </w:r>
          </w:p>
        </w:tc>
        <w:tc>
          <w:tcPr>
            <w:tcW w:w="3035" w:type="dxa"/>
            <w:noWrap/>
            <w:vAlign w:val="center"/>
          </w:tcPr>
          <w:p w14:paraId="264D107F">
            <w:pPr>
              <w:pStyle w:val="179"/>
            </w:pPr>
            <w:r>
              <w:rPr>
                <w:rFonts w:hint="eastAsia"/>
              </w:rPr>
              <w:t>工程占用、施工活动/直接影响</w:t>
            </w:r>
          </w:p>
        </w:tc>
        <w:tc>
          <w:tcPr>
            <w:tcW w:w="1551" w:type="dxa"/>
            <w:noWrap/>
            <w:vAlign w:val="center"/>
          </w:tcPr>
          <w:p w14:paraId="1C26F95C">
            <w:pPr>
              <w:pStyle w:val="179"/>
            </w:pPr>
            <w:r>
              <w:rPr>
                <w:rFonts w:hint="eastAsia"/>
              </w:rPr>
              <w:t>短期、可逆</w:t>
            </w:r>
          </w:p>
        </w:tc>
        <w:tc>
          <w:tcPr>
            <w:tcW w:w="964" w:type="dxa"/>
            <w:noWrap/>
            <w:vAlign w:val="center"/>
          </w:tcPr>
          <w:p w14:paraId="162360A3">
            <w:pPr>
              <w:pStyle w:val="179"/>
            </w:pPr>
            <w:r>
              <w:rPr>
                <w:rFonts w:hint="eastAsia"/>
              </w:rPr>
              <w:t>弱</w:t>
            </w:r>
          </w:p>
        </w:tc>
      </w:tr>
      <w:tr w14:paraId="71687B6D">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291" w:type="dxa"/>
            <w:noWrap/>
            <w:vAlign w:val="center"/>
          </w:tcPr>
          <w:p w14:paraId="451C9167">
            <w:pPr>
              <w:pStyle w:val="179"/>
            </w:pPr>
            <w:r>
              <w:rPr>
                <w:rFonts w:hint="eastAsia"/>
              </w:rPr>
              <w:t>生态系统</w:t>
            </w:r>
          </w:p>
        </w:tc>
        <w:tc>
          <w:tcPr>
            <w:tcW w:w="2447" w:type="dxa"/>
            <w:noWrap/>
            <w:vAlign w:val="center"/>
          </w:tcPr>
          <w:p w14:paraId="53F053CB">
            <w:pPr>
              <w:pStyle w:val="179"/>
            </w:pPr>
            <w:r>
              <w:rPr>
                <w:rFonts w:hint="eastAsia"/>
              </w:rPr>
              <w:t>分布情况、生产力、生物量、生态系统功能</w:t>
            </w:r>
          </w:p>
        </w:tc>
        <w:tc>
          <w:tcPr>
            <w:tcW w:w="3035" w:type="dxa"/>
            <w:noWrap/>
            <w:vAlign w:val="center"/>
          </w:tcPr>
          <w:p w14:paraId="674F4D5D">
            <w:pPr>
              <w:pStyle w:val="179"/>
            </w:pPr>
            <w:r>
              <w:rPr>
                <w:rFonts w:hint="eastAsia"/>
              </w:rPr>
              <w:t>工程占用、施工活动/直接影响</w:t>
            </w:r>
          </w:p>
        </w:tc>
        <w:tc>
          <w:tcPr>
            <w:tcW w:w="1551" w:type="dxa"/>
            <w:noWrap/>
            <w:vAlign w:val="center"/>
          </w:tcPr>
          <w:p w14:paraId="514B5CAD">
            <w:pPr>
              <w:pStyle w:val="179"/>
            </w:pPr>
            <w:r>
              <w:rPr>
                <w:rFonts w:hint="eastAsia"/>
              </w:rPr>
              <w:t>短期、可逆</w:t>
            </w:r>
          </w:p>
        </w:tc>
        <w:tc>
          <w:tcPr>
            <w:tcW w:w="964" w:type="dxa"/>
            <w:noWrap/>
            <w:vAlign w:val="center"/>
          </w:tcPr>
          <w:p w14:paraId="59AD6850">
            <w:pPr>
              <w:pStyle w:val="179"/>
            </w:pPr>
            <w:r>
              <w:rPr>
                <w:rFonts w:hint="eastAsia"/>
              </w:rPr>
              <w:t>弱</w:t>
            </w:r>
          </w:p>
        </w:tc>
      </w:tr>
      <w:tr w14:paraId="5F673C77">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291" w:type="dxa"/>
            <w:noWrap/>
            <w:vAlign w:val="center"/>
          </w:tcPr>
          <w:p w14:paraId="23CFE917">
            <w:pPr>
              <w:pStyle w:val="179"/>
            </w:pPr>
            <w:r>
              <w:rPr>
                <w:rFonts w:hint="eastAsia"/>
              </w:rPr>
              <w:t>生物多样性</w:t>
            </w:r>
          </w:p>
        </w:tc>
        <w:tc>
          <w:tcPr>
            <w:tcW w:w="2447" w:type="dxa"/>
            <w:noWrap/>
            <w:vAlign w:val="center"/>
          </w:tcPr>
          <w:p w14:paraId="735458C8">
            <w:pPr>
              <w:pStyle w:val="179"/>
            </w:pPr>
            <w:r>
              <w:rPr>
                <w:rFonts w:hint="eastAsia"/>
              </w:rPr>
              <w:t>物种丰富度、生态系统多样性</w:t>
            </w:r>
          </w:p>
        </w:tc>
        <w:tc>
          <w:tcPr>
            <w:tcW w:w="3035" w:type="dxa"/>
            <w:noWrap/>
            <w:vAlign w:val="center"/>
          </w:tcPr>
          <w:p w14:paraId="77DE7318">
            <w:pPr>
              <w:pStyle w:val="179"/>
            </w:pPr>
            <w:r>
              <w:rPr>
                <w:rFonts w:hint="eastAsia"/>
              </w:rPr>
              <w:t>施工活动/直接影响</w:t>
            </w:r>
          </w:p>
        </w:tc>
        <w:tc>
          <w:tcPr>
            <w:tcW w:w="1551" w:type="dxa"/>
            <w:noWrap/>
            <w:vAlign w:val="center"/>
          </w:tcPr>
          <w:p w14:paraId="64ED86D6">
            <w:pPr>
              <w:pStyle w:val="179"/>
            </w:pPr>
            <w:r>
              <w:rPr>
                <w:rFonts w:hint="eastAsia"/>
              </w:rPr>
              <w:t>短期、可逆</w:t>
            </w:r>
          </w:p>
        </w:tc>
        <w:tc>
          <w:tcPr>
            <w:tcW w:w="964" w:type="dxa"/>
            <w:noWrap/>
            <w:vAlign w:val="center"/>
          </w:tcPr>
          <w:p w14:paraId="1B7C0203">
            <w:pPr>
              <w:pStyle w:val="179"/>
            </w:pPr>
            <w:r>
              <w:rPr>
                <w:rFonts w:hint="eastAsia"/>
              </w:rPr>
              <w:t>弱</w:t>
            </w:r>
          </w:p>
        </w:tc>
      </w:tr>
      <w:tr w14:paraId="1C8D068F">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291" w:type="dxa"/>
            <w:noWrap/>
            <w:vAlign w:val="center"/>
          </w:tcPr>
          <w:p w14:paraId="3B968AB8">
            <w:pPr>
              <w:pStyle w:val="179"/>
            </w:pPr>
            <w:r>
              <w:rPr>
                <w:rFonts w:hint="eastAsia"/>
              </w:rPr>
              <w:t>生态敏感区</w:t>
            </w:r>
          </w:p>
        </w:tc>
        <w:tc>
          <w:tcPr>
            <w:tcW w:w="2447" w:type="dxa"/>
            <w:noWrap/>
            <w:vAlign w:val="center"/>
          </w:tcPr>
          <w:p w14:paraId="0C5CED83">
            <w:pPr>
              <w:pStyle w:val="179"/>
            </w:pPr>
            <w:r>
              <w:rPr>
                <w:rFonts w:hint="eastAsia"/>
              </w:rPr>
              <w:t>主要保护对象、生态功能等</w:t>
            </w:r>
          </w:p>
        </w:tc>
        <w:tc>
          <w:tcPr>
            <w:tcW w:w="3035" w:type="dxa"/>
            <w:noWrap/>
            <w:vAlign w:val="center"/>
          </w:tcPr>
          <w:p w14:paraId="5CB902DB">
            <w:pPr>
              <w:pStyle w:val="179"/>
            </w:pPr>
            <w:r>
              <w:rPr>
                <w:rFonts w:hint="eastAsia"/>
              </w:rPr>
              <w:t>施工活动/直接影响</w:t>
            </w:r>
          </w:p>
        </w:tc>
        <w:tc>
          <w:tcPr>
            <w:tcW w:w="1551" w:type="dxa"/>
            <w:noWrap/>
            <w:vAlign w:val="center"/>
          </w:tcPr>
          <w:p w14:paraId="2812CBB8">
            <w:pPr>
              <w:pStyle w:val="179"/>
            </w:pPr>
            <w:r>
              <w:rPr>
                <w:rFonts w:hint="eastAsia"/>
              </w:rPr>
              <w:t>短期、可逆</w:t>
            </w:r>
          </w:p>
        </w:tc>
        <w:tc>
          <w:tcPr>
            <w:tcW w:w="964" w:type="dxa"/>
            <w:noWrap/>
            <w:vAlign w:val="center"/>
          </w:tcPr>
          <w:p w14:paraId="796E178B">
            <w:pPr>
              <w:pStyle w:val="179"/>
            </w:pPr>
            <w:r>
              <w:rPr>
                <w:rFonts w:hint="eastAsia"/>
              </w:rPr>
              <w:t>弱</w:t>
            </w:r>
          </w:p>
        </w:tc>
      </w:tr>
    </w:tbl>
    <w:p w14:paraId="2DAB84C1">
      <w:pPr>
        <w:pStyle w:val="178"/>
      </w:pPr>
      <w:r>
        <w:rPr>
          <w:rFonts w:hint="eastAsia"/>
        </w:rPr>
        <w:t>表2.3-4  运营期生态环境影响评价因子筛选表</w:t>
      </w:r>
    </w:p>
    <w:tbl>
      <w:tblPr>
        <w:tblStyle w:val="36"/>
        <w:tblW w:w="5000" w:type="pct"/>
        <w:jc w:val="center"/>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Layout w:type="autofit"/>
        <w:tblCellMar>
          <w:top w:w="0" w:type="dxa"/>
          <w:left w:w="108" w:type="dxa"/>
          <w:bottom w:w="0" w:type="dxa"/>
          <w:right w:w="108" w:type="dxa"/>
        </w:tblCellMar>
      </w:tblPr>
      <w:tblGrid>
        <w:gridCol w:w="1187"/>
        <w:gridCol w:w="2155"/>
        <w:gridCol w:w="2862"/>
        <w:gridCol w:w="1329"/>
        <w:gridCol w:w="996"/>
      </w:tblGrid>
      <w:tr w14:paraId="69C060EF">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286" w:type="dxa"/>
            <w:noWrap/>
            <w:vAlign w:val="center"/>
          </w:tcPr>
          <w:p w14:paraId="5CC179DB">
            <w:pPr>
              <w:pStyle w:val="179"/>
            </w:pPr>
            <w:r>
              <w:rPr>
                <w:rFonts w:hint="eastAsia"/>
              </w:rPr>
              <w:t>受影响对象</w:t>
            </w:r>
          </w:p>
        </w:tc>
        <w:tc>
          <w:tcPr>
            <w:tcW w:w="2353" w:type="dxa"/>
            <w:noWrap/>
            <w:vAlign w:val="center"/>
          </w:tcPr>
          <w:p w14:paraId="2AEA0CA6">
            <w:pPr>
              <w:pStyle w:val="179"/>
            </w:pPr>
            <w:r>
              <w:rPr>
                <w:rFonts w:hint="eastAsia"/>
              </w:rPr>
              <w:t>评价因子</w:t>
            </w:r>
          </w:p>
        </w:tc>
        <w:tc>
          <w:tcPr>
            <w:tcW w:w="3132" w:type="dxa"/>
            <w:noWrap/>
            <w:vAlign w:val="center"/>
          </w:tcPr>
          <w:p w14:paraId="09A29F8F">
            <w:pPr>
              <w:pStyle w:val="179"/>
            </w:pPr>
            <w:r>
              <w:rPr>
                <w:rFonts w:hint="eastAsia"/>
              </w:rPr>
              <w:t>工程内容及影响方式</w:t>
            </w:r>
          </w:p>
        </w:tc>
        <w:tc>
          <w:tcPr>
            <w:tcW w:w="1442" w:type="dxa"/>
            <w:noWrap/>
            <w:vAlign w:val="center"/>
          </w:tcPr>
          <w:p w14:paraId="1F23E847">
            <w:pPr>
              <w:pStyle w:val="179"/>
            </w:pPr>
            <w:r>
              <w:rPr>
                <w:rFonts w:hint="eastAsia"/>
              </w:rPr>
              <w:t>影响性质</w:t>
            </w:r>
          </w:p>
        </w:tc>
        <w:tc>
          <w:tcPr>
            <w:tcW w:w="1075" w:type="dxa"/>
            <w:noWrap/>
            <w:vAlign w:val="center"/>
          </w:tcPr>
          <w:p w14:paraId="63D3AD66">
            <w:pPr>
              <w:pStyle w:val="179"/>
            </w:pPr>
            <w:r>
              <w:rPr>
                <w:rFonts w:hint="eastAsia"/>
              </w:rPr>
              <w:t>影响程度</w:t>
            </w:r>
          </w:p>
        </w:tc>
      </w:tr>
      <w:tr w14:paraId="0BCB127E">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286" w:type="dxa"/>
            <w:noWrap/>
            <w:vAlign w:val="center"/>
          </w:tcPr>
          <w:p w14:paraId="00948337">
            <w:pPr>
              <w:pStyle w:val="179"/>
            </w:pPr>
            <w:r>
              <w:rPr>
                <w:rFonts w:hint="eastAsia"/>
              </w:rPr>
              <w:t>物种</w:t>
            </w:r>
          </w:p>
        </w:tc>
        <w:tc>
          <w:tcPr>
            <w:tcW w:w="2353" w:type="dxa"/>
            <w:noWrap/>
            <w:vAlign w:val="center"/>
          </w:tcPr>
          <w:p w14:paraId="17979360">
            <w:pPr>
              <w:pStyle w:val="179"/>
            </w:pPr>
            <w:r>
              <w:rPr>
                <w:rFonts w:hint="eastAsia"/>
              </w:rPr>
              <w:t>分布范围、种群数量、种群结构和行为</w:t>
            </w:r>
          </w:p>
        </w:tc>
        <w:tc>
          <w:tcPr>
            <w:tcW w:w="3132" w:type="dxa"/>
            <w:noWrap/>
            <w:vAlign w:val="center"/>
          </w:tcPr>
          <w:p w14:paraId="182CC80F">
            <w:pPr>
              <w:pStyle w:val="179"/>
            </w:pPr>
            <w:r>
              <w:t>工程运营</w:t>
            </w:r>
            <w:r>
              <w:rPr>
                <w:rFonts w:hint="eastAsia"/>
              </w:rPr>
              <w:t>、</w:t>
            </w:r>
            <w:r>
              <w:t>噪声干扰</w:t>
            </w:r>
            <w:r>
              <w:rPr>
                <w:rFonts w:hint="eastAsia"/>
              </w:rPr>
              <w:t>、矿山开采/直接影响</w:t>
            </w:r>
          </w:p>
        </w:tc>
        <w:tc>
          <w:tcPr>
            <w:tcW w:w="1442" w:type="dxa"/>
            <w:noWrap/>
            <w:vAlign w:val="center"/>
          </w:tcPr>
          <w:p w14:paraId="18E9C0F6">
            <w:pPr>
              <w:pStyle w:val="179"/>
            </w:pPr>
            <w:r>
              <w:t>长期、可逆</w:t>
            </w:r>
          </w:p>
        </w:tc>
        <w:tc>
          <w:tcPr>
            <w:tcW w:w="1075" w:type="dxa"/>
            <w:noWrap/>
            <w:vAlign w:val="center"/>
          </w:tcPr>
          <w:p w14:paraId="0B56C2D2">
            <w:pPr>
              <w:pStyle w:val="179"/>
            </w:pPr>
            <w:r>
              <w:rPr>
                <w:rFonts w:hint="eastAsia"/>
              </w:rPr>
              <w:t>弱</w:t>
            </w:r>
          </w:p>
        </w:tc>
      </w:tr>
      <w:tr w14:paraId="2CC4794D">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286" w:type="dxa"/>
            <w:noWrap/>
            <w:vAlign w:val="center"/>
          </w:tcPr>
          <w:p w14:paraId="68E33521">
            <w:pPr>
              <w:pStyle w:val="179"/>
            </w:pPr>
            <w:r>
              <w:rPr>
                <w:rFonts w:hint="eastAsia"/>
              </w:rPr>
              <w:t>生境</w:t>
            </w:r>
          </w:p>
        </w:tc>
        <w:tc>
          <w:tcPr>
            <w:tcW w:w="2353" w:type="dxa"/>
            <w:noWrap/>
            <w:vAlign w:val="center"/>
          </w:tcPr>
          <w:p w14:paraId="3E06AA32">
            <w:pPr>
              <w:pStyle w:val="179"/>
            </w:pPr>
            <w:r>
              <w:rPr>
                <w:rFonts w:hint="eastAsia"/>
              </w:rPr>
              <w:t>生境面积、质量连通性</w:t>
            </w:r>
          </w:p>
        </w:tc>
        <w:tc>
          <w:tcPr>
            <w:tcW w:w="3132" w:type="dxa"/>
            <w:noWrap/>
            <w:vAlign w:val="center"/>
          </w:tcPr>
          <w:p w14:paraId="680B8D66">
            <w:pPr>
              <w:pStyle w:val="179"/>
            </w:pPr>
            <w:r>
              <w:rPr>
                <w:rFonts w:hint="eastAsia"/>
              </w:rPr>
              <w:t>工程占地/直接影响</w:t>
            </w:r>
          </w:p>
        </w:tc>
        <w:tc>
          <w:tcPr>
            <w:tcW w:w="1442" w:type="dxa"/>
            <w:noWrap/>
            <w:vAlign w:val="center"/>
          </w:tcPr>
          <w:p w14:paraId="1D1F353A">
            <w:pPr>
              <w:pStyle w:val="179"/>
            </w:pPr>
            <w:r>
              <w:t>长期、可逆</w:t>
            </w:r>
          </w:p>
        </w:tc>
        <w:tc>
          <w:tcPr>
            <w:tcW w:w="1075" w:type="dxa"/>
            <w:noWrap/>
            <w:vAlign w:val="center"/>
          </w:tcPr>
          <w:p w14:paraId="3D039B38">
            <w:pPr>
              <w:pStyle w:val="179"/>
            </w:pPr>
            <w:r>
              <w:rPr>
                <w:rFonts w:hint="eastAsia"/>
              </w:rPr>
              <w:t>弱</w:t>
            </w:r>
          </w:p>
        </w:tc>
      </w:tr>
      <w:tr w14:paraId="70B0D39F">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286" w:type="dxa"/>
            <w:noWrap/>
            <w:vAlign w:val="center"/>
          </w:tcPr>
          <w:p w14:paraId="0F54B923">
            <w:pPr>
              <w:pStyle w:val="179"/>
            </w:pPr>
            <w:r>
              <w:t>生物群落</w:t>
            </w:r>
          </w:p>
        </w:tc>
        <w:tc>
          <w:tcPr>
            <w:tcW w:w="2353" w:type="dxa"/>
            <w:noWrap/>
            <w:vAlign w:val="center"/>
          </w:tcPr>
          <w:p w14:paraId="4D35254B">
            <w:pPr>
              <w:pStyle w:val="179"/>
            </w:pPr>
            <w:r>
              <w:t>物种组成、群落结构</w:t>
            </w:r>
          </w:p>
        </w:tc>
        <w:tc>
          <w:tcPr>
            <w:tcW w:w="3132" w:type="dxa"/>
            <w:noWrap/>
            <w:vAlign w:val="center"/>
          </w:tcPr>
          <w:p w14:paraId="29C62147">
            <w:pPr>
              <w:pStyle w:val="179"/>
            </w:pPr>
            <w:r>
              <w:rPr>
                <w:rFonts w:hint="eastAsia"/>
              </w:rPr>
              <w:t>工程占地/直接影响</w:t>
            </w:r>
          </w:p>
        </w:tc>
        <w:tc>
          <w:tcPr>
            <w:tcW w:w="1442" w:type="dxa"/>
            <w:noWrap/>
            <w:vAlign w:val="center"/>
          </w:tcPr>
          <w:p w14:paraId="6A1A3D42">
            <w:pPr>
              <w:pStyle w:val="179"/>
            </w:pPr>
            <w:r>
              <w:t>长期、可逆</w:t>
            </w:r>
          </w:p>
        </w:tc>
        <w:tc>
          <w:tcPr>
            <w:tcW w:w="1075" w:type="dxa"/>
            <w:noWrap/>
            <w:vAlign w:val="center"/>
          </w:tcPr>
          <w:p w14:paraId="7CF07DE2">
            <w:pPr>
              <w:pStyle w:val="179"/>
            </w:pPr>
            <w:r>
              <w:rPr>
                <w:rFonts w:hint="eastAsia"/>
              </w:rPr>
              <w:t>弱</w:t>
            </w:r>
          </w:p>
        </w:tc>
      </w:tr>
      <w:tr w14:paraId="1583CAF1">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286" w:type="dxa"/>
            <w:noWrap/>
            <w:vAlign w:val="center"/>
          </w:tcPr>
          <w:p w14:paraId="04D5A717">
            <w:pPr>
              <w:pStyle w:val="179"/>
            </w:pPr>
            <w:r>
              <w:rPr>
                <w:rFonts w:hint="eastAsia"/>
              </w:rPr>
              <w:t>生态系统</w:t>
            </w:r>
          </w:p>
        </w:tc>
        <w:tc>
          <w:tcPr>
            <w:tcW w:w="2353" w:type="dxa"/>
            <w:noWrap/>
            <w:vAlign w:val="center"/>
          </w:tcPr>
          <w:p w14:paraId="104192DB">
            <w:pPr>
              <w:pStyle w:val="179"/>
            </w:pPr>
            <w:r>
              <w:rPr>
                <w:rFonts w:hint="eastAsia"/>
              </w:rPr>
              <w:t>分布情况、生产力、生物量、生态系统功能</w:t>
            </w:r>
          </w:p>
        </w:tc>
        <w:tc>
          <w:tcPr>
            <w:tcW w:w="3132" w:type="dxa"/>
            <w:noWrap/>
            <w:vAlign w:val="center"/>
          </w:tcPr>
          <w:p w14:paraId="6D1CB57E">
            <w:pPr>
              <w:pStyle w:val="179"/>
            </w:pPr>
            <w:r>
              <w:rPr>
                <w:rFonts w:hint="eastAsia"/>
              </w:rPr>
              <w:t>工程运营、矿山开采/直接影响</w:t>
            </w:r>
          </w:p>
        </w:tc>
        <w:tc>
          <w:tcPr>
            <w:tcW w:w="1442" w:type="dxa"/>
            <w:noWrap/>
            <w:vAlign w:val="center"/>
          </w:tcPr>
          <w:p w14:paraId="7941C045">
            <w:pPr>
              <w:pStyle w:val="179"/>
            </w:pPr>
            <w:r>
              <w:t>长期、可逆</w:t>
            </w:r>
          </w:p>
        </w:tc>
        <w:tc>
          <w:tcPr>
            <w:tcW w:w="1075" w:type="dxa"/>
            <w:noWrap/>
            <w:vAlign w:val="center"/>
          </w:tcPr>
          <w:p w14:paraId="1DDB7067">
            <w:pPr>
              <w:pStyle w:val="179"/>
            </w:pPr>
            <w:r>
              <w:rPr>
                <w:rFonts w:hint="eastAsia"/>
              </w:rPr>
              <w:t>弱</w:t>
            </w:r>
          </w:p>
        </w:tc>
      </w:tr>
      <w:tr w14:paraId="7E18D5C6">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286" w:type="dxa"/>
            <w:noWrap/>
            <w:vAlign w:val="center"/>
          </w:tcPr>
          <w:p w14:paraId="752DDBE8">
            <w:pPr>
              <w:pStyle w:val="179"/>
            </w:pPr>
            <w:r>
              <w:rPr>
                <w:rFonts w:hint="eastAsia"/>
              </w:rPr>
              <w:t>生物多样性</w:t>
            </w:r>
          </w:p>
        </w:tc>
        <w:tc>
          <w:tcPr>
            <w:tcW w:w="2353" w:type="dxa"/>
            <w:noWrap/>
            <w:vAlign w:val="center"/>
          </w:tcPr>
          <w:p w14:paraId="0735A07F">
            <w:pPr>
              <w:pStyle w:val="179"/>
            </w:pPr>
            <w:r>
              <w:rPr>
                <w:rFonts w:hint="eastAsia"/>
              </w:rPr>
              <w:t>物种丰富度、生态系统多样性</w:t>
            </w:r>
          </w:p>
        </w:tc>
        <w:tc>
          <w:tcPr>
            <w:tcW w:w="3132" w:type="dxa"/>
            <w:noWrap/>
            <w:vAlign w:val="center"/>
          </w:tcPr>
          <w:p w14:paraId="049509A3">
            <w:pPr>
              <w:pStyle w:val="179"/>
            </w:pPr>
            <w:r>
              <w:t>工程运营、矿山开采/</w:t>
            </w:r>
            <w:r>
              <w:rPr>
                <w:rFonts w:hint="eastAsia"/>
              </w:rPr>
              <w:t>直接</w:t>
            </w:r>
            <w:r>
              <w:t>影响</w:t>
            </w:r>
          </w:p>
        </w:tc>
        <w:tc>
          <w:tcPr>
            <w:tcW w:w="1442" w:type="dxa"/>
            <w:noWrap/>
            <w:vAlign w:val="center"/>
          </w:tcPr>
          <w:p w14:paraId="73482C59">
            <w:pPr>
              <w:pStyle w:val="179"/>
            </w:pPr>
            <w:r>
              <w:t>长期、可逆</w:t>
            </w:r>
          </w:p>
        </w:tc>
        <w:tc>
          <w:tcPr>
            <w:tcW w:w="1075" w:type="dxa"/>
            <w:noWrap/>
            <w:vAlign w:val="center"/>
          </w:tcPr>
          <w:p w14:paraId="33DCFA72">
            <w:pPr>
              <w:pStyle w:val="179"/>
            </w:pPr>
            <w:r>
              <w:rPr>
                <w:rFonts w:hint="eastAsia"/>
              </w:rPr>
              <w:t>弱</w:t>
            </w:r>
          </w:p>
        </w:tc>
      </w:tr>
      <w:tr w14:paraId="1B6D2BFF">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286" w:type="dxa"/>
            <w:noWrap/>
            <w:vAlign w:val="center"/>
          </w:tcPr>
          <w:p w14:paraId="43F9367E">
            <w:pPr>
              <w:pStyle w:val="179"/>
            </w:pPr>
            <w:r>
              <w:rPr>
                <w:rFonts w:hint="eastAsia"/>
              </w:rPr>
              <w:t>生态敏感区</w:t>
            </w:r>
          </w:p>
        </w:tc>
        <w:tc>
          <w:tcPr>
            <w:tcW w:w="2353" w:type="dxa"/>
            <w:noWrap/>
            <w:vAlign w:val="center"/>
          </w:tcPr>
          <w:p w14:paraId="7625197B">
            <w:pPr>
              <w:pStyle w:val="179"/>
            </w:pPr>
            <w:r>
              <w:rPr>
                <w:rFonts w:hint="eastAsia"/>
              </w:rPr>
              <w:t>主要保护对象、生态功能等</w:t>
            </w:r>
          </w:p>
        </w:tc>
        <w:tc>
          <w:tcPr>
            <w:tcW w:w="3132" w:type="dxa"/>
            <w:noWrap/>
            <w:vAlign w:val="center"/>
          </w:tcPr>
          <w:p w14:paraId="2AB12313">
            <w:pPr>
              <w:pStyle w:val="179"/>
            </w:pPr>
            <w:r>
              <w:t>工程运营、矿山开采</w:t>
            </w:r>
            <w:r>
              <w:rPr>
                <w:rFonts w:hint="eastAsia"/>
              </w:rPr>
              <w:t>/直接影响</w:t>
            </w:r>
          </w:p>
        </w:tc>
        <w:tc>
          <w:tcPr>
            <w:tcW w:w="1442" w:type="dxa"/>
            <w:noWrap/>
            <w:vAlign w:val="center"/>
          </w:tcPr>
          <w:p w14:paraId="279B5D1D">
            <w:pPr>
              <w:pStyle w:val="179"/>
            </w:pPr>
            <w:r>
              <w:t>长期、可逆</w:t>
            </w:r>
          </w:p>
        </w:tc>
        <w:tc>
          <w:tcPr>
            <w:tcW w:w="1075" w:type="dxa"/>
            <w:noWrap/>
            <w:vAlign w:val="center"/>
          </w:tcPr>
          <w:p w14:paraId="3E22B1A7">
            <w:pPr>
              <w:pStyle w:val="179"/>
            </w:pPr>
            <w:r>
              <w:rPr>
                <w:rFonts w:hint="eastAsia"/>
              </w:rPr>
              <w:t>弱</w:t>
            </w:r>
          </w:p>
        </w:tc>
      </w:tr>
    </w:tbl>
    <w:p w14:paraId="6F051B0D">
      <w:pPr>
        <w:pStyle w:val="179"/>
      </w:pPr>
    </w:p>
    <w:p w14:paraId="355DD2A0">
      <w:pPr>
        <w:pStyle w:val="3"/>
        <w:spacing w:before="180" w:after="120"/>
        <w:rPr>
          <w:rFonts w:cs="Times New Roman"/>
          <w:bCs/>
        </w:rPr>
      </w:pPr>
      <w:bookmarkStart w:id="97" w:name="_Toc234927685"/>
      <w:r>
        <w:rPr>
          <w:rFonts w:cs="Times New Roman"/>
          <w:bCs/>
        </w:rPr>
        <w:t>评价标准</w:t>
      </w:r>
      <w:bookmarkEnd w:id="97"/>
    </w:p>
    <w:p w14:paraId="1E2652AB">
      <w:pPr>
        <w:pStyle w:val="4"/>
        <w:spacing w:before="180" w:after="120"/>
        <w:rPr>
          <w:rFonts w:hAnsi="Times New Roman" w:cs="Times New Roman"/>
        </w:rPr>
      </w:pPr>
      <w:r>
        <w:rPr>
          <w:rFonts w:hAnsi="Times New Roman" w:cs="Times New Roman"/>
        </w:rPr>
        <w:t>环境功能区划</w:t>
      </w:r>
    </w:p>
    <w:p w14:paraId="5C9FE4FB">
      <w:pPr>
        <w:ind w:firstLine="482"/>
        <w:rPr>
          <w:rFonts w:hAnsi="Times New Roman" w:cs="Times New Roman"/>
          <w:b/>
        </w:rPr>
      </w:pPr>
      <w:r>
        <w:rPr>
          <w:rFonts w:hAnsi="Times New Roman" w:cs="Times New Roman"/>
          <w:b/>
        </w:rPr>
        <w:t>1、环境空气</w:t>
      </w:r>
    </w:p>
    <w:p w14:paraId="52976FA4">
      <w:pPr>
        <w:ind w:firstLine="480"/>
        <w:rPr>
          <w:rFonts w:hAnsi="Times New Roman" w:cs="Times New Roman"/>
        </w:rPr>
      </w:pPr>
      <w:r>
        <w:rPr>
          <w:rFonts w:hAnsi="Times New Roman" w:cs="Times New Roman"/>
        </w:rPr>
        <w:t>根据《环境空气质量标准》（GB3095-2026）中环境空气质量功能区划分：城镇规划中确定的居民区、商业交通居民混合区、文化区、一般工业区和农村地区均属于二类功能区，本项目位于农牧区，环境空气功能区划属二类功能区。</w:t>
      </w:r>
    </w:p>
    <w:p w14:paraId="4FE1B869">
      <w:pPr>
        <w:ind w:firstLine="482"/>
        <w:rPr>
          <w:rFonts w:hAnsi="Times New Roman" w:cs="Times New Roman"/>
          <w:b/>
        </w:rPr>
      </w:pPr>
      <w:r>
        <w:rPr>
          <w:rFonts w:hAnsi="Times New Roman" w:cs="Times New Roman"/>
          <w:b/>
        </w:rPr>
        <w:t>2、声环境</w:t>
      </w:r>
    </w:p>
    <w:p w14:paraId="1A8AC9D4">
      <w:pPr>
        <w:ind w:firstLine="480"/>
        <w:rPr>
          <w:rFonts w:hAnsi="Times New Roman" w:cs="Times New Roman"/>
        </w:rPr>
      </w:pPr>
      <w:r>
        <w:rPr>
          <w:rFonts w:hAnsi="Times New Roman" w:cs="Times New Roman"/>
        </w:rPr>
        <w:t>黑河市未对本项目所在区域声环境功能区进行划分。项目所在地为乡村区域，</w:t>
      </w:r>
      <w:r>
        <w:rPr>
          <w:rFonts w:hint="eastAsia" w:hAnsi="Times New Roman" w:cs="Times New Roman"/>
        </w:rPr>
        <w:t>应</w:t>
      </w:r>
      <w:r>
        <w:rPr>
          <w:rFonts w:hAnsi="Times New Roman" w:cs="Times New Roman"/>
        </w:rPr>
        <w:t>执行《声环境质量标准》（GB3096-2008）1类区标准。</w:t>
      </w:r>
    </w:p>
    <w:p w14:paraId="67AA9E60">
      <w:pPr>
        <w:ind w:firstLine="482"/>
        <w:rPr>
          <w:rFonts w:hAnsi="Times New Roman" w:cs="Times New Roman"/>
          <w:b/>
        </w:rPr>
      </w:pPr>
      <w:r>
        <w:rPr>
          <w:rFonts w:hAnsi="Times New Roman" w:cs="Times New Roman"/>
          <w:b/>
        </w:rPr>
        <w:t>3、地表水</w:t>
      </w:r>
    </w:p>
    <w:p w14:paraId="28B67BF9">
      <w:pPr>
        <w:ind w:firstLine="480"/>
        <w:rPr>
          <w:rFonts w:hAnsi="Times New Roman" w:cs="Times New Roman"/>
        </w:rPr>
      </w:pPr>
      <w:r>
        <w:rPr>
          <w:rFonts w:hAnsi="Times New Roman" w:cs="Times New Roman"/>
        </w:rPr>
        <w:t>本项目区域最近地表水体为</w:t>
      </w:r>
      <w:r>
        <w:rPr>
          <w:rFonts w:hint="eastAsia" w:hAnsi="Times New Roman" w:cs="Times New Roman"/>
        </w:rPr>
        <w:t>马厂河，马厂河为塔溪河支流</w:t>
      </w:r>
      <w:r>
        <w:rPr>
          <w:rFonts w:hAnsi="Times New Roman" w:cs="Times New Roman"/>
        </w:rPr>
        <w:t>，科洛河</w:t>
      </w:r>
      <w:r>
        <w:rPr>
          <w:rFonts w:hint="eastAsia" w:hAnsi="Times New Roman" w:cs="Times New Roman"/>
        </w:rPr>
        <w:t>三</w:t>
      </w:r>
      <w:r>
        <w:rPr>
          <w:rFonts w:hAnsi="Times New Roman" w:cs="Times New Roman"/>
        </w:rPr>
        <w:t>级支流。根据《</w:t>
      </w:r>
      <w:r>
        <w:rPr>
          <w:rFonts w:hint="eastAsia" w:hAnsi="Times New Roman" w:cs="Times New Roman"/>
        </w:rPr>
        <w:t>黑龙江省生态环境厅黑龙江省财政厅关于印发&lt;黑龙江省水环境生态补偿办法&gt;的通知</w:t>
      </w:r>
      <w:r>
        <w:rPr>
          <w:rFonts w:hAnsi="Times New Roman" w:cs="Times New Roman"/>
        </w:rPr>
        <w:t>》</w:t>
      </w:r>
      <w:r>
        <w:rPr>
          <w:rFonts w:hint="eastAsia" w:hAnsi="Times New Roman" w:cs="Times New Roman"/>
        </w:rPr>
        <w:t>黑龙江省地表水监测重点断面名录，</w:t>
      </w:r>
      <w:r>
        <w:rPr>
          <w:rFonts w:hAnsi="Times New Roman" w:cs="Times New Roman"/>
        </w:rPr>
        <w:t>科洛河水质</w:t>
      </w:r>
      <w:r>
        <w:rPr>
          <w:rFonts w:hint="eastAsia" w:hAnsi="Times New Roman" w:cs="Times New Roman"/>
        </w:rPr>
        <w:t>目标</w:t>
      </w:r>
      <w:r>
        <w:rPr>
          <w:rFonts w:hAnsi="Times New Roman" w:cs="Times New Roman"/>
        </w:rPr>
        <w:t>为</w:t>
      </w:r>
      <w:r>
        <w:rPr>
          <w:rFonts w:hint="eastAsia" w:ascii="仿宋_GB2312" w:hAnsi="Times New Roman" w:cs="Times New Roman"/>
        </w:rPr>
        <w:t>Ⅳ</w:t>
      </w:r>
      <w:r>
        <w:rPr>
          <w:rFonts w:hAnsi="Times New Roman" w:cs="Times New Roman"/>
        </w:rPr>
        <w:t>类水体。执行《地表水环境质量标准》（GB3838-2002）中的</w:t>
      </w:r>
      <w:r>
        <w:rPr>
          <w:rFonts w:hint="eastAsia" w:ascii="仿宋_GB2312" w:hAnsi="Times New Roman" w:cs="Times New Roman"/>
        </w:rPr>
        <w:t>Ⅳ</w:t>
      </w:r>
      <w:r>
        <w:rPr>
          <w:rFonts w:hAnsi="Times New Roman" w:cs="Times New Roman"/>
        </w:rPr>
        <w:t>类标准。</w:t>
      </w:r>
    </w:p>
    <w:p w14:paraId="3AC96F38">
      <w:pPr>
        <w:ind w:firstLine="482"/>
        <w:rPr>
          <w:rFonts w:hAnsi="Times New Roman" w:cs="Times New Roman"/>
          <w:b/>
        </w:rPr>
      </w:pPr>
      <w:r>
        <w:rPr>
          <w:rFonts w:hAnsi="Times New Roman" w:cs="Times New Roman"/>
          <w:b/>
        </w:rPr>
        <w:t>4、土壤环境</w:t>
      </w:r>
    </w:p>
    <w:p w14:paraId="1D792A5C">
      <w:pPr>
        <w:ind w:firstLine="480"/>
        <w:rPr>
          <w:rFonts w:hAnsi="Times New Roman" w:cs="Times New Roman"/>
        </w:rPr>
      </w:pPr>
      <w:r>
        <w:rPr>
          <w:rFonts w:hAnsi="Times New Roman" w:cs="Times New Roman"/>
        </w:rPr>
        <w:t>项目占地范围内土壤环境执行《土壤环境质量 建设用地土壤污染风险管控标准（试行）》（GB36600-2018）第二类用地筛选值中的标准限值。</w:t>
      </w:r>
    </w:p>
    <w:p w14:paraId="1D164FBB">
      <w:pPr>
        <w:pStyle w:val="4"/>
        <w:spacing w:before="180" w:after="120"/>
        <w:rPr>
          <w:rFonts w:hAnsi="Times New Roman" w:cs="Times New Roman"/>
        </w:rPr>
      </w:pPr>
      <w:r>
        <w:rPr>
          <w:rFonts w:hAnsi="Times New Roman" w:cs="Times New Roman"/>
        </w:rPr>
        <w:t>环境质量标准</w:t>
      </w:r>
    </w:p>
    <w:p w14:paraId="7627E1D4">
      <w:pPr>
        <w:pStyle w:val="5"/>
        <w:spacing w:before="120" w:after="120"/>
      </w:pPr>
      <w:r>
        <w:t>环境空气质量标准</w:t>
      </w:r>
    </w:p>
    <w:p w14:paraId="3673522D">
      <w:pPr>
        <w:ind w:firstLine="480"/>
      </w:pPr>
      <w:r>
        <w:rPr>
          <w:szCs w:val="22"/>
        </w:rPr>
        <w:t>该项目所在区域环境空气质量执行《环境空气质量标准》（GB3095-2026）中过渡阶段二类区标准</w:t>
      </w:r>
      <w:r>
        <w:rPr>
          <w:rFonts w:hint="eastAsia"/>
          <w:szCs w:val="22"/>
        </w:rPr>
        <w:t>，</w:t>
      </w:r>
      <w:r>
        <w:t>具体标准值见表2.</w:t>
      </w:r>
      <w:r>
        <w:rPr>
          <w:rFonts w:hint="eastAsia"/>
        </w:rPr>
        <w:t>4-1</w:t>
      </w:r>
      <w:r>
        <w:t>。</w:t>
      </w:r>
    </w:p>
    <w:p w14:paraId="6A5E1C0D">
      <w:pPr>
        <w:widowControl/>
        <w:tabs>
          <w:tab w:val="clear" w:pos="0"/>
        </w:tabs>
        <w:spacing w:line="240" w:lineRule="auto"/>
        <w:ind w:firstLine="0" w:firstLineChars="0"/>
        <w:jc w:val="center"/>
        <w:rPr>
          <w:rFonts w:ascii="黑体" w:hAnsi="黑体" w:eastAsia="黑体" w:cs="Times New Roman"/>
        </w:rPr>
      </w:pPr>
      <w:r>
        <w:rPr>
          <w:rFonts w:hint="eastAsia" w:ascii="黑体" w:hAnsi="黑体" w:eastAsia="黑体" w:cs="Times New Roman"/>
        </w:rPr>
        <w:t>表2</w:t>
      </w:r>
      <w:r>
        <w:rPr>
          <w:rFonts w:ascii="黑体" w:hAnsi="黑体" w:eastAsia="黑体" w:cs="Times New Roman"/>
        </w:rPr>
        <w:t>.</w:t>
      </w:r>
      <w:r>
        <w:rPr>
          <w:rFonts w:hint="eastAsia" w:ascii="黑体" w:hAnsi="黑体" w:eastAsia="黑体" w:cs="Times New Roman"/>
        </w:rPr>
        <w:t>4-1  基本污染物</w:t>
      </w:r>
      <w:r>
        <w:rPr>
          <w:rFonts w:ascii="黑体" w:hAnsi="黑体" w:eastAsia="黑体" w:cs="Times New Roman"/>
        </w:rPr>
        <w:t>环境空气质量</w:t>
      </w:r>
      <w:r>
        <w:rPr>
          <w:rFonts w:hint="eastAsia" w:ascii="黑体" w:hAnsi="黑体" w:eastAsia="黑体" w:cs="Times New Roman"/>
        </w:rPr>
        <w:t>限值</w:t>
      </w:r>
    </w:p>
    <w:tbl>
      <w:tblPr>
        <w:tblStyle w:val="36"/>
        <w:tblW w:w="8505"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2036"/>
        <w:gridCol w:w="2111"/>
        <w:gridCol w:w="1301"/>
        <w:gridCol w:w="3057"/>
      </w:tblGrid>
      <w:tr w14:paraId="39FB850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197" w:type="pct"/>
            <w:vAlign w:val="center"/>
          </w:tcPr>
          <w:p w14:paraId="0CF113C2">
            <w:pPr>
              <w:widowControl/>
              <w:tabs>
                <w:tab w:val="clear" w:pos="0"/>
              </w:tabs>
              <w:spacing w:line="240" w:lineRule="auto"/>
              <w:ind w:firstLine="0" w:firstLineChars="0"/>
              <w:jc w:val="center"/>
              <w:rPr>
                <w:rFonts w:hAnsi="Times New Roman" w:eastAsia="宋体" w:cs="Times New Roman"/>
                <w:b/>
                <w:sz w:val="21"/>
              </w:rPr>
            </w:pPr>
            <w:r>
              <w:rPr>
                <w:rFonts w:hAnsi="Times New Roman" w:eastAsia="宋体" w:cs="Times New Roman"/>
                <w:b/>
                <w:sz w:val="21"/>
              </w:rPr>
              <w:t>污染物名称</w:t>
            </w:r>
          </w:p>
        </w:tc>
        <w:tc>
          <w:tcPr>
            <w:tcW w:w="1241" w:type="pct"/>
            <w:vAlign w:val="center"/>
          </w:tcPr>
          <w:p w14:paraId="0915FB4A">
            <w:pPr>
              <w:widowControl/>
              <w:tabs>
                <w:tab w:val="clear" w:pos="0"/>
              </w:tabs>
              <w:spacing w:line="240" w:lineRule="auto"/>
              <w:ind w:firstLine="0" w:firstLineChars="0"/>
              <w:jc w:val="center"/>
              <w:rPr>
                <w:rFonts w:hAnsi="Times New Roman" w:eastAsia="宋体" w:cs="Times New Roman"/>
                <w:b/>
                <w:sz w:val="21"/>
              </w:rPr>
            </w:pPr>
            <w:r>
              <w:rPr>
                <w:rFonts w:hAnsi="Times New Roman" w:eastAsia="宋体" w:cs="Times New Roman"/>
                <w:b/>
                <w:sz w:val="21"/>
              </w:rPr>
              <w:t>平均时间</w:t>
            </w:r>
          </w:p>
        </w:tc>
        <w:tc>
          <w:tcPr>
            <w:tcW w:w="765" w:type="pct"/>
            <w:vAlign w:val="center"/>
          </w:tcPr>
          <w:p w14:paraId="56EF5F1E">
            <w:pPr>
              <w:widowControl/>
              <w:tabs>
                <w:tab w:val="clear" w:pos="0"/>
              </w:tabs>
              <w:spacing w:line="240" w:lineRule="auto"/>
              <w:ind w:firstLine="0" w:firstLineChars="0"/>
              <w:jc w:val="center"/>
              <w:rPr>
                <w:rFonts w:hAnsi="Times New Roman" w:eastAsia="宋体" w:cs="Times New Roman"/>
                <w:b/>
                <w:sz w:val="21"/>
              </w:rPr>
            </w:pPr>
            <w:r>
              <w:rPr>
                <w:rFonts w:hAnsi="Times New Roman" w:eastAsia="宋体" w:cs="Times New Roman"/>
                <w:b/>
                <w:sz w:val="21"/>
              </w:rPr>
              <w:t>单位</w:t>
            </w:r>
          </w:p>
        </w:tc>
        <w:tc>
          <w:tcPr>
            <w:tcW w:w="1797" w:type="pct"/>
            <w:vAlign w:val="center"/>
          </w:tcPr>
          <w:p w14:paraId="76D39B2E">
            <w:pPr>
              <w:widowControl/>
              <w:tabs>
                <w:tab w:val="clear" w:pos="0"/>
              </w:tabs>
              <w:spacing w:line="240" w:lineRule="auto"/>
              <w:ind w:firstLine="0" w:firstLineChars="0"/>
              <w:jc w:val="center"/>
              <w:rPr>
                <w:rFonts w:hAnsi="Times New Roman" w:eastAsia="宋体" w:cs="Times New Roman"/>
                <w:b/>
                <w:sz w:val="21"/>
                <w:szCs w:val="22"/>
              </w:rPr>
            </w:pPr>
            <w:r>
              <w:rPr>
                <w:rFonts w:hAnsi="Times New Roman" w:eastAsia="宋体" w:cs="Times New Roman"/>
                <w:b/>
                <w:sz w:val="21"/>
              </w:rPr>
              <w:t>过渡阶段浓度限值（二级标准）</w:t>
            </w:r>
          </w:p>
        </w:tc>
      </w:tr>
      <w:tr w14:paraId="229708B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1197" w:type="pct"/>
            <w:vMerge w:val="restart"/>
            <w:vAlign w:val="center"/>
          </w:tcPr>
          <w:p w14:paraId="6AB7E8BD">
            <w:pPr>
              <w:widowControl/>
              <w:tabs>
                <w:tab w:val="clear" w:pos="0"/>
              </w:tabs>
              <w:spacing w:line="240" w:lineRule="auto"/>
              <w:ind w:firstLine="0" w:firstLineChars="0"/>
              <w:jc w:val="center"/>
              <w:rPr>
                <w:rFonts w:hAnsi="Times New Roman" w:eastAsia="宋体" w:cs="Times New Roman"/>
                <w:sz w:val="21"/>
              </w:rPr>
            </w:pPr>
            <w:r>
              <w:rPr>
                <w:rFonts w:hAnsi="Times New Roman" w:eastAsia="宋体" w:cs="Times New Roman"/>
                <w:sz w:val="21"/>
              </w:rPr>
              <w:t>SO</w:t>
            </w:r>
            <w:r>
              <w:rPr>
                <w:rFonts w:hAnsi="Times New Roman" w:eastAsia="宋体" w:cs="Times New Roman"/>
                <w:sz w:val="21"/>
                <w:vertAlign w:val="subscript"/>
              </w:rPr>
              <w:t>2</w:t>
            </w:r>
          </w:p>
        </w:tc>
        <w:tc>
          <w:tcPr>
            <w:tcW w:w="1241" w:type="pct"/>
            <w:vAlign w:val="center"/>
          </w:tcPr>
          <w:p w14:paraId="47CAAE28">
            <w:pPr>
              <w:widowControl/>
              <w:tabs>
                <w:tab w:val="clear" w:pos="0"/>
              </w:tabs>
              <w:spacing w:line="240" w:lineRule="auto"/>
              <w:ind w:firstLine="0" w:firstLineChars="0"/>
              <w:jc w:val="center"/>
              <w:rPr>
                <w:rFonts w:hAnsi="Times New Roman" w:eastAsia="宋体" w:cs="Times New Roman"/>
                <w:sz w:val="21"/>
              </w:rPr>
            </w:pPr>
            <w:r>
              <w:rPr>
                <w:rFonts w:hAnsi="Times New Roman" w:eastAsia="宋体" w:cs="Times New Roman"/>
                <w:sz w:val="21"/>
              </w:rPr>
              <w:t>年平均</w:t>
            </w:r>
          </w:p>
        </w:tc>
        <w:tc>
          <w:tcPr>
            <w:tcW w:w="765" w:type="pct"/>
            <w:vAlign w:val="center"/>
          </w:tcPr>
          <w:p w14:paraId="37D776C5">
            <w:pPr>
              <w:widowControl/>
              <w:tabs>
                <w:tab w:val="clear" w:pos="0"/>
              </w:tabs>
              <w:spacing w:line="240" w:lineRule="auto"/>
              <w:ind w:firstLine="0" w:firstLineChars="0"/>
              <w:jc w:val="center"/>
              <w:rPr>
                <w:rFonts w:hAnsi="Times New Roman" w:eastAsia="宋体" w:cs="Times New Roman"/>
                <w:sz w:val="21"/>
              </w:rPr>
            </w:pPr>
            <w:r>
              <w:rPr>
                <w:rFonts w:hAnsi="Times New Roman" w:eastAsia="宋体" w:cs="Times New Roman"/>
                <w:sz w:val="21"/>
              </w:rPr>
              <w:t>μg/m</w:t>
            </w:r>
            <w:r>
              <w:rPr>
                <w:rFonts w:hAnsi="Times New Roman" w:eastAsia="宋体" w:cs="Times New Roman"/>
                <w:sz w:val="21"/>
                <w:vertAlign w:val="superscript"/>
              </w:rPr>
              <w:t>3</w:t>
            </w:r>
          </w:p>
        </w:tc>
        <w:tc>
          <w:tcPr>
            <w:tcW w:w="1797" w:type="pct"/>
            <w:vAlign w:val="center"/>
          </w:tcPr>
          <w:p w14:paraId="62AD58B9">
            <w:pPr>
              <w:widowControl/>
              <w:tabs>
                <w:tab w:val="clear" w:pos="0"/>
              </w:tabs>
              <w:spacing w:line="240" w:lineRule="auto"/>
              <w:ind w:firstLine="0" w:firstLineChars="0"/>
              <w:jc w:val="center"/>
              <w:rPr>
                <w:rFonts w:hAnsi="Times New Roman" w:eastAsia="宋体" w:cs="Times New Roman"/>
                <w:sz w:val="21"/>
              </w:rPr>
            </w:pPr>
            <w:r>
              <w:rPr>
                <w:rFonts w:hint="eastAsia" w:hAnsi="Times New Roman" w:eastAsia="宋体" w:cs="Times New Roman"/>
                <w:sz w:val="21"/>
              </w:rPr>
              <w:t>60</w:t>
            </w:r>
          </w:p>
        </w:tc>
      </w:tr>
      <w:tr w14:paraId="55B767B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1197" w:type="pct"/>
            <w:vMerge w:val="continue"/>
            <w:vAlign w:val="center"/>
          </w:tcPr>
          <w:p w14:paraId="59411C7D">
            <w:pPr>
              <w:widowControl/>
              <w:tabs>
                <w:tab w:val="clear" w:pos="0"/>
              </w:tabs>
              <w:spacing w:line="240" w:lineRule="auto"/>
              <w:ind w:firstLine="0" w:firstLineChars="0"/>
              <w:jc w:val="center"/>
              <w:rPr>
                <w:rFonts w:hAnsi="Times New Roman" w:eastAsia="宋体" w:cs="Times New Roman"/>
                <w:sz w:val="21"/>
              </w:rPr>
            </w:pPr>
          </w:p>
        </w:tc>
        <w:tc>
          <w:tcPr>
            <w:tcW w:w="1241" w:type="pct"/>
            <w:vAlign w:val="center"/>
          </w:tcPr>
          <w:p w14:paraId="00E320A5">
            <w:pPr>
              <w:widowControl/>
              <w:tabs>
                <w:tab w:val="clear" w:pos="0"/>
              </w:tabs>
              <w:spacing w:line="240" w:lineRule="auto"/>
              <w:ind w:firstLine="0" w:firstLineChars="0"/>
              <w:jc w:val="center"/>
              <w:rPr>
                <w:rFonts w:hAnsi="Times New Roman" w:eastAsia="宋体" w:cs="Times New Roman"/>
                <w:sz w:val="21"/>
              </w:rPr>
            </w:pPr>
            <w:r>
              <w:rPr>
                <w:rFonts w:hAnsi="Times New Roman" w:eastAsia="宋体" w:cs="Times New Roman"/>
                <w:sz w:val="21"/>
              </w:rPr>
              <w:t>24小时均</w:t>
            </w:r>
          </w:p>
        </w:tc>
        <w:tc>
          <w:tcPr>
            <w:tcW w:w="765" w:type="pct"/>
            <w:vAlign w:val="center"/>
          </w:tcPr>
          <w:p w14:paraId="33916320">
            <w:pPr>
              <w:widowControl/>
              <w:tabs>
                <w:tab w:val="clear" w:pos="0"/>
              </w:tabs>
              <w:spacing w:line="240" w:lineRule="auto"/>
              <w:ind w:firstLine="0" w:firstLineChars="0"/>
              <w:jc w:val="center"/>
              <w:rPr>
                <w:rFonts w:hAnsi="Times New Roman" w:eastAsia="宋体" w:cs="Times New Roman"/>
                <w:sz w:val="21"/>
              </w:rPr>
            </w:pPr>
            <w:r>
              <w:rPr>
                <w:rFonts w:hAnsi="Times New Roman" w:eastAsia="宋体" w:cs="Times New Roman"/>
                <w:sz w:val="21"/>
              </w:rPr>
              <w:t>μg/m</w:t>
            </w:r>
            <w:r>
              <w:rPr>
                <w:rFonts w:hAnsi="Times New Roman" w:eastAsia="宋体" w:cs="Times New Roman"/>
                <w:sz w:val="21"/>
                <w:vertAlign w:val="superscript"/>
              </w:rPr>
              <w:t>3</w:t>
            </w:r>
          </w:p>
        </w:tc>
        <w:tc>
          <w:tcPr>
            <w:tcW w:w="1797" w:type="pct"/>
            <w:vAlign w:val="center"/>
          </w:tcPr>
          <w:p w14:paraId="6589B3D6">
            <w:pPr>
              <w:widowControl/>
              <w:tabs>
                <w:tab w:val="clear" w:pos="0"/>
              </w:tabs>
              <w:spacing w:line="240" w:lineRule="auto"/>
              <w:ind w:firstLine="0" w:firstLineChars="0"/>
              <w:jc w:val="center"/>
              <w:rPr>
                <w:rFonts w:hAnsi="Times New Roman" w:eastAsia="宋体" w:cs="Times New Roman"/>
                <w:sz w:val="21"/>
              </w:rPr>
            </w:pPr>
            <w:r>
              <w:rPr>
                <w:rFonts w:hint="eastAsia" w:hAnsi="Times New Roman" w:eastAsia="宋体" w:cs="Times New Roman"/>
                <w:sz w:val="21"/>
              </w:rPr>
              <w:t>150</w:t>
            </w:r>
          </w:p>
        </w:tc>
      </w:tr>
      <w:tr w14:paraId="119668E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1197" w:type="pct"/>
            <w:vMerge w:val="continue"/>
            <w:vAlign w:val="center"/>
          </w:tcPr>
          <w:p w14:paraId="4ACB3F46">
            <w:pPr>
              <w:widowControl/>
              <w:tabs>
                <w:tab w:val="clear" w:pos="0"/>
              </w:tabs>
              <w:spacing w:line="240" w:lineRule="auto"/>
              <w:ind w:firstLine="0" w:firstLineChars="0"/>
              <w:jc w:val="center"/>
              <w:rPr>
                <w:rFonts w:hAnsi="Times New Roman" w:eastAsia="宋体" w:cs="Times New Roman"/>
                <w:sz w:val="21"/>
              </w:rPr>
            </w:pPr>
          </w:p>
        </w:tc>
        <w:tc>
          <w:tcPr>
            <w:tcW w:w="1241" w:type="pct"/>
            <w:vAlign w:val="center"/>
          </w:tcPr>
          <w:p w14:paraId="0D2C6AFF">
            <w:pPr>
              <w:widowControl/>
              <w:tabs>
                <w:tab w:val="clear" w:pos="0"/>
              </w:tabs>
              <w:spacing w:line="240" w:lineRule="auto"/>
              <w:ind w:firstLine="0" w:firstLineChars="0"/>
              <w:jc w:val="center"/>
              <w:rPr>
                <w:rFonts w:hAnsi="Times New Roman" w:eastAsia="宋体" w:cs="Times New Roman"/>
                <w:sz w:val="21"/>
              </w:rPr>
            </w:pPr>
            <w:r>
              <w:rPr>
                <w:rFonts w:hAnsi="Times New Roman" w:eastAsia="宋体" w:cs="Times New Roman"/>
                <w:sz w:val="21"/>
              </w:rPr>
              <w:t>1小时平均</w:t>
            </w:r>
          </w:p>
        </w:tc>
        <w:tc>
          <w:tcPr>
            <w:tcW w:w="765" w:type="pct"/>
            <w:vAlign w:val="center"/>
          </w:tcPr>
          <w:p w14:paraId="0D9D3962">
            <w:pPr>
              <w:widowControl/>
              <w:tabs>
                <w:tab w:val="clear" w:pos="0"/>
              </w:tabs>
              <w:spacing w:line="240" w:lineRule="auto"/>
              <w:ind w:firstLine="0" w:firstLineChars="0"/>
              <w:jc w:val="center"/>
              <w:rPr>
                <w:rFonts w:hAnsi="Times New Roman" w:eastAsia="宋体" w:cs="Times New Roman"/>
                <w:sz w:val="21"/>
              </w:rPr>
            </w:pPr>
            <w:r>
              <w:rPr>
                <w:rFonts w:hAnsi="Times New Roman" w:eastAsia="宋体" w:cs="Times New Roman"/>
                <w:sz w:val="21"/>
              </w:rPr>
              <w:t>μg/m</w:t>
            </w:r>
            <w:r>
              <w:rPr>
                <w:rFonts w:hAnsi="Times New Roman" w:eastAsia="宋体" w:cs="Times New Roman"/>
                <w:sz w:val="21"/>
                <w:vertAlign w:val="superscript"/>
              </w:rPr>
              <w:t>3</w:t>
            </w:r>
          </w:p>
        </w:tc>
        <w:tc>
          <w:tcPr>
            <w:tcW w:w="1797" w:type="pct"/>
            <w:vAlign w:val="center"/>
          </w:tcPr>
          <w:p w14:paraId="0184D6E9">
            <w:pPr>
              <w:widowControl/>
              <w:tabs>
                <w:tab w:val="clear" w:pos="0"/>
              </w:tabs>
              <w:spacing w:line="240" w:lineRule="auto"/>
              <w:ind w:firstLine="0" w:firstLineChars="0"/>
              <w:jc w:val="center"/>
              <w:rPr>
                <w:rFonts w:hAnsi="Times New Roman" w:eastAsia="宋体" w:cs="Times New Roman"/>
                <w:sz w:val="21"/>
              </w:rPr>
            </w:pPr>
            <w:r>
              <w:rPr>
                <w:rFonts w:hint="eastAsia" w:hAnsi="Times New Roman" w:eastAsia="宋体" w:cs="Times New Roman"/>
                <w:sz w:val="21"/>
              </w:rPr>
              <w:t>500</w:t>
            </w:r>
          </w:p>
        </w:tc>
      </w:tr>
      <w:tr w14:paraId="1576AC9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1197" w:type="pct"/>
            <w:vMerge w:val="restart"/>
            <w:vAlign w:val="center"/>
          </w:tcPr>
          <w:p w14:paraId="3EF5DF23">
            <w:pPr>
              <w:widowControl/>
              <w:tabs>
                <w:tab w:val="clear" w:pos="0"/>
              </w:tabs>
              <w:spacing w:line="240" w:lineRule="auto"/>
              <w:ind w:firstLine="0" w:firstLineChars="0"/>
              <w:jc w:val="center"/>
              <w:rPr>
                <w:rFonts w:hAnsi="Times New Roman" w:eastAsia="宋体" w:cs="Times New Roman"/>
                <w:sz w:val="21"/>
              </w:rPr>
            </w:pPr>
            <w:r>
              <w:rPr>
                <w:rFonts w:hAnsi="Times New Roman" w:eastAsia="宋体" w:cs="Times New Roman"/>
                <w:sz w:val="21"/>
              </w:rPr>
              <w:t>NO</w:t>
            </w:r>
            <w:r>
              <w:rPr>
                <w:rFonts w:hAnsi="Times New Roman" w:eastAsia="宋体" w:cs="Times New Roman"/>
                <w:sz w:val="21"/>
                <w:vertAlign w:val="subscript"/>
              </w:rPr>
              <w:t>2</w:t>
            </w:r>
          </w:p>
        </w:tc>
        <w:tc>
          <w:tcPr>
            <w:tcW w:w="1241" w:type="pct"/>
            <w:vAlign w:val="center"/>
          </w:tcPr>
          <w:p w14:paraId="70BB7F22">
            <w:pPr>
              <w:widowControl/>
              <w:tabs>
                <w:tab w:val="clear" w:pos="0"/>
              </w:tabs>
              <w:spacing w:line="240" w:lineRule="auto"/>
              <w:ind w:firstLine="0" w:firstLineChars="0"/>
              <w:jc w:val="center"/>
              <w:rPr>
                <w:rFonts w:hAnsi="Times New Roman" w:eastAsia="宋体" w:cs="Times New Roman"/>
                <w:sz w:val="21"/>
              </w:rPr>
            </w:pPr>
            <w:r>
              <w:rPr>
                <w:rFonts w:hAnsi="Times New Roman" w:eastAsia="宋体" w:cs="Times New Roman"/>
                <w:sz w:val="21"/>
              </w:rPr>
              <w:t>年平均</w:t>
            </w:r>
          </w:p>
        </w:tc>
        <w:tc>
          <w:tcPr>
            <w:tcW w:w="765" w:type="pct"/>
            <w:vAlign w:val="center"/>
          </w:tcPr>
          <w:p w14:paraId="62E8C2CA">
            <w:pPr>
              <w:widowControl/>
              <w:tabs>
                <w:tab w:val="clear" w:pos="0"/>
              </w:tabs>
              <w:spacing w:line="240" w:lineRule="auto"/>
              <w:ind w:firstLine="0" w:firstLineChars="0"/>
              <w:jc w:val="center"/>
              <w:rPr>
                <w:rFonts w:hAnsi="Times New Roman" w:eastAsia="宋体" w:cs="Times New Roman"/>
                <w:sz w:val="21"/>
              </w:rPr>
            </w:pPr>
            <w:r>
              <w:rPr>
                <w:rFonts w:hAnsi="Times New Roman" w:eastAsia="宋体" w:cs="Times New Roman"/>
                <w:sz w:val="21"/>
              </w:rPr>
              <w:t>μg/m</w:t>
            </w:r>
            <w:r>
              <w:rPr>
                <w:rFonts w:hAnsi="Times New Roman" w:eastAsia="宋体" w:cs="Times New Roman"/>
                <w:sz w:val="21"/>
                <w:vertAlign w:val="superscript"/>
              </w:rPr>
              <w:t>3</w:t>
            </w:r>
          </w:p>
        </w:tc>
        <w:tc>
          <w:tcPr>
            <w:tcW w:w="1797" w:type="pct"/>
            <w:vAlign w:val="center"/>
          </w:tcPr>
          <w:p w14:paraId="51CA9D2A">
            <w:pPr>
              <w:widowControl/>
              <w:tabs>
                <w:tab w:val="clear" w:pos="0"/>
              </w:tabs>
              <w:spacing w:line="240" w:lineRule="auto"/>
              <w:ind w:firstLine="0" w:firstLineChars="0"/>
              <w:jc w:val="center"/>
              <w:rPr>
                <w:rFonts w:hAnsi="Times New Roman" w:eastAsia="宋体" w:cs="Times New Roman"/>
                <w:sz w:val="21"/>
              </w:rPr>
            </w:pPr>
            <w:r>
              <w:rPr>
                <w:rFonts w:hint="eastAsia" w:hAnsi="Times New Roman" w:eastAsia="宋体" w:cs="Times New Roman"/>
                <w:sz w:val="21"/>
              </w:rPr>
              <w:t>40</w:t>
            </w:r>
          </w:p>
        </w:tc>
      </w:tr>
      <w:tr w14:paraId="7FC6E09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1197" w:type="pct"/>
            <w:vMerge w:val="continue"/>
            <w:vAlign w:val="center"/>
          </w:tcPr>
          <w:p w14:paraId="540E2AAE">
            <w:pPr>
              <w:widowControl/>
              <w:tabs>
                <w:tab w:val="clear" w:pos="0"/>
              </w:tabs>
              <w:spacing w:line="240" w:lineRule="auto"/>
              <w:ind w:firstLine="0" w:firstLineChars="0"/>
              <w:jc w:val="center"/>
              <w:rPr>
                <w:rFonts w:hAnsi="Times New Roman" w:eastAsia="宋体" w:cs="Times New Roman"/>
                <w:sz w:val="21"/>
              </w:rPr>
            </w:pPr>
          </w:p>
        </w:tc>
        <w:tc>
          <w:tcPr>
            <w:tcW w:w="1241" w:type="pct"/>
            <w:vAlign w:val="center"/>
          </w:tcPr>
          <w:p w14:paraId="5CF32B80">
            <w:pPr>
              <w:widowControl/>
              <w:tabs>
                <w:tab w:val="clear" w:pos="0"/>
              </w:tabs>
              <w:spacing w:line="240" w:lineRule="auto"/>
              <w:ind w:firstLine="0" w:firstLineChars="0"/>
              <w:jc w:val="center"/>
              <w:rPr>
                <w:rFonts w:hAnsi="Times New Roman" w:eastAsia="宋体" w:cs="Times New Roman"/>
                <w:sz w:val="21"/>
              </w:rPr>
            </w:pPr>
            <w:r>
              <w:rPr>
                <w:rFonts w:hAnsi="Times New Roman" w:eastAsia="宋体" w:cs="Times New Roman"/>
                <w:sz w:val="21"/>
              </w:rPr>
              <w:t>24小时均</w:t>
            </w:r>
          </w:p>
        </w:tc>
        <w:tc>
          <w:tcPr>
            <w:tcW w:w="765" w:type="pct"/>
            <w:vAlign w:val="center"/>
          </w:tcPr>
          <w:p w14:paraId="1D4F9F77">
            <w:pPr>
              <w:widowControl/>
              <w:tabs>
                <w:tab w:val="clear" w:pos="0"/>
              </w:tabs>
              <w:spacing w:line="240" w:lineRule="auto"/>
              <w:ind w:firstLine="0" w:firstLineChars="0"/>
              <w:jc w:val="center"/>
              <w:rPr>
                <w:rFonts w:hAnsi="Times New Roman" w:eastAsia="宋体" w:cs="Times New Roman"/>
                <w:sz w:val="21"/>
              </w:rPr>
            </w:pPr>
            <w:r>
              <w:rPr>
                <w:rFonts w:hAnsi="Times New Roman" w:eastAsia="宋体" w:cs="Times New Roman"/>
                <w:sz w:val="21"/>
              </w:rPr>
              <w:t>μg/m</w:t>
            </w:r>
            <w:r>
              <w:rPr>
                <w:rFonts w:hAnsi="Times New Roman" w:eastAsia="宋体" w:cs="Times New Roman"/>
                <w:sz w:val="21"/>
                <w:vertAlign w:val="superscript"/>
              </w:rPr>
              <w:t>3</w:t>
            </w:r>
          </w:p>
        </w:tc>
        <w:tc>
          <w:tcPr>
            <w:tcW w:w="1797" w:type="pct"/>
            <w:vAlign w:val="center"/>
          </w:tcPr>
          <w:p w14:paraId="68EC19DC">
            <w:pPr>
              <w:widowControl/>
              <w:tabs>
                <w:tab w:val="clear" w:pos="0"/>
              </w:tabs>
              <w:spacing w:line="240" w:lineRule="auto"/>
              <w:ind w:firstLine="0" w:firstLineChars="0"/>
              <w:jc w:val="center"/>
              <w:rPr>
                <w:rFonts w:hAnsi="Times New Roman" w:eastAsia="宋体" w:cs="Times New Roman"/>
                <w:sz w:val="21"/>
              </w:rPr>
            </w:pPr>
            <w:r>
              <w:rPr>
                <w:rFonts w:hint="eastAsia" w:hAnsi="Times New Roman" w:eastAsia="宋体" w:cs="Times New Roman"/>
                <w:sz w:val="21"/>
              </w:rPr>
              <w:t>80</w:t>
            </w:r>
          </w:p>
        </w:tc>
      </w:tr>
      <w:tr w14:paraId="0A5A3F8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1197" w:type="pct"/>
            <w:vMerge w:val="continue"/>
            <w:vAlign w:val="center"/>
          </w:tcPr>
          <w:p w14:paraId="22F4922E">
            <w:pPr>
              <w:widowControl/>
              <w:tabs>
                <w:tab w:val="clear" w:pos="0"/>
              </w:tabs>
              <w:spacing w:line="240" w:lineRule="auto"/>
              <w:ind w:firstLine="0" w:firstLineChars="0"/>
              <w:jc w:val="center"/>
              <w:rPr>
                <w:rFonts w:hAnsi="Times New Roman" w:eastAsia="宋体" w:cs="Times New Roman"/>
                <w:sz w:val="21"/>
              </w:rPr>
            </w:pPr>
          </w:p>
        </w:tc>
        <w:tc>
          <w:tcPr>
            <w:tcW w:w="1241" w:type="pct"/>
            <w:vAlign w:val="center"/>
          </w:tcPr>
          <w:p w14:paraId="3C5C43BD">
            <w:pPr>
              <w:widowControl/>
              <w:tabs>
                <w:tab w:val="clear" w:pos="0"/>
              </w:tabs>
              <w:spacing w:line="240" w:lineRule="auto"/>
              <w:ind w:firstLine="0" w:firstLineChars="0"/>
              <w:jc w:val="center"/>
              <w:rPr>
                <w:rFonts w:hAnsi="Times New Roman" w:eastAsia="宋体" w:cs="Times New Roman"/>
                <w:sz w:val="21"/>
              </w:rPr>
            </w:pPr>
            <w:r>
              <w:rPr>
                <w:rFonts w:hAnsi="Times New Roman" w:eastAsia="宋体" w:cs="Times New Roman"/>
                <w:sz w:val="21"/>
              </w:rPr>
              <w:t>1小时平均</w:t>
            </w:r>
          </w:p>
        </w:tc>
        <w:tc>
          <w:tcPr>
            <w:tcW w:w="765" w:type="pct"/>
            <w:vAlign w:val="center"/>
          </w:tcPr>
          <w:p w14:paraId="4D8A2037">
            <w:pPr>
              <w:widowControl/>
              <w:tabs>
                <w:tab w:val="clear" w:pos="0"/>
              </w:tabs>
              <w:spacing w:line="240" w:lineRule="auto"/>
              <w:ind w:firstLine="0" w:firstLineChars="0"/>
              <w:jc w:val="center"/>
              <w:rPr>
                <w:rFonts w:hAnsi="Times New Roman" w:eastAsia="宋体" w:cs="Times New Roman"/>
                <w:sz w:val="21"/>
              </w:rPr>
            </w:pPr>
            <w:r>
              <w:rPr>
                <w:rFonts w:hAnsi="Times New Roman" w:eastAsia="宋体" w:cs="Times New Roman"/>
                <w:sz w:val="21"/>
              </w:rPr>
              <w:t>μg/m</w:t>
            </w:r>
            <w:r>
              <w:rPr>
                <w:rFonts w:hAnsi="Times New Roman" w:eastAsia="宋体" w:cs="Times New Roman"/>
                <w:sz w:val="21"/>
                <w:vertAlign w:val="superscript"/>
              </w:rPr>
              <w:t>3</w:t>
            </w:r>
          </w:p>
        </w:tc>
        <w:tc>
          <w:tcPr>
            <w:tcW w:w="1797" w:type="pct"/>
            <w:vAlign w:val="center"/>
          </w:tcPr>
          <w:p w14:paraId="3F5B3593">
            <w:pPr>
              <w:widowControl/>
              <w:tabs>
                <w:tab w:val="clear" w:pos="0"/>
              </w:tabs>
              <w:spacing w:line="240" w:lineRule="auto"/>
              <w:ind w:firstLine="0" w:firstLineChars="0"/>
              <w:jc w:val="center"/>
              <w:rPr>
                <w:rFonts w:hAnsi="Times New Roman" w:eastAsia="宋体" w:cs="Times New Roman"/>
                <w:sz w:val="21"/>
              </w:rPr>
            </w:pPr>
            <w:r>
              <w:rPr>
                <w:rFonts w:hint="eastAsia" w:hAnsi="Times New Roman" w:eastAsia="宋体" w:cs="Times New Roman"/>
                <w:sz w:val="21"/>
              </w:rPr>
              <w:t>200</w:t>
            </w:r>
          </w:p>
        </w:tc>
      </w:tr>
      <w:tr w14:paraId="7E56C6C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1197" w:type="pct"/>
            <w:vMerge w:val="restart"/>
            <w:vAlign w:val="center"/>
          </w:tcPr>
          <w:p w14:paraId="4C13ADC7">
            <w:pPr>
              <w:widowControl/>
              <w:tabs>
                <w:tab w:val="clear" w:pos="0"/>
              </w:tabs>
              <w:spacing w:line="240" w:lineRule="auto"/>
              <w:ind w:firstLine="0" w:firstLineChars="0"/>
              <w:jc w:val="center"/>
              <w:rPr>
                <w:rFonts w:hAnsi="Times New Roman" w:eastAsia="宋体" w:cs="Times New Roman"/>
                <w:sz w:val="21"/>
              </w:rPr>
            </w:pPr>
            <w:r>
              <w:rPr>
                <w:rFonts w:hAnsi="Times New Roman" w:eastAsia="宋体" w:cs="Times New Roman"/>
                <w:sz w:val="21"/>
              </w:rPr>
              <w:t>颗粒物（粒径小于等于10μm）</w:t>
            </w:r>
          </w:p>
        </w:tc>
        <w:tc>
          <w:tcPr>
            <w:tcW w:w="1241" w:type="pct"/>
            <w:vAlign w:val="center"/>
          </w:tcPr>
          <w:p w14:paraId="4EAD0314">
            <w:pPr>
              <w:widowControl/>
              <w:tabs>
                <w:tab w:val="clear" w:pos="0"/>
              </w:tabs>
              <w:spacing w:line="240" w:lineRule="auto"/>
              <w:ind w:firstLine="0" w:firstLineChars="0"/>
              <w:jc w:val="center"/>
              <w:rPr>
                <w:rFonts w:hAnsi="Times New Roman" w:eastAsia="宋体" w:cs="Times New Roman"/>
                <w:sz w:val="21"/>
              </w:rPr>
            </w:pPr>
            <w:r>
              <w:rPr>
                <w:rFonts w:hAnsi="Times New Roman" w:eastAsia="宋体" w:cs="Times New Roman"/>
                <w:sz w:val="21"/>
              </w:rPr>
              <w:t>年平均</w:t>
            </w:r>
          </w:p>
        </w:tc>
        <w:tc>
          <w:tcPr>
            <w:tcW w:w="765" w:type="pct"/>
            <w:vAlign w:val="center"/>
          </w:tcPr>
          <w:p w14:paraId="2F67D5F3">
            <w:pPr>
              <w:widowControl/>
              <w:tabs>
                <w:tab w:val="clear" w:pos="0"/>
              </w:tabs>
              <w:spacing w:line="240" w:lineRule="auto"/>
              <w:ind w:firstLine="0" w:firstLineChars="0"/>
              <w:jc w:val="center"/>
              <w:rPr>
                <w:rFonts w:hAnsi="Times New Roman" w:eastAsia="宋体" w:cs="Times New Roman"/>
                <w:sz w:val="21"/>
              </w:rPr>
            </w:pPr>
            <w:r>
              <w:rPr>
                <w:rFonts w:hAnsi="Times New Roman" w:eastAsia="宋体" w:cs="Times New Roman"/>
                <w:sz w:val="21"/>
              </w:rPr>
              <w:t>μg/m</w:t>
            </w:r>
            <w:r>
              <w:rPr>
                <w:rFonts w:hAnsi="Times New Roman" w:eastAsia="宋体" w:cs="Times New Roman"/>
                <w:sz w:val="21"/>
                <w:vertAlign w:val="superscript"/>
              </w:rPr>
              <w:t>3</w:t>
            </w:r>
          </w:p>
        </w:tc>
        <w:tc>
          <w:tcPr>
            <w:tcW w:w="1797" w:type="pct"/>
            <w:vAlign w:val="center"/>
          </w:tcPr>
          <w:p w14:paraId="0D5FCC60">
            <w:pPr>
              <w:widowControl/>
              <w:tabs>
                <w:tab w:val="clear" w:pos="0"/>
              </w:tabs>
              <w:spacing w:line="240" w:lineRule="auto"/>
              <w:ind w:firstLine="0" w:firstLineChars="0"/>
              <w:jc w:val="center"/>
              <w:rPr>
                <w:rFonts w:hAnsi="Times New Roman" w:eastAsia="宋体" w:cs="Times New Roman"/>
                <w:sz w:val="21"/>
              </w:rPr>
            </w:pPr>
            <w:r>
              <w:rPr>
                <w:rFonts w:hint="eastAsia" w:hAnsi="Times New Roman" w:eastAsia="宋体" w:cs="Times New Roman"/>
                <w:sz w:val="21"/>
              </w:rPr>
              <w:t>60</w:t>
            </w:r>
          </w:p>
        </w:tc>
      </w:tr>
      <w:tr w14:paraId="1ABFB8E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1197" w:type="pct"/>
            <w:vMerge w:val="continue"/>
            <w:vAlign w:val="center"/>
          </w:tcPr>
          <w:p w14:paraId="360FC7AE">
            <w:pPr>
              <w:widowControl/>
              <w:tabs>
                <w:tab w:val="clear" w:pos="0"/>
              </w:tabs>
              <w:spacing w:line="240" w:lineRule="auto"/>
              <w:ind w:firstLine="0" w:firstLineChars="0"/>
              <w:jc w:val="center"/>
              <w:rPr>
                <w:rFonts w:hAnsi="Times New Roman" w:eastAsia="宋体" w:cs="Times New Roman"/>
                <w:sz w:val="21"/>
              </w:rPr>
            </w:pPr>
          </w:p>
        </w:tc>
        <w:tc>
          <w:tcPr>
            <w:tcW w:w="1241" w:type="pct"/>
            <w:vAlign w:val="center"/>
          </w:tcPr>
          <w:p w14:paraId="1F0B06AD">
            <w:pPr>
              <w:widowControl/>
              <w:tabs>
                <w:tab w:val="clear" w:pos="0"/>
              </w:tabs>
              <w:spacing w:line="240" w:lineRule="auto"/>
              <w:ind w:firstLine="0" w:firstLineChars="0"/>
              <w:jc w:val="center"/>
              <w:rPr>
                <w:rFonts w:hAnsi="Times New Roman" w:eastAsia="宋体" w:cs="Times New Roman"/>
                <w:sz w:val="21"/>
              </w:rPr>
            </w:pPr>
            <w:r>
              <w:rPr>
                <w:rFonts w:hAnsi="Times New Roman" w:eastAsia="宋体" w:cs="Times New Roman"/>
                <w:sz w:val="21"/>
              </w:rPr>
              <w:t>24小时均</w:t>
            </w:r>
          </w:p>
        </w:tc>
        <w:tc>
          <w:tcPr>
            <w:tcW w:w="765" w:type="pct"/>
            <w:vAlign w:val="center"/>
          </w:tcPr>
          <w:p w14:paraId="2668CEDC">
            <w:pPr>
              <w:widowControl/>
              <w:tabs>
                <w:tab w:val="clear" w:pos="0"/>
              </w:tabs>
              <w:spacing w:line="240" w:lineRule="auto"/>
              <w:ind w:firstLine="0" w:firstLineChars="0"/>
              <w:jc w:val="center"/>
              <w:rPr>
                <w:rFonts w:hAnsi="Times New Roman" w:eastAsia="宋体" w:cs="Times New Roman"/>
                <w:sz w:val="21"/>
              </w:rPr>
            </w:pPr>
            <w:r>
              <w:rPr>
                <w:rFonts w:hAnsi="Times New Roman" w:eastAsia="宋体" w:cs="Times New Roman"/>
                <w:sz w:val="21"/>
              </w:rPr>
              <w:t>μg/m</w:t>
            </w:r>
            <w:r>
              <w:rPr>
                <w:rFonts w:hAnsi="Times New Roman" w:eastAsia="宋体" w:cs="Times New Roman"/>
                <w:sz w:val="21"/>
                <w:vertAlign w:val="superscript"/>
              </w:rPr>
              <w:t>3</w:t>
            </w:r>
          </w:p>
        </w:tc>
        <w:tc>
          <w:tcPr>
            <w:tcW w:w="1797" w:type="pct"/>
            <w:vAlign w:val="center"/>
          </w:tcPr>
          <w:p w14:paraId="04F520E1">
            <w:pPr>
              <w:widowControl/>
              <w:tabs>
                <w:tab w:val="clear" w:pos="0"/>
              </w:tabs>
              <w:spacing w:line="240" w:lineRule="auto"/>
              <w:ind w:firstLine="0" w:firstLineChars="0"/>
              <w:jc w:val="center"/>
              <w:rPr>
                <w:rFonts w:hAnsi="Times New Roman" w:eastAsia="宋体" w:cs="Times New Roman"/>
                <w:sz w:val="21"/>
              </w:rPr>
            </w:pPr>
            <w:r>
              <w:rPr>
                <w:rFonts w:hint="eastAsia" w:hAnsi="Times New Roman" w:eastAsia="宋体" w:cs="Times New Roman"/>
                <w:sz w:val="21"/>
              </w:rPr>
              <w:t>120</w:t>
            </w:r>
          </w:p>
        </w:tc>
      </w:tr>
      <w:tr w14:paraId="6327E1E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1197" w:type="pct"/>
            <w:vMerge w:val="restart"/>
            <w:vAlign w:val="center"/>
          </w:tcPr>
          <w:p w14:paraId="3018846B">
            <w:pPr>
              <w:widowControl/>
              <w:tabs>
                <w:tab w:val="clear" w:pos="0"/>
              </w:tabs>
              <w:spacing w:line="240" w:lineRule="auto"/>
              <w:ind w:firstLine="0" w:firstLineChars="0"/>
              <w:jc w:val="center"/>
              <w:rPr>
                <w:rFonts w:hAnsi="Times New Roman" w:eastAsia="宋体" w:cs="Times New Roman"/>
                <w:sz w:val="21"/>
              </w:rPr>
            </w:pPr>
            <w:r>
              <w:rPr>
                <w:rFonts w:hAnsi="Times New Roman" w:eastAsia="宋体" w:cs="Times New Roman"/>
                <w:sz w:val="21"/>
              </w:rPr>
              <w:t>颗粒物（粒径小于等于2.5μm）</w:t>
            </w:r>
          </w:p>
        </w:tc>
        <w:tc>
          <w:tcPr>
            <w:tcW w:w="1241" w:type="pct"/>
            <w:vAlign w:val="center"/>
          </w:tcPr>
          <w:p w14:paraId="6397E50D">
            <w:pPr>
              <w:widowControl/>
              <w:tabs>
                <w:tab w:val="clear" w:pos="0"/>
              </w:tabs>
              <w:spacing w:line="240" w:lineRule="auto"/>
              <w:ind w:firstLine="0" w:firstLineChars="0"/>
              <w:jc w:val="center"/>
              <w:rPr>
                <w:rFonts w:hAnsi="Times New Roman" w:eastAsia="宋体" w:cs="Times New Roman"/>
                <w:sz w:val="21"/>
              </w:rPr>
            </w:pPr>
            <w:r>
              <w:rPr>
                <w:rFonts w:hAnsi="Times New Roman" w:eastAsia="宋体" w:cs="Times New Roman"/>
                <w:sz w:val="21"/>
              </w:rPr>
              <w:t>年平均</w:t>
            </w:r>
          </w:p>
        </w:tc>
        <w:tc>
          <w:tcPr>
            <w:tcW w:w="765" w:type="pct"/>
            <w:vAlign w:val="center"/>
          </w:tcPr>
          <w:p w14:paraId="0E86CB8C">
            <w:pPr>
              <w:widowControl/>
              <w:tabs>
                <w:tab w:val="clear" w:pos="0"/>
              </w:tabs>
              <w:spacing w:line="240" w:lineRule="auto"/>
              <w:ind w:firstLine="0" w:firstLineChars="0"/>
              <w:jc w:val="center"/>
              <w:rPr>
                <w:rFonts w:hAnsi="Times New Roman" w:eastAsia="宋体" w:cs="Times New Roman"/>
                <w:sz w:val="21"/>
              </w:rPr>
            </w:pPr>
            <w:r>
              <w:rPr>
                <w:rFonts w:hAnsi="Times New Roman" w:eastAsia="宋体" w:cs="Times New Roman"/>
                <w:sz w:val="21"/>
              </w:rPr>
              <w:t>μg/m</w:t>
            </w:r>
            <w:r>
              <w:rPr>
                <w:rFonts w:hAnsi="Times New Roman" w:eastAsia="宋体" w:cs="Times New Roman"/>
                <w:sz w:val="21"/>
                <w:vertAlign w:val="superscript"/>
              </w:rPr>
              <w:t>3</w:t>
            </w:r>
          </w:p>
        </w:tc>
        <w:tc>
          <w:tcPr>
            <w:tcW w:w="1797" w:type="pct"/>
            <w:vAlign w:val="center"/>
          </w:tcPr>
          <w:p w14:paraId="3277CAFE">
            <w:pPr>
              <w:widowControl/>
              <w:tabs>
                <w:tab w:val="clear" w:pos="0"/>
              </w:tabs>
              <w:spacing w:line="240" w:lineRule="auto"/>
              <w:ind w:firstLine="0" w:firstLineChars="0"/>
              <w:jc w:val="center"/>
              <w:rPr>
                <w:rFonts w:hAnsi="Times New Roman" w:eastAsia="宋体" w:cs="Times New Roman"/>
                <w:sz w:val="21"/>
              </w:rPr>
            </w:pPr>
            <w:r>
              <w:rPr>
                <w:rFonts w:hint="eastAsia" w:hAnsi="Times New Roman" w:eastAsia="宋体" w:cs="Times New Roman"/>
                <w:sz w:val="21"/>
              </w:rPr>
              <w:t>30</w:t>
            </w:r>
          </w:p>
        </w:tc>
      </w:tr>
      <w:tr w14:paraId="7582C4E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1197" w:type="pct"/>
            <w:vMerge w:val="continue"/>
            <w:vAlign w:val="center"/>
          </w:tcPr>
          <w:p w14:paraId="33C383E3">
            <w:pPr>
              <w:widowControl/>
              <w:tabs>
                <w:tab w:val="clear" w:pos="0"/>
              </w:tabs>
              <w:spacing w:line="240" w:lineRule="auto"/>
              <w:ind w:firstLine="0" w:firstLineChars="0"/>
              <w:jc w:val="center"/>
              <w:rPr>
                <w:rFonts w:hAnsi="Times New Roman" w:eastAsia="宋体" w:cs="Times New Roman"/>
                <w:sz w:val="21"/>
              </w:rPr>
            </w:pPr>
          </w:p>
        </w:tc>
        <w:tc>
          <w:tcPr>
            <w:tcW w:w="1241" w:type="pct"/>
            <w:vAlign w:val="center"/>
          </w:tcPr>
          <w:p w14:paraId="1889646F">
            <w:pPr>
              <w:widowControl/>
              <w:tabs>
                <w:tab w:val="clear" w:pos="0"/>
              </w:tabs>
              <w:spacing w:line="240" w:lineRule="auto"/>
              <w:ind w:firstLine="0" w:firstLineChars="0"/>
              <w:jc w:val="center"/>
              <w:rPr>
                <w:rFonts w:hAnsi="Times New Roman" w:eastAsia="宋体" w:cs="Times New Roman"/>
                <w:sz w:val="21"/>
              </w:rPr>
            </w:pPr>
            <w:r>
              <w:rPr>
                <w:rFonts w:hAnsi="Times New Roman" w:eastAsia="宋体" w:cs="Times New Roman"/>
                <w:sz w:val="21"/>
              </w:rPr>
              <w:t>24小时均</w:t>
            </w:r>
          </w:p>
        </w:tc>
        <w:tc>
          <w:tcPr>
            <w:tcW w:w="765" w:type="pct"/>
            <w:vAlign w:val="center"/>
          </w:tcPr>
          <w:p w14:paraId="5EA92D1B">
            <w:pPr>
              <w:widowControl/>
              <w:tabs>
                <w:tab w:val="clear" w:pos="0"/>
              </w:tabs>
              <w:spacing w:line="240" w:lineRule="auto"/>
              <w:ind w:firstLine="0" w:firstLineChars="0"/>
              <w:jc w:val="center"/>
              <w:rPr>
                <w:rFonts w:hAnsi="Times New Roman" w:eastAsia="宋体" w:cs="Times New Roman"/>
                <w:sz w:val="21"/>
              </w:rPr>
            </w:pPr>
            <w:r>
              <w:rPr>
                <w:rFonts w:hAnsi="Times New Roman" w:eastAsia="宋体" w:cs="Times New Roman"/>
                <w:sz w:val="21"/>
              </w:rPr>
              <w:t>μg/m</w:t>
            </w:r>
            <w:r>
              <w:rPr>
                <w:rFonts w:hAnsi="Times New Roman" w:eastAsia="宋体" w:cs="Times New Roman"/>
                <w:sz w:val="21"/>
                <w:vertAlign w:val="superscript"/>
              </w:rPr>
              <w:t>3</w:t>
            </w:r>
          </w:p>
        </w:tc>
        <w:tc>
          <w:tcPr>
            <w:tcW w:w="1797" w:type="pct"/>
            <w:vAlign w:val="center"/>
          </w:tcPr>
          <w:p w14:paraId="01DA4C09">
            <w:pPr>
              <w:widowControl/>
              <w:tabs>
                <w:tab w:val="clear" w:pos="0"/>
              </w:tabs>
              <w:spacing w:line="240" w:lineRule="auto"/>
              <w:ind w:firstLine="0" w:firstLineChars="0"/>
              <w:jc w:val="center"/>
              <w:rPr>
                <w:rFonts w:hAnsi="Times New Roman" w:eastAsia="宋体" w:cs="Times New Roman"/>
                <w:sz w:val="21"/>
              </w:rPr>
            </w:pPr>
            <w:r>
              <w:rPr>
                <w:rFonts w:hint="eastAsia" w:hAnsi="Times New Roman" w:eastAsia="宋体" w:cs="Times New Roman"/>
                <w:sz w:val="21"/>
              </w:rPr>
              <w:t>60</w:t>
            </w:r>
          </w:p>
        </w:tc>
      </w:tr>
      <w:tr w14:paraId="3CD0554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1197" w:type="pct"/>
            <w:vMerge w:val="restart"/>
            <w:vAlign w:val="center"/>
          </w:tcPr>
          <w:p w14:paraId="6A9B3443">
            <w:pPr>
              <w:widowControl/>
              <w:tabs>
                <w:tab w:val="clear" w:pos="0"/>
              </w:tabs>
              <w:spacing w:line="240" w:lineRule="auto"/>
              <w:ind w:firstLine="0" w:firstLineChars="0"/>
              <w:jc w:val="center"/>
              <w:rPr>
                <w:rFonts w:hAnsi="Times New Roman" w:eastAsia="宋体" w:cs="Times New Roman"/>
                <w:sz w:val="21"/>
              </w:rPr>
            </w:pPr>
            <w:r>
              <w:rPr>
                <w:rFonts w:hAnsi="Times New Roman" w:eastAsia="宋体" w:cs="Times New Roman"/>
                <w:sz w:val="21"/>
              </w:rPr>
              <w:t>O</w:t>
            </w:r>
            <w:r>
              <w:rPr>
                <w:rFonts w:hAnsi="Times New Roman" w:eastAsia="宋体" w:cs="Times New Roman"/>
                <w:sz w:val="21"/>
                <w:vertAlign w:val="subscript"/>
              </w:rPr>
              <w:t>3</w:t>
            </w:r>
          </w:p>
        </w:tc>
        <w:tc>
          <w:tcPr>
            <w:tcW w:w="1241" w:type="pct"/>
            <w:vAlign w:val="center"/>
          </w:tcPr>
          <w:p w14:paraId="5D43297D">
            <w:pPr>
              <w:widowControl/>
              <w:tabs>
                <w:tab w:val="clear" w:pos="0"/>
              </w:tabs>
              <w:spacing w:line="240" w:lineRule="auto"/>
              <w:ind w:firstLine="0" w:firstLineChars="0"/>
              <w:jc w:val="center"/>
              <w:rPr>
                <w:rFonts w:hAnsi="Times New Roman" w:eastAsia="宋体" w:cs="Times New Roman"/>
                <w:sz w:val="21"/>
              </w:rPr>
            </w:pPr>
            <w:r>
              <w:rPr>
                <w:rFonts w:hAnsi="Times New Roman" w:eastAsia="宋体" w:cs="Times New Roman"/>
                <w:sz w:val="21"/>
              </w:rPr>
              <w:t>日最大8小时均值</w:t>
            </w:r>
          </w:p>
        </w:tc>
        <w:tc>
          <w:tcPr>
            <w:tcW w:w="765" w:type="pct"/>
            <w:vAlign w:val="center"/>
          </w:tcPr>
          <w:p w14:paraId="27912810">
            <w:pPr>
              <w:widowControl/>
              <w:tabs>
                <w:tab w:val="clear" w:pos="0"/>
              </w:tabs>
              <w:spacing w:line="240" w:lineRule="auto"/>
              <w:ind w:firstLine="0" w:firstLineChars="0"/>
              <w:jc w:val="center"/>
              <w:rPr>
                <w:rFonts w:hAnsi="Times New Roman" w:eastAsia="宋体" w:cs="Times New Roman"/>
                <w:sz w:val="21"/>
              </w:rPr>
            </w:pPr>
            <w:r>
              <w:rPr>
                <w:rFonts w:hAnsi="Times New Roman" w:eastAsia="宋体" w:cs="Times New Roman"/>
                <w:sz w:val="21"/>
              </w:rPr>
              <w:t>μg/m</w:t>
            </w:r>
            <w:r>
              <w:rPr>
                <w:rFonts w:hAnsi="Times New Roman" w:eastAsia="宋体" w:cs="Times New Roman"/>
                <w:sz w:val="21"/>
                <w:vertAlign w:val="superscript"/>
              </w:rPr>
              <w:t>3</w:t>
            </w:r>
          </w:p>
        </w:tc>
        <w:tc>
          <w:tcPr>
            <w:tcW w:w="1797" w:type="pct"/>
            <w:vAlign w:val="center"/>
          </w:tcPr>
          <w:p w14:paraId="0B12CA35">
            <w:pPr>
              <w:widowControl/>
              <w:tabs>
                <w:tab w:val="clear" w:pos="0"/>
              </w:tabs>
              <w:spacing w:line="240" w:lineRule="auto"/>
              <w:ind w:firstLine="0" w:firstLineChars="0"/>
              <w:jc w:val="center"/>
              <w:rPr>
                <w:rFonts w:hAnsi="Times New Roman" w:eastAsia="宋体" w:cs="Times New Roman"/>
                <w:sz w:val="21"/>
              </w:rPr>
            </w:pPr>
            <w:r>
              <w:rPr>
                <w:rFonts w:hint="eastAsia" w:hAnsi="Times New Roman" w:eastAsia="宋体" w:cs="Times New Roman"/>
                <w:sz w:val="21"/>
              </w:rPr>
              <w:t>160</w:t>
            </w:r>
          </w:p>
        </w:tc>
      </w:tr>
      <w:tr w14:paraId="29FC187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1197" w:type="pct"/>
            <w:vMerge w:val="continue"/>
            <w:vAlign w:val="center"/>
          </w:tcPr>
          <w:p w14:paraId="47F50A20">
            <w:pPr>
              <w:widowControl/>
              <w:tabs>
                <w:tab w:val="clear" w:pos="0"/>
              </w:tabs>
              <w:spacing w:line="240" w:lineRule="auto"/>
              <w:ind w:firstLine="0" w:firstLineChars="0"/>
              <w:jc w:val="center"/>
              <w:rPr>
                <w:rFonts w:hAnsi="Times New Roman" w:eastAsia="宋体" w:cs="Times New Roman"/>
                <w:sz w:val="21"/>
              </w:rPr>
            </w:pPr>
          </w:p>
        </w:tc>
        <w:tc>
          <w:tcPr>
            <w:tcW w:w="1241" w:type="pct"/>
            <w:vAlign w:val="center"/>
          </w:tcPr>
          <w:p w14:paraId="45E2FF54">
            <w:pPr>
              <w:widowControl/>
              <w:tabs>
                <w:tab w:val="clear" w:pos="0"/>
              </w:tabs>
              <w:spacing w:line="240" w:lineRule="auto"/>
              <w:ind w:firstLine="0" w:firstLineChars="0"/>
              <w:jc w:val="center"/>
              <w:rPr>
                <w:rFonts w:hAnsi="Times New Roman" w:eastAsia="宋体" w:cs="Times New Roman"/>
                <w:sz w:val="21"/>
              </w:rPr>
            </w:pPr>
            <w:r>
              <w:rPr>
                <w:rFonts w:hAnsi="Times New Roman" w:eastAsia="宋体" w:cs="Times New Roman"/>
                <w:sz w:val="21"/>
              </w:rPr>
              <w:t>1小时平均</w:t>
            </w:r>
          </w:p>
        </w:tc>
        <w:tc>
          <w:tcPr>
            <w:tcW w:w="765" w:type="pct"/>
            <w:vAlign w:val="center"/>
          </w:tcPr>
          <w:p w14:paraId="49A95805">
            <w:pPr>
              <w:widowControl/>
              <w:tabs>
                <w:tab w:val="clear" w:pos="0"/>
              </w:tabs>
              <w:spacing w:line="240" w:lineRule="auto"/>
              <w:ind w:firstLine="0" w:firstLineChars="0"/>
              <w:jc w:val="center"/>
              <w:rPr>
                <w:rFonts w:hAnsi="Times New Roman" w:eastAsia="宋体" w:cs="Times New Roman"/>
                <w:sz w:val="21"/>
              </w:rPr>
            </w:pPr>
            <w:r>
              <w:rPr>
                <w:rFonts w:hAnsi="Times New Roman" w:eastAsia="宋体" w:cs="Times New Roman"/>
                <w:sz w:val="21"/>
              </w:rPr>
              <w:t>μg/m</w:t>
            </w:r>
            <w:r>
              <w:rPr>
                <w:rFonts w:hAnsi="Times New Roman" w:eastAsia="宋体" w:cs="Times New Roman"/>
                <w:sz w:val="21"/>
                <w:vertAlign w:val="superscript"/>
              </w:rPr>
              <w:t>3</w:t>
            </w:r>
          </w:p>
        </w:tc>
        <w:tc>
          <w:tcPr>
            <w:tcW w:w="1797" w:type="pct"/>
            <w:vAlign w:val="center"/>
          </w:tcPr>
          <w:p w14:paraId="4055B80D">
            <w:pPr>
              <w:widowControl/>
              <w:tabs>
                <w:tab w:val="clear" w:pos="0"/>
              </w:tabs>
              <w:spacing w:line="240" w:lineRule="auto"/>
              <w:ind w:firstLine="0" w:firstLineChars="0"/>
              <w:jc w:val="center"/>
              <w:rPr>
                <w:rFonts w:hAnsi="Times New Roman" w:eastAsia="宋体" w:cs="Times New Roman"/>
                <w:sz w:val="21"/>
              </w:rPr>
            </w:pPr>
            <w:r>
              <w:rPr>
                <w:rFonts w:hint="eastAsia" w:hAnsi="Times New Roman" w:eastAsia="宋体" w:cs="Times New Roman"/>
                <w:sz w:val="21"/>
              </w:rPr>
              <w:t>200</w:t>
            </w:r>
          </w:p>
        </w:tc>
      </w:tr>
      <w:tr w14:paraId="3911F4E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1197" w:type="pct"/>
            <w:vMerge w:val="restart"/>
            <w:vAlign w:val="center"/>
          </w:tcPr>
          <w:p w14:paraId="46851A6D">
            <w:pPr>
              <w:widowControl/>
              <w:tabs>
                <w:tab w:val="clear" w:pos="0"/>
              </w:tabs>
              <w:spacing w:line="240" w:lineRule="auto"/>
              <w:ind w:firstLine="0" w:firstLineChars="0"/>
              <w:jc w:val="center"/>
              <w:rPr>
                <w:rFonts w:hAnsi="Times New Roman" w:eastAsia="宋体" w:cs="Times New Roman"/>
                <w:sz w:val="21"/>
              </w:rPr>
            </w:pPr>
            <w:r>
              <w:rPr>
                <w:rFonts w:hAnsi="Times New Roman" w:eastAsia="宋体" w:cs="Times New Roman"/>
                <w:sz w:val="21"/>
              </w:rPr>
              <w:t>CO</w:t>
            </w:r>
          </w:p>
        </w:tc>
        <w:tc>
          <w:tcPr>
            <w:tcW w:w="1241" w:type="pct"/>
            <w:vAlign w:val="center"/>
          </w:tcPr>
          <w:p w14:paraId="1D4E1ABA">
            <w:pPr>
              <w:widowControl/>
              <w:tabs>
                <w:tab w:val="clear" w:pos="0"/>
              </w:tabs>
              <w:spacing w:line="240" w:lineRule="auto"/>
              <w:ind w:firstLine="0" w:firstLineChars="0"/>
              <w:jc w:val="center"/>
              <w:rPr>
                <w:rFonts w:hAnsi="Times New Roman" w:eastAsia="宋体" w:cs="Times New Roman"/>
                <w:sz w:val="21"/>
              </w:rPr>
            </w:pPr>
            <w:r>
              <w:rPr>
                <w:rFonts w:hAnsi="Times New Roman" w:eastAsia="宋体" w:cs="Times New Roman"/>
                <w:sz w:val="21"/>
              </w:rPr>
              <w:t>24小时均</w:t>
            </w:r>
          </w:p>
        </w:tc>
        <w:tc>
          <w:tcPr>
            <w:tcW w:w="765" w:type="pct"/>
            <w:vAlign w:val="center"/>
          </w:tcPr>
          <w:p w14:paraId="174ACF35">
            <w:pPr>
              <w:widowControl/>
              <w:tabs>
                <w:tab w:val="clear" w:pos="0"/>
              </w:tabs>
              <w:spacing w:line="240" w:lineRule="auto"/>
              <w:ind w:firstLine="0" w:firstLineChars="0"/>
              <w:jc w:val="center"/>
              <w:rPr>
                <w:rFonts w:hAnsi="Times New Roman" w:eastAsia="宋体" w:cs="Times New Roman"/>
                <w:sz w:val="21"/>
              </w:rPr>
            </w:pPr>
            <w:r>
              <w:rPr>
                <w:rFonts w:hAnsi="Times New Roman" w:eastAsia="宋体" w:cs="Times New Roman"/>
                <w:sz w:val="21"/>
              </w:rPr>
              <w:t>mg/m</w:t>
            </w:r>
            <w:r>
              <w:rPr>
                <w:rFonts w:hAnsi="Times New Roman" w:eastAsia="宋体" w:cs="Times New Roman"/>
                <w:sz w:val="21"/>
                <w:vertAlign w:val="superscript"/>
              </w:rPr>
              <w:t>3</w:t>
            </w:r>
          </w:p>
        </w:tc>
        <w:tc>
          <w:tcPr>
            <w:tcW w:w="1797" w:type="pct"/>
            <w:vAlign w:val="center"/>
          </w:tcPr>
          <w:p w14:paraId="6F6DF8F5">
            <w:pPr>
              <w:widowControl/>
              <w:tabs>
                <w:tab w:val="clear" w:pos="0"/>
              </w:tabs>
              <w:spacing w:line="240" w:lineRule="auto"/>
              <w:ind w:firstLine="0" w:firstLineChars="0"/>
              <w:jc w:val="center"/>
              <w:rPr>
                <w:rFonts w:hAnsi="Times New Roman" w:eastAsia="宋体" w:cs="Times New Roman"/>
                <w:sz w:val="21"/>
              </w:rPr>
            </w:pPr>
            <w:r>
              <w:rPr>
                <w:rFonts w:hint="eastAsia" w:hAnsi="Times New Roman" w:eastAsia="宋体" w:cs="Times New Roman"/>
                <w:sz w:val="21"/>
              </w:rPr>
              <w:t>4</w:t>
            </w:r>
          </w:p>
        </w:tc>
      </w:tr>
      <w:tr w14:paraId="077E7AC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1197" w:type="pct"/>
            <w:vMerge w:val="continue"/>
            <w:vAlign w:val="center"/>
          </w:tcPr>
          <w:p w14:paraId="3DFD8DFD">
            <w:pPr>
              <w:widowControl/>
              <w:tabs>
                <w:tab w:val="clear" w:pos="0"/>
              </w:tabs>
              <w:spacing w:line="240" w:lineRule="auto"/>
              <w:ind w:firstLine="0" w:firstLineChars="0"/>
              <w:jc w:val="center"/>
              <w:rPr>
                <w:rFonts w:hAnsi="Times New Roman" w:eastAsia="宋体" w:cs="Times New Roman"/>
                <w:sz w:val="21"/>
              </w:rPr>
            </w:pPr>
          </w:p>
        </w:tc>
        <w:tc>
          <w:tcPr>
            <w:tcW w:w="1241" w:type="pct"/>
            <w:vAlign w:val="center"/>
          </w:tcPr>
          <w:p w14:paraId="282A68A6">
            <w:pPr>
              <w:widowControl/>
              <w:tabs>
                <w:tab w:val="clear" w:pos="0"/>
              </w:tabs>
              <w:spacing w:line="240" w:lineRule="auto"/>
              <w:ind w:firstLine="0" w:firstLineChars="0"/>
              <w:jc w:val="center"/>
              <w:rPr>
                <w:rFonts w:hAnsi="Times New Roman" w:eastAsia="宋体" w:cs="Times New Roman"/>
                <w:sz w:val="21"/>
              </w:rPr>
            </w:pPr>
            <w:r>
              <w:rPr>
                <w:rFonts w:hAnsi="Times New Roman" w:eastAsia="宋体" w:cs="Times New Roman"/>
                <w:sz w:val="21"/>
              </w:rPr>
              <w:t>1小时平均</w:t>
            </w:r>
          </w:p>
        </w:tc>
        <w:tc>
          <w:tcPr>
            <w:tcW w:w="765" w:type="pct"/>
            <w:vAlign w:val="center"/>
          </w:tcPr>
          <w:p w14:paraId="791C7DDB">
            <w:pPr>
              <w:widowControl/>
              <w:tabs>
                <w:tab w:val="clear" w:pos="0"/>
              </w:tabs>
              <w:spacing w:line="240" w:lineRule="auto"/>
              <w:ind w:firstLine="0" w:firstLineChars="0"/>
              <w:jc w:val="center"/>
              <w:rPr>
                <w:rFonts w:hAnsi="Times New Roman" w:eastAsia="宋体" w:cs="Times New Roman"/>
                <w:sz w:val="21"/>
              </w:rPr>
            </w:pPr>
            <w:r>
              <w:rPr>
                <w:rFonts w:hAnsi="Times New Roman" w:eastAsia="宋体" w:cs="Times New Roman"/>
                <w:sz w:val="21"/>
              </w:rPr>
              <w:t>mg/m</w:t>
            </w:r>
            <w:r>
              <w:rPr>
                <w:rFonts w:hAnsi="Times New Roman" w:eastAsia="宋体" w:cs="Times New Roman"/>
                <w:sz w:val="21"/>
                <w:vertAlign w:val="superscript"/>
              </w:rPr>
              <w:t>3</w:t>
            </w:r>
          </w:p>
        </w:tc>
        <w:tc>
          <w:tcPr>
            <w:tcW w:w="1797" w:type="pct"/>
            <w:vAlign w:val="center"/>
          </w:tcPr>
          <w:p w14:paraId="347EA224">
            <w:pPr>
              <w:widowControl/>
              <w:tabs>
                <w:tab w:val="clear" w:pos="0"/>
              </w:tabs>
              <w:spacing w:line="240" w:lineRule="auto"/>
              <w:ind w:firstLine="0" w:firstLineChars="0"/>
              <w:jc w:val="center"/>
              <w:rPr>
                <w:rFonts w:hAnsi="Times New Roman" w:eastAsia="宋体" w:cs="Times New Roman"/>
                <w:sz w:val="21"/>
              </w:rPr>
            </w:pPr>
            <w:r>
              <w:rPr>
                <w:rFonts w:hint="eastAsia" w:hAnsi="Times New Roman" w:eastAsia="宋体" w:cs="Times New Roman"/>
                <w:sz w:val="21"/>
              </w:rPr>
              <w:t>10</w:t>
            </w:r>
          </w:p>
        </w:tc>
      </w:tr>
      <w:tr w14:paraId="5A207AB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1197" w:type="pct"/>
            <w:vMerge w:val="restart"/>
            <w:vAlign w:val="center"/>
          </w:tcPr>
          <w:p w14:paraId="3909226A">
            <w:pPr>
              <w:widowControl/>
              <w:tabs>
                <w:tab w:val="clear" w:pos="0"/>
              </w:tabs>
              <w:spacing w:line="240" w:lineRule="auto"/>
              <w:ind w:firstLine="0" w:firstLineChars="0"/>
              <w:jc w:val="center"/>
              <w:rPr>
                <w:rFonts w:hAnsi="Times New Roman" w:eastAsia="宋体" w:cs="Times New Roman"/>
                <w:sz w:val="21"/>
                <w:vertAlign w:val="subscript"/>
              </w:rPr>
            </w:pPr>
            <w:r>
              <w:rPr>
                <w:rFonts w:hAnsi="Times New Roman" w:eastAsia="宋体" w:cs="Times New Roman"/>
                <w:sz w:val="21"/>
              </w:rPr>
              <w:t>NO</w:t>
            </w:r>
            <w:r>
              <w:rPr>
                <w:rFonts w:hAnsi="Times New Roman" w:eastAsia="宋体" w:cs="Times New Roman"/>
                <w:sz w:val="21"/>
                <w:vertAlign w:val="subscript"/>
              </w:rPr>
              <w:t>x</w:t>
            </w:r>
          </w:p>
        </w:tc>
        <w:tc>
          <w:tcPr>
            <w:tcW w:w="1241" w:type="pct"/>
            <w:vAlign w:val="center"/>
          </w:tcPr>
          <w:p w14:paraId="54EDB698">
            <w:pPr>
              <w:widowControl/>
              <w:tabs>
                <w:tab w:val="clear" w:pos="0"/>
              </w:tabs>
              <w:spacing w:line="240" w:lineRule="auto"/>
              <w:ind w:firstLine="0" w:firstLineChars="0"/>
              <w:jc w:val="center"/>
              <w:rPr>
                <w:rFonts w:hAnsi="Times New Roman" w:eastAsia="宋体" w:cs="Times New Roman"/>
                <w:sz w:val="21"/>
              </w:rPr>
            </w:pPr>
            <w:r>
              <w:rPr>
                <w:rFonts w:hAnsi="Times New Roman" w:eastAsia="宋体" w:cs="Times New Roman"/>
                <w:sz w:val="21"/>
              </w:rPr>
              <w:t>年平均</w:t>
            </w:r>
          </w:p>
        </w:tc>
        <w:tc>
          <w:tcPr>
            <w:tcW w:w="765" w:type="pct"/>
            <w:vAlign w:val="center"/>
          </w:tcPr>
          <w:p w14:paraId="5374A1B3">
            <w:pPr>
              <w:widowControl/>
              <w:tabs>
                <w:tab w:val="clear" w:pos="0"/>
              </w:tabs>
              <w:spacing w:line="240" w:lineRule="auto"/>
              <w:ind w:firstLine="0" w:firstLineChars="0"/>
              <w:jc w:val="center"/>
              <w:rPr>
                <w:rFonts w:hAnsi="Times New Roman" w:eastAsia="宋体" w:cs="Times New Roman"/>
                <w:sz w:val="21"/>
              </w:rPr>
            </w:pPr>
            <w:r>
              <w:rPr>
                <w:rFonts w:hAnsi="Times New Roman" w:eastAsia="宋体" w:cs="Times New Roman"/>
                <w:sz w:val="21"/>
              </w:rPr>
              <w:t>μg/m</w:t>
            </w:r>
            <w:r>
              <w:rPr>
                <w:rFonts w:hAnsi="Times New Roman" w:eastAsia="宋体" w:cs="Times New Roman"/>
                <w:sz w:val="21"/>
                <w:vertAlign w:val="superscript"/>
              </w:rPr>
              <w:t>3</w:t>
            </w:r>
          </w:p>
        </w:tc>
        <w:tc>
          <w:tcPr>
            <w:tcW w:w="1797" w:type="pct"/>
            <w:vAlign w:val="center"/>
          </w:tcPr>
          <w:p w14:paraId="0A7FB073">
            <w:pPr>
              <w:widowControl/>
              <w:tabs>
                <w:tab w:val="clear" w:pos="0"/>
              </w:tabs>
              <w:spacing w:line="240" w:lineRule="auto"/>
              <w:ind w:firstLine="0" w:firstLineChars="0"/>
              <w:jc w:val="center"/>
              <w:rPr>
                <w:rFonts w:hAnsi="Times New Roman" w:eastAsia="宋体" w:cs="Times New Roman"/>
                <w:sz w:val="21"/>
              </w:rPr>
            </w:pPr>
            <w:r>
              <w:rPr>
                <w:rFonts w:hAnsi="Times New Roman" w:eastAsia="宋体" w:cs="Times New Roman"/>
                <w:sz w:val="21"/>
              </w:rPr>
              <w:t>50</w:t>
            </w:r>
          </w:p>
        </w:tc>
      </w:tr>
      <w:tr w14:paraId="0101C7B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1197" w:type="pct"/>
            <w:vMerge w:val="continue"/>
            <w:vAlign w:val="center"/>
          </w:tcPr>
          <w:p w14:paraId="64A7DAD8">
            <w:pPr>
              <w:widowControl/>
              <w:tabs>
                <w:tab w:val="clear" w:pos="0"/>
              </w:tabs>
              <w:spacing w:line="240" w:lineRule="auto"/>
              <w:ind w:firstLine="0" w:firstLineChars="0"/>
              <w:jc w:val="center"/>
              <w:rPr>
                <w:rFonts w:hAnsi="Times New Roman" w:eastAsia="宋体" w:cs="Times New Roman"/>
                <w:sz w:val="21"/>
              </w:rPr>
            </w:pPr>
          </w:p>
        </w:tc>
        <w:tc>
          <w:tcPr>
            <w:tcW w:w="1241" w:type="pct"/>
            <w:vAlign w:val="center"/>
          </w:tcPr>
          <w:p w14:paraId="7BC2A22F">
            <w:pPr>
              <w:widowControl/>
              <w:tabs>
                <w:tab w:val="clear" w:pos="0"/>
              </w:tabs>
              <w:spacing w:line="240" w:lineRule="auto"/>
              <w:ind w:firstLine="0" w:firstLineChars="0"/>
              <w:jc w:val="center"/>
              <w:rPr>
                <w:rFonts w:hAnsi="Times New Roman" w:eastAsia="宋体" w:cs="Times New Roman"/>
                <w:sz w:val="21"/>
              </w:rPr>
            </w:pPr>
            <w:r>
              <w:rPr>
                <w:rFonts w:hAnsi="Times New Roman" w:eastAsia="宋体" w:cs="Times New Roman"/>
                <w:sz w:val="21"/>
              </w:rPr>
              <w:t>24小时均</w:t>
            </w:r>
          </w:p>
        </w:tc>
        <w:tc>
          <w:tcPr>
            <w:tcW w:w="765" w:type="pct"/>
            <w:vAlign w:val="center"/>
          </w:tcPr>
          <w:p w14:paraId="72BE6E5E">
            <w:pPr>
              <w:widowControl/>
              <w:tabs>
                <w:tab w:val="clear" w:pos="0"/>
              </w:tabs>
              <w:spacing w:line="240" w:lineRule="auto"/>
              <w:ind w:firstLine="0" w:firstLineChars="0"/>
              <w:jc w:val="center"/>
              <w:rPr>
                <w:rFonts w:hAnsi="Times New Roman" w:eastAsia="宋体" w:cs="Times New Roman"/>
                <w:sz w:val="21"/>
              </w:rPr>
            </w:pPr>
            <w:r>
              <w:rPr>
                <w:rFonts w:hAnsi="Times New Roman" w:eastAsia="宋体" w:cs="Times New Roman"/>
                <w:sz w:val="21"/>
              </w:rPr>
              <w:t>μg/m</w:t>
            </w:r>
            <w:r>
              <w:rPr>
                <w:rFonts w:hAnsi="Times New Roman" w:eastAsia="宋体" w:cs="Times New Roman"/>
                <w:sz w:val="21"/>
                <w:vertAlign w:val="superscript"/>
              </w:rPr>
              <w:t>3</w:t>
            </w:r>
          </w:p>
        </w:tc>
        <w:tc>
          <w:tcPr>
            <w:tcW w:w="1797" w:type="pct"/>
            <w:vAlign w:val="center"/>
          </w:tcPr>
          <w:p w14:paraId="42943F77">
            <w:pPr>
              <w:widowControl/>
              <w:tabs>
                <w:tab w:val="clear" w:pos="0"/>
              </w:tabs>
              <w:spacing w:line="240" w:lineRule="auto"/>
              <w:ind w:firstLine="0" w:firstLineChars="0"/>
              <w:jc w:val="center"/>
              <w:rPr>
                <w:rFonts w:hAnsi="Times New Roman" w:eastAsia="宋体" w:cs="Times New Roman"/>
                <w:sz w:val="21"/>
              </w:rPr>
            </w:pPr>
            <w:r>
              <w:rPr>
                <w:rFonts w:hAnsi="Times New Roman" w:eastAsia="宋体" w:cs="Times New Roman"/>
                <w:sz w:val="21"/>
              </w:rPr>
              <w:t>100</w:t>
            </w:r>
          </w:p>
        </w:tc>
      </w:tr>
      <w:tr w14:paraId="2CFCBA2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1197" w:type="pct"/>
            <w:vMerge w:val="continue"/>
            <w:vAlign w:val="center"/>
          </w:tcPr>
          <w:p w14:paraId="3750AD3F">
            <w:pPr>
              <w:widowControl/>
              <w:tabs>
                <w:tab w:val="clear" w:pos="0"/>
              </w:tabs>
              <w:spacing w:line="240" w:lineRule="auto"/>
              <w:ind w:firstLine="0" w:firstLineChars="0"/>
              <w:jc w:val="center"/>
              <w:rPr>
                <w:rFonts w:hAnsi="Times New Roman" w:eastAsia="宋体" w:cs="Times New Roman"/>
                <w:sz w:val="21"/>
              </w:rPr>
            </w:pPr>
          </w:p>
        </w:tc>
        <w:tc>
          <w:tcPr>
            <w:tcW w:w="1241" w:type="pct"/>
            <w:vAlign w:val="center"/>
          </w:tcPr>
          <w:p w14:paraId="6EAE08B5">
            <w:pPr>
              <w:widowControl/>
              <w:tabs>
                <w:tab w:val="clear" w:pos="0"/>
              </w:tabs>
              <w:spacing w:line="240" w:lineRule="auto"/>
              <w:ind w:firstLine="0" w:firstLineChars="0"/>
              <w:jc w:val="center"/>
              <w:rPr>
                <w:rFonts w:hAnsi="Times New Roman" w:eastAsia="宋体" w:cs="Times New Roman"/>
                <w:sz w:val="21"/>
              </w:rPr>
            </w:pPr>
            <w:r>
              <w:rPr>
                <w:rFonts w:hAnsi="Times New Roman" w:eastAsia="宋体" w:cs="Times New Roman"/>
                <w:sz w:val="21"/>
              </w:rPr>
              <w:t>1小时平均</w:t>
            </w:r>
          </w:p>
        </w:tc>
        <w:tc>
          <w:tcPr>
            <w:tcW w:w="765" w:type="pct"/>
            <w:vAlign w:val="center"/>
          </w:tcPr>
          <w:p w14:paraId="00C03AE5">
            <w:pPr>
              <w:widowControl/>
              <w:tabs>
                <w:tab w:val="clear" w:pos="0"/>
              </w:tabs>
              <w:spacing w:line="240" w:lineRule="auto"/>
              <w:ind w:firstLine="0" w:firstLineChars="0"/>
              <w:jc w:val="center"/>
              <w:rPr>
                <w:rFonts w:hAnsi="Times New Roman" w:eastAsia="宋体" w:cs="Times New Roman"/>
                <w:sz w:val="21"/>
              </w:rPr>
            </w:pPr>
            <w:r>
              <w:rPr>
                <w:rFonts w:hAnsi="Times New Roman" w:eastAsia="宋体" w:cs="Times New Roman"/>
                <w:sz w:val="21"/>
              </w:rPr>
              <w:t>μg/m</w:t>
            </w:r>
            <w:r>
              <w:rPr>
                <w:rFonts w:hAnsi="Times New Roman" w:eastAsia="宋体" w:cs="Times New Roman"/>
                <w:sz w:val="21"/>
                <w:vertAlign w:val="superscript"/>
              </w:rPr>
              <w:t>3</w:t>
            </w:r>
          </w:p>
        </w:tc>
        <w:tc>
          <w:tcPr>
            <w:tcW w:w="1797" w:type="pct"/>
            <w:vAlign w:val="center"/>
          </w:tcPr>
          <w:p w14:paraId="7C0E67F9">
            <w:pPr>
              <w:widowControl/>
              <w:tabs>
                <w:tab w:val="clear" w:pos="0"/>
              </w:tabs>
              <w:spacing w:line="240" w:lineRule="auto"/>
              <w:ind w:firstLine="0" w:firstLineChars="0"/>
              <w:jc w:val="center"/>
              <w:rPr>
                <w:rFonts w:hAnsi="Times New Roman" w:eastAsia="宋体" w:cs="Times New Roman"/>
                <w:sz w:val="21"/>
              </w:rPr>
            </w:pPr>
            <w:r>
              <w:rPr>
                <w:rFonts w:hAnsi="Times New Roman" w:eastAsia="宋体" w:cs="Times New Roman"/>
                <w:sz w:val="21"/>
              </w:rPr>
              <w:t>250</w:t>
            </w:r>
          </w:p>
        </w:tc>
      </w:tr>
    </w:tbl>
    <w:p w14:paraId="0FAAA222">
      <w:pPr>
        <w:pStyle w:val="5"/>
        <w:spacing w:before="120" w:after="120"/>
      </w:pPr>
      <w:r>
        <w:rPr>
          <w:rFonts w:hint="eastAsia"/>
        </w:rPr>
        <w:t>地表水环境</w:t>
      </w:r>
      <w:r>
        <w:t>质量标准</w:t>
      </w:r>
    </w:p>
    <w:p w14:paraId="1A12BB7B">
      <w:pPr>
        <w:ind w:firstLine="480"/>
        <w:rPr>
          <w:szCs w:val="22"/>
        </w:rPr>
      </w:pPr>
      <w:r>
        <w:rPr>
          <w:szCs w:val="22"/>
        </w:rPr>
        <w:t>根据</w:t>
      </w:r>
      <w:r>
        <w:rPr>
          <w:rFonts w:hint="eastAsia"/>
          <w:szCs w:val="22"/>
        </w:rPr>
        <w:t>前文</w:t>
      </w:r>
      <w:r>
        <w:rPr>
          <w:szCs w:val="22"/>
        </w:rPr>
        <w:t>分析，项目马厂河执水质控制目标为</w:t>
      </w:r>
      <w:r>
        <w:rPr>
          <w:rFonts w:hint="eastAsia"/>
          <w:szCs w:val="22"/>
        </w:rPr>
        <w:t>Ⅳ</w:t>
      </w:r>
      <w:r>
        <w:rPr>
          <w:szCs w:val="22"/>
        </w:rPr>
        <w:t>类。执行《地表水环境质量标准》（GB3838-2002）中</w:t>
      </w:r>
      <w:r>
        <w:rPr>
          <w:rFonts w:hint="eastAsia" w:ascii="仿宋_GB2312"/>
          <w:szCs w:val="22"/>
        </w:rPr>
        <w:t>Ⅳ</w:t>
      </w:r>
      <w:r>
        <w:rPr>
          <w:szCs w:val="22"/>
        </w:rPr>
        <w:t>类标准</w:t>
      </w:r>
      <w:r>
        <w:rPr>
          <w:rFonts w:hint="eastAsia"/>
          <w:szCs w:val="22"/>
        </w:rPr>
        <w:t>。</w:t>
      </w:r>
    </w:p>
    <w:p w14:paraId="1C9F863B">
      <w:pPr>
        <w:widowControl/>
        <w:tabs>
          <w:tab w:val="clear" w:pos="0"/>
        </w:tabs>
        <w:spacing w:line="240" w:lineRule="auto"/>
        <w:ind w:firstLine="0" w:firstLineChars="0"/>
        <w:jc w:val="center"/>
        <w:rPr>
          <w:rFonts w:ascii="黑体" w:hAnsi="黑体" w:eastAsia="黑体" w:cs="Times New Roman"/>
        </w:rPr>
      </w:pPr>
      <w:r>
        <w:rPr>
          <w:rFonts w:hint="eastAsia" w:ascii="黑体" w:hAnsi="黑体" w:eastAsia="黑体" w:cs="Times New Roman"/>
        </w:rPr>
        <w:t>表</w:t>
      </w:r>
      <w:r>
        <w:rPr>
          <w:rFonts w:ascii="黑体" w:hAnsi="黑体" w:eastAsia="黑体" w:cs="Times New Roman"/>
        </w:rPr>
        <w:t>2.</w:t>
      </w:r>
      <w:r>
        <w:rPr>
          <w:rFonts w:hint="eastAsia" w:ascii="黑体" w:hAnsi="黑体" w:eastAsia="黑体" w:cs="Times New Roman"/>
        </w:rPr>
        <w:t>4</w:t>
      </w:r>
      <w:r>
        <w:rPr>
          <w:rFonts w:ascii="黑体" w:hAnsi="黑体" w:eastAsia="黑体" w:cs="Times New Roman"/>
        </w:rPr>
        <w:t>-</w:t>
      </w:r>
      <w:r>
        <w:rPr>
          <w:rFonts w:hint="eastAsia" w:ascii="黑体" w:hAnsi="黑体" w:eastAsia="黑体" w:cs="Times New Roman"/>
        </w:rPr>
        <w:t>2  地表水环境质量标准限值</w:t>
      </w:r>
    </w:p>
    <w:tbl>
      <w:tblPr>
        <w:tblStyle w:val="36"/>
        <w:tblW w:w="8505"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991"/>
        <w:gridCol w:w="2643"/>
        <w:gridCol w:w="1608"/>
        <w:gridCol w:w="1608"/>
        <w:gridCol w:w="1655"/>
      </w:tblGrid>
      <w:tr w14:paraId="5D6E07A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072" w:type="dxa"/>
            <w:vAlign w:val="center"/>
          </w:tcPr>
          <w:p w14:paraId="3D4A74B3">
            <w:pPr>
              <w:widowControl/>
              <w:tabs>
                <w:tab w:val="clear" w:pos="0"/>
              </w:tabs>
              <w:snapToGrid w:val="0"/>
              <w:spacing w:line="240" w:lineRule="auto"/>
              <w:ind w:firstLine="0" w:firstLineChars="0"/>
              <w:jc w:val="center"/>
              <w:rPr>
                <w:rFonts w:hAnsi="Times New Roman" w:eastAsia="宋体" w:cs="Times New Roman"/>
                <w:b/>
                <w:sz w:val="21"/>
              </w:rPr>
            </w:pPr>
            <w:r>
              <w:rPr>
                <w:rFonts w:hint="eastAsia" w:hAnsi="Times New Roman" w:eastAsia="宋体" w:cs="Times New Roman"/>
                <w:b/>
                <w:sz w:val="21"/>
              </w:rPr>
              <w:t>序号</w:t>
            </w:r>
          </w:p>
        </w:tc>
        <w:tc>
          <w:tcPr>
            <w:tcW w:w="2900" w:type="dxa"/>
            <w:vAlign w:val="center"/>
          </w:tcPr>
          <w:p w14:paraId="7BD089F1">
            <w:pPr>
              <w:pStyle w:val="179"/>
              <w:rPr>
                <w:b/>
              </w:rPr>
            </w:pPr>
            <w:r>
              <w:rPr>
                <w:rFonts w:hint="eastAsia"/>
                <w:b/>
              </w:rPr>
              <w:t>项目</w:t>
            </w:r>
          </w:p>
        </w:tc>
        <w:tc>
          <w:tcPr>
            <w:tcW w:w="1754" w:type="dxa"/>
            <w:vAlign w:val="center"/>
          </w:tcPr>
          <w:p w14:paraId="32696D9A">
            <w:pPr>
              <w:pStyle w:val="179"/>
              <w:rPr>
                <w:b/>
              </w:rPr>
            </w:pPr>
            <w:r>
              <w:rPr>
                <w:rFonts w:hint="eastAsia"/>
                <w:b/>
              </w:rPr>
              <w:t>标准值（</w:t>
            </w:r>
            <w:r>
              <w:rPr>
                <w:rFonts w:hint="eastAsia" w:ascii="宋体" w:hAnsi="宋体"/>
                <w:b/>
              </w:rPr>
              <w:t>Ⅲ</w:t>
            </w:r>
            <w:r>
              <w:rPr>
                <w:rFonts w:hint="eastAsia"/>
                <w:b/>
              </w:rPr>
              <w:t>类）</w:t>
            </w:r>
          </w:p>
        </w:tc>
        <w:tc>
          <w:tcPr>
            <w:tcW w:w="1754" w:type="dxa"/>
            <w:vAlign w:val="center"/>
          </w:tcPr>
          <w:p w14:paraId="7371F283">
            <w:pPr>
              <w:pStyle w:val="179"/>
              <w:rPr>
                <w:b/>
              </w:rPr>
            </w:pPr>
            <w:r>
              <w:rPr>
                <w:rFonts w:hint="eastAsia"/>
                <w:b/>
              </w:rPr>
              <w:t>标准值（Ⅳ类）</w:t>
            </w:r>
          </w:p>
        </w:tc>
        <w:tc>
          <w:tcPr>
            <w:tcW w:w="1806" w:type="dxa"/>
            <w:vAlign w:val="center"/>
          </w:tcPr>
          <w:p w14:paraId="2DC4DF6B">
            <w:pPr>
              <w:pStyle w:val="179"/>
              <w:rPr>
                <w:b/>
              </w:rPr>
            </w:pPr>
            <w:r>
              <w:rPr>
                <w:rFonts w:hint="eastAsia"/>
                <w:b/>
              </w:rPr>
              <w:t>单位</w:t>
            </w:r>
          </w:p>
        </w:tc>
      </w:tr>
      <w:tr w14:paraId="13D9ADC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1072" w:type="dxa"/>
            <w:vAlign w:val="center"/>
          </w:tcPr>
          <w:p w14:paraId="4612A5C4">
            <w:pPr>
              <w:widowControl/>
              <w:tabs>
                <w:tab w:val="clear" w:pos="0"/>
              </w:tabs>
              <w:snapToGrid w:val="0"/>
              <w:spacing w:line="240" w:lineRule="auto"/>
              <w:ind w:firstLine="0" w:firstLineChars="0"/>
              <w:jc w:val="center"/>
              <w:rPr>
                <w:rFonts w:hAnsi="Times New Roman" w:eastAsia="宋体" w:cs="Times New Roman"/>
                <w:sz w:val="21"/>
              </w:rPr>
            </w:pPr>
            <w:r>
              <w:rPr>
                <w:rFonts w:hAnsi="Times New Roman" w:eastAsia="宋体" w:cs="Times New Roman"/>
                <w:sz w:val="21"/>
              </w:rPr>
              <w:t>1</w:t>
            </w:r>
          </w:p>
        </w:tc>
        <w:tc>
          <w:tcPr>
            <w:tcW w:w="2900" w:type="dxa"/>
            <w:vAlign w:val="center"/>
          </w:tcPr>
          <w:p w14:paraId="4CF3B732">
            <w:pPr>
              <w:pStyle w:val="179"/>
            </w:pPr>
            <w:r>
              <w:t>pH</w:t>
            </w:r>
          </w:p>
        </w:tc>
        <w:tc>
          <w:tcPr>
            <w:tcW w:w="1754" w:type="dxa"/>
            <w:vAlign w:val="center"/>
          </w:tcPr>
          <w:p w14:paraId="3D2B5D53">
            <w:pPr>
              <w:pStyle w:val="179"/>
            </w:pPr>
            <w:r>
              <w:t>6~9</w:t>
            </w:r>
          </w:p>
        </w:tc>
        <w:tc>
          <w:tcPr>
            <w:tcW w:w="1754" w:type="dxa"/>
            <w:vAlign w:val="center"/>
          </w:tcPr>
          <w:p w14:paraId="2BA10010">
            <w:pPr>
              <w:pStyle w:val="179"/>
            </w:pPr>
            <w:r>
              <w:t>6~9</w:t>
            </w:r>
          </w:p>
        </w:tc>
        <w:tc>
          <w:tcPr>
            <w:tcW w:w="1806" w:type="dxa"/>
            <w:vAlign w:val="center"/>
          </w:tcPr>
          <w:p w14:paraId="3B29AE9D">
            <w:pPr>
              <w:pStyle w:val="179"/>
            </w:pPr>
            <w:r>
              <w:t>/</w:t>
            </w:r>
          </w:p>
        </w:tc>
      </w:tr>
      <w:tr w14:paraId="61320A9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1072" w:type="dxa"/>
            <w:vAlign w:val="center"/>
          </w:tcPr>
          <w:p w14:paraId="402B3837">
            <w:pPr>
              <w:widowControl/>
              <w:tabs>
                <w:tab w:val="clear" w:pos="0"/>
              </w:tabs>
              <w:snapToGrid w:val="0"/>
              <w:spacing w:line="240" w:lineRule="auto"/>
              <w:ind w:firstLine="0" w:firstLineChars="0"/>
              <w:jc w:val="center"/>
              <w:rPr>
                <w:rFonts w:hAnsi="Times New Roman" w:eastAsia="宋体" w:cs="Times New Roman"/>
                <w:sz w:val="21"/>
              </w:rPr>
            </w:pPr>
            <w:r>
              <w:rPr>
                <w:rFonts w:hAnsi="Times New Roman" w:eastAsia="宋体" w:cs="Times New Roman"/>
                <w:sz w:val="21"/>
              </w:rPr>
              <w:t>2</w:t>
            </w:r>
          </w:p>
        </w:tc>
        <w:tc>
          <w:tcPr>
            <w:tcW w:w="2900" w:type="dxa"/>
            <w:vAlign w:val="center"/>
          </w:tcPr>
          <w:p w14:paraId="74EC1DFC">
            <w:pPr>
              <w:pStyle w:val="179"/>
            </w:pPr>
            <w:r>
              <w:t>COD</w:t>
            </w:r>
          </w:p>
        </w:tc>
        <w:tc>
          <w:tcPr>
            <w:tcW w:w="1754" w:type="dxa"/>
            <w:vAlign w:val="center"/>
          </w:tcPr>
          <w:p w14:paraId="568CFFEA">
            <w:pPr>
              <w:pStyle w:val="179"/>
            </w:pPr>
            <w:r>
              <w:t>≤</w:t>
            </w:r>
            <w:r>
              <w:rPr>
                <w:rFonts w:hint="eastAsia"/>
              </w:rPr>
              <w:t>20</w:t>
            </w:r>
          </w:p>
        </w:tc>
        <w:tc>
          <w:tcPr>
            <w:tcW w:w="1754" w:type="dxa"/>
            <w:vAlign w:val="center"/>
          </w:tcPr>
          <w:p w14:paraId="55D0BAA8">
            <w:pPr>
              <w:pStyle w:val="179"/>
            </w:pPr>
            <w:r>
              <w:t>≤</w:t>
            </w:r>
            <w:r>
              <w:rPr>
                <w:rFonts w:hint="eastAsia"/>
              </w:rPr>
              <w:t>3</w:t>
            </w:r>
            <w:r>
              <w:t>0</w:t>
            </w:r>
          </w:p>
        </w:tc>
        <w:tc>
          <w:tcPr>
            <w:tcW w:w="1806" w:type="dxa"/>
            <w:vAlign w:val="center"/>
          </w:tcPr>
          <w:p w14:paraId="627338EE">
            <w:pPr>
              <w:pStyle w:val="179"/>
            </w:pPr>
            <w:r>
              <w:t>mg/L</w:t>
            </w:r>
          </w:p>
        </w:tc>
      </w:tr>
      <w:tr w14:paraId="745541B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1072" w:type="dxa"/>
            <w:vAlign w:val="center"/>
          </w:tcPr>
          <w:p w14:paraId="7FB84527">
            <w:pPr>
              <w:widowControl/>
              <w:tabs>
                <w:tab w:val="clear" w:pos="0"/>
              </w:tabs>
              <w:snapToGrid w:val="0"/>
              <w:spacing w:line="240" w:lineRule="auto"/>
              <w:ind w:firstLine="0" w:firstLineChars="0"/>
              <w:jc w:val="center"/>
              <w:rPr>
                <w:rFonts w:hAnsi="Times New Roman" w:eastAsia="宋体" w:cs="Times New Roman"/>
                <w:sz w:val="21"/>
              </w:rPr>
            </w:pPr>
            <w:r>
              <w:rPr>
                <w:rFonts w:hAnsi="Times New Roman" w:eastAsia="宋体" w:cs="Times New Roman"/>
                <w:sz w:val="21"/>
              </w:rPr>
              <w:t>3</w:t>
            </w:r>
          </w:p>
        </w:tc>
        <w:tc>
          <w:tcPr>
            <w:tcW w:w="2900" w:type="dxa"/>
            <w:vAlign w:val="center"/>
          </w:tcPr>
          <w:p w14:paraId="2A369C69">
            <w:pPr>
              <w:pStyle w:val="179"/>
            </w:pPr>
            <w:r>
              <w:t>高锰酸盐指数</w:t>
            </w:r>
          </w:p>
        </w:tc>
        <w:tc>
          <w:tcPr>
            <w:tcW w:w="1754" w:type="dxa"/>
            <w:vAlign w:val="center"/>
          </w:tcPr>
          <w:p w14:paraId="2AB848F3">
            <w:pPr>
              <w:pStyle w:val="179"/>
            </w:pPr>
            <w:r>
              <w:t>≤</w:t>
            </w:r>
            <w:r>
              <w:rPr>
                <w:rFonts w:hint="eastAsia"/>
              </w:rPr>
              <w:t>6</w:t>
            </w:r>
          </w:p>
        </w:tc>
        <w:tc>
          <w:tcPr>
            <w:tcW w:w="1754" w:type="dxa"/>
            <w:vAlign w:val="center"/>
          </w:tcPr>
          <w:p w14:paraId="65876BE5">
            <w:pPr>
              <w:pStyle w:val="179"/>
            </w:pPr>
            <w:r>
              <w:t>≤</w:t>
            </w:r>
            <w:r>
              <w:rPr>
                <w:rFonts w:hint="eastAsia"/>
              </w:rPr>
              <w:t>10</w:t>
            </w:r>
          </w:p>
        </w:tc>
        <w:tc>
          <w:tcPr>
            <w:tcW w:w="1806" w:type="dxa"/>
            <w:vAlign w:val="center"/>
          </w:tcPr>
          <w:p w14:paraId="73A3A85B">
            <w:pPr>
              <w:pStyle w:val="179"/>
            </w:pPr>
            <w:r>
              <w:t>mg/L</w:t>
            </w:r>
          </w:p>
        </w:tc>
      </w:tr>
      <w:tr w14:paraId="3BFECBD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1072" w:type="dxa"/>
            <w:vAlign w:val="center"/>
          </w:tcPr>
          <w:p w14:paraId="510A022F">
            <w:pPr>
              <w:widowControl/>
              <w:tabs>
                <w:tab w:val="clear" w:pos="0"/>
              </w:tabs>
              <w:snapToGrid w:val="0"/>
              <w:spacing w:line="240" w:lineRule="auto"/>
              <w:ind w:firstLine="0" w:firstLineChars="0"/>
              <w:jc w:val="center"/>
              <w:rPr>
                <w:rFonts w:hAnsi="Times New Roman" w:eastAsia="宋体" w:cs="Times New Roman"/>
                <w:sz w:val="21"/>
              </w:rPr>
            </w:pPr>
            <w:r>
              <w:rPr>
                <w:rFonts w:hAnsi="Times New Roman" w:eastAsia="宋体" w:cs="Times New Roman"/>
                <w:sz w:val="21"/>
              </w:rPr>
              <w:t>4</w:t>
            </w:r>
          </w:p>
        </w:tc>
        <w:tc>
          <w:tcPr>
            <w:tcW w:w="2900" w:type="dxa"/>
            <w:vAlign w:val="center"/>
          </w:tcPr>
          <w:p w14:paraId="518DF009">
            <w:pPr>
              <w:pStyle w:val="179"/>
            </w:pPr>
            <w:r>
              <w:t>BOD</w:t>
            </w:r>
            <w:r>
              <w:rPr>
                <w:vertAlign w:val="subscript"/>
              </w:rPr>
              <w:t>5</w:t>
            </w:r>
          </w:p>
        </w:tc>
        <w:tc>
          <w:tcPr>
            <w:tcW w:w="1754" w:type="dxa"/>
            <w:vAlign w:val="center"/>
          </w:tcPr>
          <w:p w14:paraId="3DEA4D52">
            <w:pPr>
              <w:pStyle w:val="179"/>
            </w:pPr>
            <w:r>
              <w:t>≤</w:t>
            </w:r>
            <w:r>
              <w:rPr>
                <w:rFonts w:hint="eastAsia"/>
              </w:rPr>
              <w:t>4</w:t>
            </w:r>
          </w:p>
        </w:tc>
        <w:tc>
          <w:tcPr>
            <w:tcW w:w="1754" w:type="dxa"/>
            <w:vAlign w:val="center"/>
          </w:tcPr>
          <w:p w14:paraId="14DCA526">
            <w:pPr>
              <w:pStyle w:val="179"/>
            </w:pPr>
            <w:r>
              <w:t>≤</w:t>
            </w:r>
            <w:r>
              <w:rPr>
                <w:rFonts w:hint="eastAsia"/>
              </w:rPr>
              <w:t>6</w:t>
            </w:r>
          </w:p>
        </w:tc>
        <w:tc>
          <w:tcPr>
            <w:tcW w:w="1806" w:type="dxa"/>
            <w:vAlign w:val="center"/>
          </w:tcPr>
          <w:p w14:paraId="142B4B07">
            <w:pPr>
              <w:pStyle w:val="179"/>
            </w:pPr>
            <w:r>
              <w:t>mg/L</w:t>
            </w:r>
          </w:p>
        </w:tc>
      </w:tr>
      <w:tr w14:paraId="12E7B79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1072" w:type="dxa"/>
            <w:vAlign w:val="center"/>
          </w:tcPr>
          <w:p w14:paraId="2B84B979">
            <w:pPr>
              <w:widowControl/>
              <w:tabs>
                <w:tab w:val="clear" w:pos="0"/>
              </w:tabs>
              <w:snapToGrid w:val="0"/>
              <w:spacing w:line="240" w:lineRule="auto"/>
              <w:ind w:firstLine="0" w:firstLineChars="0"/>
              <w:jc w:val="center"/>
              <w:rPr>
                <w:rFonts w:hAnsi="Times New Roman" w:eastAsia="宋体" w:cs="Times New Roman"/>
                <w:sz w:val="21"/>
              </w:rPr>
            </w:pPr>
            <w:r>
              <w:rPr>
                <w:rFonts w:hAnsi="Times New Roman" w:eastAsia="宋体" w:cs="Times New Roman"/>
                <w:sz w:val="21"/>
              </w:rPr>
              <w:t>5</w:t>
            </w:r>
          </w:p>
        </w:tc>
        <w:tc>
          <w:tcPr>
            <w:tcW w:w="2900" w:type="dxa"/>
            <w:vAlign w:val="center"/>
          </w:tcPr>
          <w:p w14:paraId="2A4F14C8">
            <w:pPr>
              <w:pStyle w:val="179"/>
            </w:pPr>
            <w:r>
              <w:t>氨氮</w:t>
            </w:r>
          </w:p>
        </w:tc>
        <w:tc>
          <w:tcPr>
            <w:tcW w:w="1754" w:type="dxa"/>
            <w:vAlign w:val="center"/>
          </w:tcPr>
          <w:p w14:paraId="103ABA6F">
            <w:pPr>
              <w:pStyle w:val="179"/>
            </w:pPr>
            <w:r>
              <w:t>≤1.</w:t>
            </w:r>
            <w:r>
              <w:rPr>
                <w:rFonts w:hint="eastAsia"/>
              </w:rPr>
              <w:t>0</w:t>
            </w:r>
          </w:p>
        </w:tc>
        <w:tc>
          <w:tcPr>
            <w:tcW w:w="1754" w:type="dxa"/>
            <w:vAlign w:val="center"/>
          </w:tcPr>
          <w:p w14:paraId="57B8EC1E">
            <w:pPr>
              <w:pStyle w:val="179"/>
            </w:pPr>
            <w:r>
              <w:t>≤1.</w:t>
            </w:r>
            <w:r>
              <w:rPr>
                <w:rFonts w:hint="eastAsia"/>
              </w:rPr>
              <w:t>5</w:t>
            </w:r>
          </w:p>
        </w:tc>
        <w:tc>
          <w:tcPr>
            <w:tcW w:w="1806" w:type="dxa"/>
            <w:vAlign w:val="center"/>
          </w:tcPr>
          <w:p w14:paraId="719FAA1C">
            <w:pPr>
              <w:pStyle w:val="179"/>
            </w:pPr>
            <w:r>
              <w:t>mg/L</w:t>
            </w:r>
          </w:p>
        </w:tc>
      </w:tr>
      <w:tr w14:paraId="4186034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1072" w:type="dxa"/>
            <w:vAlign w:val="center"/>
          </w:tcPr>
          <w:p w14:paraId="2CFE79D9">
            <w:pPr>
              <w:widowControl/>
              <w:tabs>
                <w:tab w:val="clear" w:pos="0"/>
              </w:tabs>
              <w:snapToGrid w:val="0"/>
              <w:spacing w:line="240" w:lineRule="auto"/>
              <w:ind w:firstLine="0" w:firstLineChars="0"/>
              <w:jc w:val="center"/>
              <w:rPr>
                <w:rFonts w:hAnsi="Times New Roman" w:eastAsia="宋体" w:cs="Times New Roman"/>
                <w:sz w:val="21"/>
              </w:rPr>
            </w:pPr>
            <w:r>
              <w:rPr>
                <w:rFonts w:hAnsi="Times New Roman" w:eastAsia="宋体" w:cs="Times New Roman"/>
                <w:sz w:val="21"/>
              </w:rPr>
              <w:t>6</w:t>
            </w:r>
          </w:p>
        </w:tc>
        <w:tc>
          <w:tcPr>
            <w:tcW w:w="2900" w:type="dxa"/>
            <w:vAlign w:val="center"/>
          </w:tcPr>
          <w:p w14:paraId="6C5F318F">
            <w:pPr>
              <w:pStyle w:val="179"/>
            </w:pPr>
            <w:r>
              <w:t>总氮</w:t>
            </w:r>
          </w:p>
        </w:tc>
        <w:tc>
          <w:tcPr>
            <w:tcW w:w="1754" w:type="dxa"/>
            <w:vAlign w:val="center"/>
          </w:tcPr>
          <w:p w14:paraId="2ED0BED8">
            <w:pPr>
              <w:pStyle w:val="179"/>
            </w:pPr>
            <w:r>
              <w:t>≤1.</w:t>
            </w:r>
            <w:r>
              <w:rPr>
                <w:rFonts w:hint="eastAsia"/>
              </w:rPr>
              <w:t>0</w:t>
            </w:r>
          </w:p>
        </w:tc>
        <w:tc>
          <w:tcPr>
            <w:tcW w:w="1754" w:type="dxa"/>
            <w:vAlign w:val="center"/>
          </w:tcPr>
          <w:p w14:paraId="4AF1A91C">
            <w:pPr>
              <w:pStyle w:val="179"/>
            </w:pPr>
            <w:r>
              <w:t>≤1.</w:t>
            </w:r>
            <w:r>
              <w:rPr>
                <w:rFonts w:hint="eastAsia"/>
              </w:rPr>
              <w:t>5</w:t>
            </w:r>
          </w:p>
        </w:tc>
        <w:tc>
          <w:tcPr>
            <w:tcW w:w="1806" w:type="dxa"/>
            <w:vAlign w:val="center"/>
          </w:tcPr>
          <w:p w14:paraId="32113C8C">
            <w:pPr>
              <w:pStyle w:val="179"/>
            </w:pPr>
            <w:r>
              <w:t>mg/L</w:t>
            </w:r>
          </w:p>
        </w:tc>
      </w:tr>
      <w:tr w14:paraId="7624568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1072" w:type="dxa"/>
            <w:vAlign w:val="center"/>
          </w:tcPr>
          <w:p w14:paraId="6637A74B">
            <w:pPr>
              <w:widowControl/>
              <w:tabs>
                <w:tab w:val="clear" w:pos="0"/>
              </w:tabs>
              <w:snapToGrid w:val="0"/>
              <w:spacing w:line="240" w:lineRule="auto"/>
              <w:ind w:firstLine="0" w:firstLineChars="0"/>
              <w:jc w:val="center"/>
              <w:rPr>
                <w:rFonts w:hAnsi="Times New Roman" w:eastAsia="宋体" w:cs="Times New Roman"/>
                <w:sz w:val="21"/>
              </w:rPr>
            </w:pPr>
            <w:r>
              <w:rPr>
                <w:rFonts w:hAnsi="Times New Roman" w:eastAsia="宋体" w:cs="Times New Roman"/>
                <w:sz w:val="21"/>
              </w:rPr>
              <w:t>7</w:t>
            </w:r>
          </w:p>
        </w:tc>
        <w:tc>
          <w:tcPr>
            <w:tcW w:w="2900" w:type="dxa"/>
            <w:vAlign w:val="center"/>
          </w:tcPr>
          <w:p w14:paraId="63C84628">
            <w:pPr>
              <w:pStyle w:val="179"/>
            </w:pPr>
            <w:r>
              <w:t>总磷</w:t>
            </w:r>
          </w:p>
        </w:tc>
        <w:tc>
          <w:tcPr>
            <w:tcW w:w="1754" w:type="dxa"/>
            <w:vAlign w:val="center"/>
          </w:tcPr>
          <w:p w14:paraId="4BE450DD">
            <w:pPr>
              <w:pStyle w:val="179"/>
            </w:pPr>
            <w:r>
              <w:t>≤0.</w:t>
            </w:r>
            <w:r>
              <w:rPr>
                <w:rFonts w:hint="eastAsia"/>
              </w:rPr>
              <w:t>2</w:t>
            </w:r>
          </w:p>
        </w:tc>
        <w:tc>
          <w:tcPr>
            <w:tcW w:w="1754" w:type="dxa"/>
            <w:vAlign w:val="center"/>
          </w:tcPr>
          <w:p w14:paraId="731FE7B1">
            <w:pPr>
              <w:pStyle w:val="179"/>
            </w:pPr>
            <w:r>
              <w:t>≤0.</w:t>
            </w:r>
            <w:r>
              <w:rPr>
                <w:rFonts w:hint="eastAsia"/>
              </w:rPr>
              <w:t>3</w:t>
            </w:r>
          </w:p>
        </w:tc>
        <w:tc>
          <w:tcPr>
            <w:tcW w:w="1806" w:type="dxa"/>
            <w:vAlign w:val="center"/>
          </w:tcPr>
          <w:p w14:paraId="788F59D5">
            <w:pPr>
              <w:pStyle w:val="179"/>
            </w:pPr>
            <w:r>
              <w:t>mg/L</w:t>
            </w:r>
          </w:p>
        </w:tc>
      </w:tr>
      <w:tr w14:paraId="4D9C10C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1072" w:type="dxa"/>
            <w:vAlign w:val="center"/>
          </w:tcPr>
          <w:p w14:paraId="477D3D2A">
            <w:pPr>
              <w:widowControl/>
              <w:tabs>
                <w:tab w:val="clear" w:pos="0"/>
              </w:tabs>
              <w:snapToGrid w:val="0"/>
              <w:spacing w:line="240" w:lineRule="auto"/>
              <w:ind w:firstLine="0" w:firstLineChars="0"/>
              <w:jc w:val="center"/>
              <w:rPr>
                <w:rFonts w:hAnsi="Times New Roman" w:eastAsia="宋体" w:cs="Times New Roman"/>
                <w:sz w:val="21"/>
              </w:rPr>
            </w:pPr>
            <w:r>
              <w:rPr>
                <w:rFonts w:hAnsi="Times New Roman" w:eastAsia="宋体" w:cs="Times New Roman"/>
                <w:sz w:val="21"/>
              </w:rPr>
              <w:t>8</w:t>
            </w:r>
          </w:p>
        </w:tc>
        <w:tc>
          <w:tcPr>
            <w:tcW w:w="2900" w:type="dxa"/>
            <w:vAlign w:val="center"/>
          </w:tcPr>
          <w:p w14:paraId="318CADF8">
            <w:pPr>
              <w:pStyle w:val="179"/>
            </w:pPr>
            <w:r>
              <w:t>粪大肠菌群</w:t>
            </w:r>
          </w:p>
        </w:tc>
        <w:tc>
          <w:tcPr>
            <w:tcW w:w="1754" w:type="dxa"/>
            <w:vAlign w:val="center"/>
          </w:tcPr>
          <w:p w14:paraId="743FA6BE">
            <w:pPr>
              <w:pStyle w:val="179"/>
            </w:pPr>
            <w:r>
              <w:t>≤</w:t>
            </w:r>
            <w:r>
              <w:rPr>
                <w:rFonts w:hint="eastAsia"/>
              </w:rPr>
              <w:t>1</w:t>
            </w:r>
            <w:r>
              <w:t>0000</w:t>
            </w:r>
          </w:p>
        </w:tc>
        <w:tc>
          <w:tcPr>
            <w:tcW w:w="1754" w:type="dxa"/>
            <w:vAlign w:val="center"/>
          </w:tcPr>
          <w:p w14:paraId="1235F05F">
            <w:pPr>
              <w:pStyle w:val="179"/>
            </w:pPr>
            <w:r>
              <w:t>≤</w:t>
            </w:r>
            <w:r>
              <w:rPr>
                <w:rFonts w:hint="eastAsia"/>
              </w:rPr>
              <w:t>2</w:t>
            </w:r>
            <w:r>
              <w:t>0000</w:t>
            </w:r>
          </w:p>
        </w:tc>
        <w:tc>
          <w:tcPr>
            <w:tcW w:w="1806" w:type="dxa"/>
            <w:vAlign w:val="center"/>
          </w:tcPr>
          <w:p w14:paraId="11D62E54">
            <w:pPr>
              <w:pStyle w:val="179"/>
            </w:pPr>
            <w:r>
              <w:t>个/L</w:t>
            </w:r>
          </w:p>
        </w:tc>
      </w:tr>
    </w:tbl>
    <w:p w14:paraId="5C64094B">
      <w:pPr>
        <w:pStyle w:val="5"/>
        <w:spacing w:before="120" w:after="120"/>
      </w:pPr>
      <w:r>
        <w:rPr>
          <w:rFonts w:hint="eastAsia"/>
        </w:rPr>
        <w:t>声环境质量标准</w:t>
      </w:r>
    </w:p>
    <w:p w14:paraId="17BF8ABA">
      <w:pPr>
        <w:ind w:firstLine="480"/>
      </w:pPr>
      <w:r>
        <w:t>项目位于农村区域，声环境执行《声环境质量标准》（GB3096-2008）中</w:t>
      </w:r>
      <w:r>
        <w:rPr>
          <w:rFonts w:hint="eastAsia"/>
        </w:rPr>
        <w:t>1</w:t>
      </w:r>
      <w:r>
        <w:t>类标准；</w:t>
      </w:r>
      <w:r>
        <w:rPr>
          <w:rFonts w:hint="eastAsia"/>
        </w:rPr>
        <w:t>具体限值见表</w:t>
      </w:r>
      <w:r>
        <w:t>2.</w:t>
      </w:r>
      <w:r>
        <w:rPr>
          <w:rFonts w:hint="eastAsia"/>
        </w:rPr>
        <w:t>4</w:t>
      </w:r>
      <w:r>
        <w:t>-</w:t>
      </w:r>
      <w:r>
        <w:rPr>
          <w:rFonts w:hint="eastAsia"/>
        </w:rPr>
        <w:t>3。</w:t>
      </w:r>
    </w:p>
    <w:p w14:paraId="57415FBC">
      <w:pPr>
        <w:widowControl/>
        <w:tabs>
          <w:tab w:val="clear" w:pos="0"/>
        </w:tabs>
        <w:spacing w:line="240" w:lineRule="auto"/>
        <w:ind w:firstLine="0" w:firstLineChars="0"/>
        <w:jc w:val="center"/>
        <w:rPr>
          <w:rFonts w:ascii="黑体" w:hAnsi="黑体" w:eastAsia="黑体" w:cs="Times New Roman"/>
        </w:rPr>
      </w:pPr>
      <w:r>
        <w:rPr>
          <w:rFonts w:ascii="黑体" w:hAnsi="黑体" w:eastAsia="黑体" w:cs="Times New Roman"/>
        </w:rPr>
        <w:t>表</w:t>
      </w:r>
      <w:r>
        <w:rPr>
          <w:rFonts w:hint="eastAsia" w:ascii="黑体" w:hAnsi="黑体" w:eastAsia="黑体" w:cs="Times New Roman"/>
        </w:rPr>
        <w:t>2.4</w:t>
      </w:r>
      <w:r>
        <w:rPr>
          <w:rFonts w:ascii="黑体" w:hAnsi="黑体" w:eastAsia="黑体" w:cs="Times New Roman"/>
        </w:rPr>
        <w:t>-</w:t>
      </w:r>
      <w:r>
        <w:rPr>
          <w:rFonts w:hint="eastAsia" w:ascii="黑体" w:hAnsi="黑体" w:eastAsia="黑体" w:cs="Times New Roman"/>
        </w:rPr>
        <w:t>3</w:t>
      </w:r>
      <w:r>
        <w:rPr>
          <w:rFonts w:ascii="黑体" w:hAnsi="黑体" w:eastAsia="黑体" w:cs="Times New Roman"/>
        </w:rPr>
        <w:t xml:space="preserve">   声环境质量标准</w:t>
      </w:r>
    </w:p>
    <w:tbl>
      <w:tblPr>
        <w:tblStyle w:val="36"/>
        <w:tblW w:w="8505"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
      <w:tblGrid>
        <w:gridCol w:w="2446"/>
        <w:gridCol w:w="1992"/>
        <w:gridCol w:w="2126"/>
        <w:gridCol w:w="1941"/>
      </w:tblGrid>
      <w:tr w14:paraId="6526799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438" w:type="pct"/>
            <w:vAlign w:val="center"/>
          </w:tcPr>
          <w:p w14:paraId="44F0BEA1">
            <w:pPr>
              <w:widowControl/>
              <w:tabs>
                <w:tab w:val="clear" w:pos="0"/>
              </w:tabs>
              <w:spacing w:line="240" w:lineRule="auto"/>
              <w:ind w:firstLine="0" w:firstLineChars="0"/>
              <w:jc w:val="center"/>
              <w:rPr>
                <w:rFonts w:hAnsi="Times New Roman" w:eastAsia="宋体" w:cs="Times New Roman"/>
                <w:b/>
                <w:sz w:val="21"/>
              </w:rPr>
            </w:pPr>
            <w:r>
              <w:rPr>
                <w:rFonts w:hAnsi="Times New Roman" w:eastAsia="宋体" w:cs="Times New Roman"/>
                <w:b/>
                <w:sz w:val="21"/>
              </w:rPr>
              <w:t>声环境功能区类别</w:t>
            </w:r>
          </w:p>
        </w:tc>
        <w:tc>
          <w:tcPr>
            <w:tcW w:w="1171" w:type="pct"/>
            <w:vAlign w:val="center"/>
          </w:tcPr>
          <w:p w14:paraId="243859BF">
            <w:pPr>
              <w:widowControl/>
              <w:tabs>
                <w:tab w:val="clear" w:pos="0"/>
              </w:tabs>
              <w:spacing w:line="240" w:lineRule="auto"/>
              <w:ind w:firstLine="0" w:firstLineChars="0"/>
              <w:jc w:val="center"/>
              <w:rPr>
                <w:rFonts w:hAnsi="Times New Roman" w:eastAsia="宋体" w:cs="Times New Roman"/>
                <w:b/>
                <w:sz w:val="21"/>
              </w:rPr>
            </w:pPr>
            <w:r>
              <w:rPr>
                <w:rFonts w:hAnsi="Times New Roman" w:eastAsia="宋体" w:cs="Times New Roman"/>
                <w:b/>
                <w:sz w:val="21"/>
              </w:rPr>
              <w:t>控制时段</w:t>
            </w:r>
          </w:p>
        </w:tc>
        <w:tc>
          <w:tcPr>
            <w:tcW w:w="1250" w:type="pct"/>
            <w:vAlign w:val="center"/>
          </w:tcPr>
          <w:p w14:paraId="6B477093">
            <w:pPr>
              <w:widowControl/>
              <w:tabs>
                <w:tab w:val="clear" w:pos="0"/>
              </w:tabs>
              <w:spacing w:line="240" w:lineRule="auto"/>
              <w:ind w:firstLine="0" w:firstLineChars="0"/>
              <w:jc w:val="center"/>
              <w:rPr>
                <w:rFonts w:hAnsi="Times New Roman" w:eastAsia="宋体" w:cs="Times New Roman"/>
                <w:b/>
                <w:sz w:val="21"/>
              </w:rPr>
            </w:pPr>
            <w:r>
              <w:rPr>
                <w:rFonts w:hAnsi="Times New Roman" w:eastAsia="宋体" w:cs="Times New Roman"/>
                <w:b/>
                <w:sz w:val="21"/>
              </w:rPr>
              <w:t>标准限值</w:t>
            </w:r>
          </w:p>
        </w:tc>
        <w:tc>
          <w:tcPr>
            <w:tcW w:w="1141" w:type="pct"/>
            <w:vAlign w:val="center"/>
          </w:tcPr>
          <w:p w14:paraId="3322D258">
            <w:pPr>
              <w:widowControl/>
              <w:tabs>
                <w:tab w:val="clear" w:pos="0"/>
              </w:tabs>
              <w:spacing w:line="240" w:lineRule="auto"/>
              <w:ind w:firstLine="0" w:firstLineChars="0"/>
              <w:jc w:val="center"/>
              <w:rPr>
                <w:rFonts w:hAnsi="Times New Roman" w:eastAsia="宋体" w:cs="Times New Roman"/>
                <w:b/>
                <w:sz w:val="21"/>
              </w:rPr>
            </w:pPr>
            <w:r>
              <w:rPr>
                <w:rFonts w:hAnsi="Times New Roman" w:eastAsia="宋体" w:cs="Times New Roman"/>
                <w:b/>
                <w:sz w:val="21"/>
              </w:rPr>
              <w:t>单位</w:t>
            </w:r>
          </w:p>
        </w:tc>
      </w:tr>
      <w:tr w14:paraId="4612947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438" w:type="pct"/>
            <w:vMerge w:val="restart"/>
            <w:vAlign w:val="center"/>
          </w:tcPr>
          <w:p w14:paraId="382B7B07">
            <w:pPr>
              <w:widowControl/>
              <w:tabs>
                <w:tab w:val="clear" w:pos="0"/>
              </w:tabs>
              <w:spacing w:line="240" w:lineRule="auto"/>
              <w:ind w:firstLine="0" w:firstLineChars="0"/>
              <w:jc w:val="center"/>
              <w:rPr>
                <w:rFonts w:hAnsi="Times New Roman" w:eastAsia="宋体" w:cs="Times New Roman"/>
                <w:sz w:val="21"/>
              </w:rPr>
            </w:pPr>
            <w:r>
              <w:rPr>
                <w:rFonts w:hint="eastAsia" w:hAnsi="Times New Roman" w:eastAsia="宋体" w:cs="Times New Roman"/>
                <w:sz w:val="21"/>
              </w:rPr>
              <w:t>1</w:t>
            </w:r>
            <w:r>
              <w:rPr>
                <w:rFonts w:hAnsi="Times New Roman" w:eastAsia="宋体" w:cs="Times New Roman"/>
                <w:sz w:val="21"/>
              </w:rPr>
              <w:t>类</w:t>
            </w:r>
          </w:p>
        </w:tc>
        <w:tc>
          <w:tcPr>
            <w:tcW w:w="1171" w:type="pct"/>
            <w:vAlign w:val="center"/>
          </w:tcPr>
          <w:p w14:paraId="6F02FBC2">
            <w:pPr>
              <w:widowControl/>
              <w:tabs>
                <w:tab w:val="clear" w:pos="0"/>
              </w:tabs>
              <w:spacing w:line="240" w:lineRule="auto"/>
              <w:ind w:firstLine="0" w:firstLineChars="0"/>
              <w:jc w:val="center"/>
              <w:rPr>
                <w:rFonts w:hAnsi="Times New Roman" w:eastAsia="宋体" w:cs="Times New Roman"/>
                <w:sz w:val="21"/>
              </w:rPr>
            </w:pPr>
            <w:r>
              <w:rPr>
                <w:rFonts w:hAnsi="Times New Roman" w:eastAsia="宋体" w:cs="Times New Roman"/>
                <w:sz w:val="21"/>
              </w:rPr>
              <w:t>昼间</w:t>
            </w:r>
          </w:p>
        </w:tc>
        <w:tc>
          <w:tcPr>
            <w:tcW w:w="1250" w:type="pct"/>
            <w:vAlign w:val="center"/>
          </w:tcPr>
          <w:p w14:paraId="1C676CAE">
            <w:pPr>
              <w:widowControl/>
              <w:tabs>
                <w:tab w:val="clear" w:pos="0"/>
              </w:tabs>
              <w:spacing w:line="240" w:lineRule="auto"/>
              <w:ind w:firstLine="0" w:firstLineChars="0"/>
              <w:jc w:val="center"/>
              <w:rPr>
                <w:rFonts w:hAnsi="Times New Roman" w:eastAsia="宋体" w:cs="Times New Roman"/>
                <w:sz w:val="21"/>
              </w:rPr>
            </w:pPr>
            <w:r>
              <w:rPr>
                <w:rFonts w:hint="eastAsia" w:hAnsi="Times New Roman" w:eastAsia="宋体" w:cs="Times New Roman"/>
                <w:sz w:val="21"/>
              </w:rPr>
              <w:t>55</w:t>
            </w:r>
          </w:p>
        </w:tc>
        <w:tc>
          <w:tcPr>
            <w:tcW w:w="1141" w:type="pct"/>
            <w:vAlign w:val="center"/>
          </w:tcPr>
          <w:p w14:paraId="52935597">
            <w:pPr>
              <w:widowControl/>
              <w:tabs>
                <w:tab w:val="clear" w:pos="0"/>
              </w:tabs>
              <w:spacing w:line="240" w:lineRule="auto"/>
              <w:ind w:firstLine="0" w:firstLineChars="0"/>
              <w:jc w:val="center"/>
              <w:rPr>
                <w:rFonts w:hAnsi="Times New Roman" w:eastAsia="宋体" w:cs="Times New Roman"/>
                <w:sz w:val="21"/>
              </w:rPr>
            </w:pPr>
            <w:r>
              <w:rPr>
                <w:rFonts w:hAnsi="Times New Roman" w:eastAsia="宋体" w:cs="Times New Roman"/>
                <w:sz w:val="21"/>
              </w:rPr>
              <w:t>dB(A)</w:t>
            </w:r>
          </w:p>
        </w:tc>
      </w:tr>
      <w:tr w14:paraId="1BF5C69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438" w:type="pct"/>
            <w:vMerge w:val="continue"/>
            <w:vAlign w:val="center"/>
          </w:tcPr>
          <w:p w14:paraId="6FB4A263">
            <w:pPr>
              <w:widowControl/>
              <w:tabs>
                <w:tab w:val="clear" w:pos="0"/>
              </w:tabs>
              <w:spacing w:line="240" w:lineRule="auto"/>
              <w:ind w:firstLine="0" w:firstLineChars="0"/>
              <w:jc w:val="center"/>
              <w:rPr>
                <w:rFonts w:hAnsi="Times New Roman" w:eastAsia="宋体" w:cs="Times New Roman"/>
                <w:sz w:val="21"/>
              </w:rPr>
            </w:pPr>
          </w:p>
        </w:tc>
        <w:tc>
          <w:tcPr>
            <w:tcW w:w="1171" w:type="pct"/>
            <w:vAlign w:val="center"/>
          </w:tcPr>
          <w:p w14:paraId="3E47CB21">
            <w:pPr>
              <w:widowControl/>
              <w:tabs>
                <w:tab w:val="clear" w:pos="0"/>
              </w:tabs>
              <w:spacing w:line="240" w:lineRule="auto"/>
              <w:ind w:firstLine="0" w:firstLineChars="0"/>
              <w:jc w:val="center"/>
              <w:rPr>
                <w:rFonts w:hAnsi="Times New Roman" w:eastAsia="宋体" w:cs="Times New Roman"/>
                <w:sz w:val="21"/>
              </w:rPr>
            </w:pPr>
            <w:r>
              <w:rPr>
                <w:rFonts w:hAnsi="Times New Roman" w:eastAsia="宋体" w:cs="Times New Roman"/>
                <w:sz w:val="21"/>
              </w:rPr>
              <w:t>夜间</w:t>
            </w:r>
          </w:p>
        </w:tc>
        <w:tc>
          <w:tcPr>
            <w:tcW w:w="1250" w:type="pct"/>
            <w:vAlign w:val="center"/>
          </w:tcPr>
          <w:p w14:paraId="5DEC0665">
            <w:pPr>
              <w:widowControl/>
              <w:tabs>
                <w:tab w:val="clear" w:pos="0"/>
              </w:tabs>
              <w:spacing w:line="240" w:lineRule="auto"/>
              <w:ind w:firstLine="0" w:firstLineChars="0"/>
              <w:jc w:val="center"/>
              <w:rPr>
                <w:rFonts w:hAnsi="Times New Roman" w:eastAsia="宋体" w:cs="Times New Roman"/>
                <w:sz w:val="21"/>
              </w:rPr>
            </w:pPr>
            <w:r>
              <w:rPr>
                <w:rFonts w:hint="eastAsia" w:hAnsi="Times New Roman" w:eastAsia="宋体" w:cs="Times New Roman"/>
                <w:sz w:val="21"/>
              </w:rPr>
              <w:t>45</w:t>
            </w:r>
          </w:p>
        </w:tc>
        <w:tc>
          <w:tcPr>
            <w:tcW w:w="1141" w:type="pct"/>
            <w:vAlign w:val="center"/>
          </w:tcPr>
          <w:p w14:paraId="6B92D811">
            <w:pPr>
              <w:widowControl/>
              <w:tabs>
                <w:tab w:val="clear" w:pos="0"/>
              </w:tabs>
              <w:spacing w:line="240" w:lineRule="auto"/>
              <w:ind w:firstLine="0" w:firstLineChars="0"/>
              <w:jc w:val="center"/>
              <w:rPr>
                <w:rFonts w:hAnsi="Times New Roman" w:eastAsia="宋体" w:cs="Times New Roman"/>
                <w:sz w:val="21"/>
              </w:rPr>
            </w:pPr>
            <w:r>
              <w:rPr>
                <w:rFonts w:hAnsi="Times New Roman" w:eastAsia="宋体" w:cs="Times New Roman"/>
                <w:sz w:val="21"/>
              </w:rPr>
              <w:t>dB(A)</w:t>
            </w:r>
          </w:p>
        </w:tc>
      </w:tr>
    </w:tbl>
    <w:p w14:paraId="600F443A">
      <w:pPr>
        <w:pStyle w:val="5"/>
        <w:spacing w:before="120" w:after="120"/>
      </w:pPr>
      <w:r>
        <w:t>土壤环境质量标准</w:t>
      </w:r>
    </w:p>
    <w:p w14:paraId="6E69226D">
      <w:pPr>
        <w:ind w:firstLine="480"/>
        <w:rPr>
          <w:rFonts w:hAnsi="Times New Roman" w:cs="Times New Roman"/>
        </w:rPr>
      </w:pPr>
      <w:r>
        <w:rPr>
          <w:rFonts w:hAnsi="Times New Roman" w:cs="Times New Roman"/>
        </w:rPr>
        <w:t>本项目</w:t>
      </w:r>
      <w:r>
        <w:rPr>
          <w:rFonts w:hint="eastAsia" w:hAnsi="Times New Roman" w:cs="Times New Roman"/>
        </w:rPr>
        <w:t>占地</w:t>
      </w:r>
      <w:r>
        <w:rPr>
          <w:rFonts w:hAnsi="Times New Roman" w:cs="Times New Roman"/>
        </w:rPr>
        <w:t>属于工矿用地，占地范围内土壤环境执行《土壤环境质量 建设用地土壤污染风险管控标准（试行）》（GB36600-2018）筛选值中的第二类用地标准限值。其标准值见表2.</w:t>
      </w:r>
      <w:r>
        <w:rPr>
          <w:rFonts w:hint="eastAsia" w:hAnsi="Times New Roman" w:cs="Times New Roman"/>
        </w:rPr>
        <w:t>4-4</w:t>
      </w:r>
      <w:r>
        <w:rPr>
          <w:rFonts w:hAnsi="Times New Roman" w:cs="Times New Roman"/>
        </w:rPr>
        <w:t>。</w:t>
      </w:r>
    </w:p>
    <w:p w14:paraId="73840B6E">
      <w:pPr>
        <w:pStyle w:val="178"/>
      </w:pPr>
      <w:r>
        <w:t>表2.</w:t>
      </w:r>
      <w:r>
        <w:rPr>
          <w:rFonts w:hint="eastAsia"/>
        </w:rPr>
        <w:t>4-4</w:t>
      </w:r>
      <w:r>
        <w:t xml:space="preserve">  土壤环境质量建设用地土壤污染风险管控标准</w:t>
      </w:r>
    </w:p>
    <w:p w14:paraId="14A5AD36">
      <w:pPr>
        <w:topLinePunct/>
        <w:spacing w:line="134" w:lineRule="auto"/>
        <w:ind w:firstLine="40"/>
        <w:rPr>
          <w:rFonts w:hAnsi="Times New Roman" w:cs="Times New Roman"/>
          <w:sz w:val="2"/>
        </w:rPr>
      </w:pPr>
    </w:p>
    <w:tbl>
      <w:tblPr>
        <w:tblStyle w:val="36"/>
        <w:tblW w:w="8505" w:type="dxa"/>
        <w:jc w:val="center"/>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Layout w:type="autofit"/>
        <w:tblCellMar>
          <w:top w:w="0" w:type="dxa"/>
          <w:left w:w="108" w:type="dxa"/>
          <w:bottom w:w="0" w:type="dxa"/>
          <w:right w:w="108" w:type="dxa"/>
        </w:tblCellMar>
      </w:tblPr>
      <w:tblGrid>
        <w:gridCol w:w="665"/>
        <w:gridCol w:w="4099"/>
        <w:gridCol w:w="1039"/>
        <w:gridCol w:w="1650"/>
        <w:gridCol w:w="1052"/>
      </w:tblGrid>
      <w:tr w14:paraId="15FA8606">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21" w:hRule="atLeast"/>
          <w:tblHeader/>
          <w:jc w:val="center"/>
        </w:trPr>
        <w:tc>
          <w:tcPr>
            <w:tcW w:w="391" w:type="pct"/>
            <w:vMerge w:val="restart"/>
            <w:vAlign w:val="center"/>
          </w:tcPr>
          <w:p w14:paraId="7A584EA8">
            <w:pPr>
              <w:pStyle w:val="179"/>
              <w:rPr>
                <w:rFonts w:cs="Times New Roman"/>
                <w:b/>
              </w:rPr>
            </w:pPr>
            <w:r>
              <w:rPr>
                <w:rFonts w:cs="Times New Roman"/>
                <w:b/>
              </w:rPr>
              <w:t>序号</w:t>
            </w:r>
          </w:p>
        </w:tc>
        <w:tc>
          <w:tcPr>
            <w:tcW w:w="2410" w:type="pct"/>
            <w:vMerge w:val="restart"/>
            <w:vAlign w:val="center"/>
          </w:tcPr>
          <w:p w14:paraId="45D19EF5">
            <w:pPr>
              <w:pStyle w:val="179"/>
              <w:rPr>
                <w:rFonts w:cs="Times New Roman"/>
                <w:b/>
              </w:rPr>
            </w:pPr>
            <w:r>
              <w:rPr>
                <w:rFonts w:cs="Times New Roman"/>
                <w:b/>
              </w:rPr>
              <w:t>污染因子</w:t>
            </w:r>
          </w:p>
        </w:tc>
        <w:tc>
          <w:tcPr>
            <w:tcW w:w="2199" w:type="pct"/>
            <w:gridSpan w:val="3"/>
            <w:vAlign w:val="center"/>
          </w:tcPr>
          <w:p w14:paraId="7655FAD2">
            <w:pPr>
              <w:pStyle w:val="179"/>
              <w:rPr>
                <w:rFonts w:cs="Times New Roman"/>
                <w:b/>
              </w:rPr>
            </w:pPr>
            <w:r>
              <w:rPr>
                <w:rFonts w:cs="Times New Roman"/>
                <w:b/>
              </w:rPr>
              <w:t>标准值</w:t>
            </w:r>
          </w:p>
        </w:tc>
      </w:tr>
      <w:tr w14:paraId="79F9E119">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17" w:hRule="atLeast"/>
          <w:tblHeader/>
          <w:jc w:val="center"/>
        </w:trPr>
        <w:tc>
          <w:tcPr>
            <w:tcW w:w="391" w:type="pct"/>
            <w:vMerge w:val="continue"/>
            <w:vAlign w:val="center"/>
          </w:tcPr>
          <w:p w14:paraId="3D523563">
            <w:pPr>
              <w:pStyle w:val="179"/>
              <w:rPr>
                <w:rFonts w:cs="Times New Roman"/>
                <w:b/>
              </w:rPr>
            </w:pPr>
          </w:p>
        </w:tc>
        <w:tc>
          <w:tcPr>
            <w:tcW w:w="2410" w:type="pct"/>
            <w:vMerge w:val="continue"/>
            <w:vAlign w:val="center"/>
          </w:tcPr>
          <w:p w14:paraId="03E119B0">
            <w:pPr>
              <w:pStyle w:val="179"/>
              <w:rPr>
                <w:rFonts w:cs="Times New Roman"/>
                <w:b/>
              </w:rPr>
            </w:pPr>
          </w:p>
        </w:tc>
        <w:tc>
          <w:tcPr>
            <w:tcW w:w="1581" w:type="pct"/>
            <w:gridSpan w:val="2"/>
            <w:vAlign w:val="center"/>
          </w:tcPr>
          <w:p w14:paraId="3BA03950">
            <w:pPr>
              <w:pStyle w:val="179"/>
              <w:rPr>
                <w:rFonts w:cs="Times New Roman"/>
                <w:b/>
              </w:rPr>
            </w:pPr>
            <w:r>
              <w:rPr>
                <w:rFonts w:cs="Times New Roman"/>
                <w:b/>
              </w:rPr>
              <w:t>单位</w:t>
            </w:r>
          </w:p>
        </w:tc>
        <w:tc>
          <w:tcPr>
            <w:tcW w:w="618" w:type="pct"/>
            <w:vAlign w:val="center"/>
          </w:tcPr>
          <w:p w14:paraId="2CE5795D">
            <w:pPr>
              <w:pStyle w:val="179"/>
              <w:rPr>
                <w:rFonts w:cs="Times New Roman"/>
                <w:b/>
              </w:rPr>
            </w:pPr>
            <w:r>
              <w:rPr>
                <w:rFonts w:cs="Times New Roman"/>
                <w:b/>
              </w:rPr>
              <w:t>数值</w:t>
            </w:r>
          </w:p>
        </w:tc>
      </w:tr>
      <w:tr w14:paraId="0FCD2ABA">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17" w:hRule="atLeast"/>
          <w:jc w:val="center"/>
        </w:trPr>
        <w:tc>
          <w:tcPr>
            <w:tcW w:w="391" w:type="pct"/>
            <w:vAlign w:val="center"/>
          </w:tcPr>
          <w:p w14:paraId="1D51986B">
            <w:pPr>
              <w:pStyle w:val="179"/>
              <w:rPr>
                <w:rFonts w:cs="Times New Roman"/>
              </w:rPr>
            </w:pPr>
            <w:r>
              <w:rPr>
                <w:rFonts w:cs="Times New Roman"/>
              </w:rPr>
              <w:t>1</w:t>
            </w:r>
          </w:p>
        </w:tc>
        <w:tc>
          <w:tcPr>
            <w:tcW w:w="2410" w:type="pct"/>
            <w:vAlign w:val="center"/>
          </w:tcPr>
          <w:p w14:paraId="395C6C03">
            <w:pPr>
              <w:pStyle w:val="179"/>
              <w:rPr>
                <w:rFonts w:cs="Times New Roman"/>
              </w:rPr>
            </w:pPr>
            <w:r>
              <w:rPr>
                <w:rFonts w:cs="Times New Roman"/>
              </w:rPr>
              <w:t>砷</w:t>
            </w:r>
          </w:p>
        </w:tc>
        <w:tc>
          <w:tcPr>
            <w:tcW w:w="611" w:type="pct"/>
            <w:vMerge w:val="restart"/>
            <w:vAlign w:val="center"/>
          </w:tcPr>
          <w:p w14:paraId="3F19F29C">
            <w:pPr>
              <w:pStyle w:val="179"/>
              <w:rPr>
                <w:rFonts w:cs="Times New Roman"/>
              </w:rPr>
            </w:pPr>
            <w:r>
              <w:rPr>
                <w:rFonts w:cs="Times New Roman"/>
              </w:rPr>
              <w:t>筛选值</w:t>
            </w:r>
          </w:p>
        </w:tc>
        <w:tc>
          <w:tcPr>
            <w:tcW w:w="969" w:type="pct"/>
            <w:vAlign w:val="center"/>
          </w:tcPr>
          <w:p w14:paraId="0EA74587">
            <w:pPr>
              <w:pStyle w:val="179"/>
              <w:rPr>
                <w:rFonts w:cs="Times New Roman"/>
              </w:rPr>
            </w:pPr>
            <w:r>
              <w:rPr>
                <w:rFonts w:cs="Times New Roman"/>
              </w:rPr>
              <w:t>mg/kg</w:t>
            </w:r>
          </w:p>
        </w:tc>
        <w:tc>
          <w:tcPr>
            <w:tcW w:w="618" w:type="pct"/>
            <w:vAlign w:val="center"/>
          </w:tcPr>
          <w:p w14:paraId="0762E626">
            <w:pPr>
              <w:pStyle w:val="179"/>
              <w:rPr>
                <w:rFonts w:cs="Times New Roman"/>
              </w:rPr>
            </w:pPr>
            <w:r>
              <w:rPr>
                <w:rFonts w:cs="Times New Roman"/>
              </w:rPr>
              <w:t>60</w:t>
            </w:r>
          </w:p>
        </w:tc>
      </w:tr>
      <w:tr w14:paraId="46EA0CD4">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16" w:hRule="atLeast"/>
          <w:jc w:val="center"/>
        </w:trPr>
        <w:tc>
          <w:tcPr>
            <w:tcW w:w="391" w:type="pct"/>
            <w:vAlign w:val="center"/>
          </w:tcPr>
          <w:p w14:paraId="0976D80E">
            <w:pPr>
              <w:pStyle w:val="179"/>
              <w:rPr>
                <w:rFonts w:cs="Times New Roman"/>
              </w:rPr>
            </w:pPr>
            <w:r>
              <w:rPr>
                <w:rFonts w:cs="Times New Roman"/>
              </w:rPr>
              <w:t>2</w:t>
            </w:r>
          </w:p>
        </w:tc>
        <w:tc>
          <w:tcPr>
            <w:tcW w:w="2410" w:type="pct"/>
            <w:vAlign w:val="center"/>
          </w:tcPr>
          <w:p w14:paraId="61CFAEA0">
            <w:pPr>
              <w:pStyle w:val="179"/>
              <w:rPr>
                <w:rFonts w:cs="Times New Roman"/>
              </w:rPr>
            </w:pPr>
            <w:r>
              <w:rPr>
                <w:rFonts w:cs="Times New Roman"/>
              </w:rPr>
              <w:t>镉</w:t>
            </w:r>
          </w:p>
        </w:tc>
        <w:tc>
          <w:tcPr>
            <w:tcW w:w="611" w:type="pct"/>
            <w:vMerge w:val="continue"/>
            <w:vAlign w:val="center"/>
          </w:tcPr>
          <w:p w14:paraId="52597CE1">
            <w:pPr>
              <w:pStyle w:val="179"/>
              <w:rPr>
                <w:rFonts w:cs="Times New Roman"/>
              </w:rPr>
            </w:pPr>
          </w:p>
        </w:tc>
        <w:tc>
          <w:tcPr>
            <w:tcW w:w="969" w:type="pct"/>
            <w:vAlign w:val="center"/>
          </w:tcPr>
          <w:p w14:paraId="3743C481">
            <w:pPr>
              <w:pStyle w:val="179"/>
              <w:rPr>
                <w:rFonts w:cs="Times New Roman"/>
              </w:rPr>
            </w:pPr>
            <w:r>
              <w:rPr>
                <w:rFonts w:cs="Times New Roman"/>
              </w:rPr>
              <w:t>mg/kg</w:t>
            </w:r>
          </w:p>
        </w:tc>
        <w:tc>
          <w:tcPr>
            <w:tcW w:w="618" w:type="pct"/>
            <w:vAlign w:val="center"/>
          </w:tcPr>
          <w:p w14:paraId="6926660C">
            <w:pPr>
              <w:pStyle w:val="179"/>
              <w:rPr>
                <w:rFonts w:cs="Times New Roman"/>
              </w:rPr>
            </w:pPr>
            <w:r>
              <w:rPr>
                <w:rFonts w:cs="Times New Roman"/>
              </w:rPr>
              <w:t>65</w:t>
            </w:r>
          </w:p>
        </w:tc>
      </w:tr>
      <w:tr w14:paraId="1F37E7FD">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16" w:hRule="atLeast"/>
          <w:jc w:val="center"/>
        </w:trPr>
        <w:tc>
          <w:tcPr>
            <w:tcW w:w="391" w:type="pct"/>
            <w:vAlign w:val="center"/>
          </w:tcPr>
          <w:p w14:paraId="073140E6">
            <w:pPr>
              <w:pStyle w:val="179"/>
              <w:rPr>
                <w:rFonts w:cs="Times New Roman"/>
              </w:rPr>
            </w:pPr>
            <w:r>
              <w:rPr>
                <w:rFonts w:cs="Times New Roman"/>
              </w:rPr>
              <w:t>3</w:t>
            </w:r>
          </w:p>
        </w:tc>
        <w:tc>
          <w:tcPr>
            <w:tcW w:w="2410" w:type="pct"/>
            <w:vAlign w:val="center"/>
          </w:tcPr>
          <w:p w14:paraId="6ED089C9">
            <w:pPr>
              <w:pStyle w:val="179"/>
              <w:rPr>
                <w:rFonts w:cs="Times New Roman"/>
              </w:rPr>
            </w:pPr>
            <w:r>
              <w:rPr>
                <w:rFonts w:cs="Times New Roman"/>
              </w:rPr>
              <w:t>铬（六价）</w:t>
            </w:r>
          </w:p>
        </w:tc>
        <w:tc>
          <w:tcPr>
            <w:tcW w:w="611" w:type="pct"/>
            <w:vMerge w:val="continue"/>
            <w:vAlign w:val="center"/>
          </w:tcPr>
          <w:p w14:paraId="3603B7A1">
            <w:pPr>
              <w:pStyle w:val="179"/>
              <w:rPr>
                <w:rFonts w:cs="Times New Roman"/>
              </w:rPr>
            </w:pPr>
          </w:p>
        </w:tc>
        <w:tc>
          <w:tcPr>
            <w:tcW w:w="969" w:type="pct"/>
            <w:vAlign w:val="center"/>
          </w:tcPr>
          <w:p w14:paraId="4237683B">
            <w:pPr>
              <w:pStyle w:val="179"/>
              <w:rPr>
                <w:rFonts w:cs="Times New Roman"/>
              </w:rPr>
            </w:pPr>
            <w:r>
              <w:rPr>
                <w:rFonts w:cs="Times New Roman"/>
              </w:rPr>
              <w:t>mg/kg</w:t>
            </w:r>
          </w:p>
        </w:tc>
        <w:tc>
          <w:tcPr>
            <w:tcW w:w="618" w:type="pct"/>
            <w:vAlign w:val="center"/>
          </w:tcPr>
          <w:p w14:paraId="77550C1E">
            <w:pPr>
              <w:pStyle w:val="179"/>
              <w:rPr>
                <w:rFonts w:cs="Times New Roman"/>
              </w:rPr>
            </w:pPr>
            <w:r>
              <w:rPr>
                <w:rFonts w:cs="Times New Roman"/>
              </w:rPr>
              <w:t>5.7</w:t>
            </w:r>
          </w:p>
        </w:tc>
      </w:tr>
      <w:tr w14:paraId="11198BE0">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16" w:hRule="atLeast"/>
          <w:jc w:val="center"/>
        </w:trPr>
        <w:tc>
          <w:tcPr>
            <w:tcW w:w="391" w:type="pct"/>
            <w:vAlign w:val="center"/>
          </w:tcPr>
          <w:p w14:paraId="666B155A">
            <w:pPr>
              <w:pStyle w:val="179"/>
              <w:rPr>
                <w:rFonts w:cs="Times New Roman"/>
              </w:rPr>
            </w:pPr>
            <w:r>
              <w:rPr>
                <w:rFonts w:cs="Times New Roman"/>
              </w:rPr>
              <w:t>4</w:t>
            </w:r>
          </w:p>
        </w:tc>
        <w:tc>
          <w:tcPr>
            <w:tcW w:w="2410" w:type="pct"/>
            <w:vAlign w:val="center"/>
          </w:tcPr>
          <w:p w14:paraId="458BF932">
            <w:pPr>
              <w:pStyle w:val="179"/>
              <w:rPr>
                <w:rFonts w:cs="Times New Roman"/>
              </w:rPr>
            </w:pPr>
            <w:r>
              <w:rPr>
                <w:rFonts w:cs="Times New Roman"/>
              </w:rPr>
              <w:t>铜</w:t>
            </w:r>
          </w:p>
        </w:tc>
        <w:tc>
          <w:tcPr>
            <w:tcW w:w="611" w:type="pct"/>
            <w:vMerge w:val="continue"/>
            <w:vAlign w:val="center"/>
          </w:tcPr>
          <w:p w14:paraId="6E5C95D6">
            <w:pPr>
              <w:pStyle w:val="179"/>
              <w:rPr>
                <w:rFonts w:cs="Times New Roman"/>
              </w:rPr>
            </w:pPr>
          </w:p>
        </w:tc>
        <w:tc>
          <w:tcPr>
            <w:tcW w:w="969" w:type="pct"/>
            <w:vAlign w:val="center"/>
          </w:tcPr>
          <w:p w14:paraId="4D63620D">
            <w:pPr>
              <w:pStyle w:val="179"/>
              <w:rPr>
                <w:rFonts w:cs="Times New Roman"/>
              </w:rPr>
            </w:pPr>
            <w:r>
              <w:rPr>
                <w:rFonts w:cs="Times New Roman"/>
              </w:rPr>
              <w:t>mg/kg</w:t>
            </w:r>
          </w:p>
        </w:tc>
        <w:tc>
          <w:tcPr>
            <w:tcW w:w="618" w:type="pct"/>
            <w:vAlign w:val="center"/>
          </w:tcPr>
          <w:p w14:paraId="155F975A">
            <w:pPr>
              <w:pStyle w:val="179"/>
              <w:rPr>
                <w:rFonts w:cs="Times New Roman"/>
              </w:rPr>
            </w:pPr>
            <w:r>
              <w:rPr>
                <w:rFonts w:cs="Times New Roman"/>
              </w:rPr>
              <w:t>18000</w:t>
            </w:r>
          </w:p>
        </w:tc>
      </w:tr>
      <w:tr w14:paraId="2BE8D66A">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17" w:hRule="atLeast"/>
          <w:jc w:val="center"/>
        </w:trPr>
        <w:tc>
          <w:tcPr>
            <w:tcW w:w="391" w:type="pct"/>
            <w:vAlign w:val="center"/>
          </w:tcPr>
          <w:p w14:paraId="3C445680">
            <w:pPr>
              <w:pStyle w:val="179"/>
              <w:rPr>
                <w:rFonts w:cs="Times New Roman"/>
              </w:rPr>
            </w:pPr>
            <w:r>
              <w:rPr>
                <w:rFonts w:cs="Times New Roman"/>
              </w:rPr>
              <w:t>5</w:t>
            </w:r>
          </w:p>
        </w:tc>
        <w:tc>
          <w:tcPr>
            <w:tcW w:w="2410" w:type="pct"/>
            <w:vAlign w:val="center"/>
          </w:tcPr>
          <w:p w14:paraId="73352B6C">
            <w:pPr>
              <w:pStyle w:val="179"/>
              <w:rPr>
                <w:rFonts w:cs="Times New Roman"/>
              </w:rPr>
            </w:pPr>
            <w:r>
              <w:rPr>
                <w:rFonts w:cs="Times New Roman"/>
              </w:rPr>
              <w:t>铅</w:t>
            </w:r>
          </w:p>
        </w:tc>
        <w:tc>
          <w:tcPr>
            <w:tcW w:w="611" w:type="pct"/>
            <w:vMerge w:val="continue"/>
            <w:vAlign w:val="center"/>
          </w:tcPr>
          <w:p w14:paraId="0C761CF6">
            <w:pPr>
              <w:pStyle w:val="179"/>
              <w:rPr>
                <w:rFonts w:cs="Times New Roman"/>
              </w:rPr>
            </w:pPr>
          </w:p>
        </w:tc>
        <w:tc>
          <w:tcPr>
            <w:tcW w:w="969" w:type="pct"/>
            <w:vAlign w:val="center"/>
          </w:tcPr>
          <w:p w14:paraId="0901B2B1">
            <w:pPr>
              <w:pStyle w:val="179"/>
              <w:rPr>
                <w:rFonts w:cs="Times New Roman"/>
              </w:rPr>
            </w:pPr>
            <w:r>
              <w:rPr>
                <w:rFonts w:cs="Times New Roman"/>
              </w:rPr>
              <w:t>mg/kg</w:t>
            </w:r>
          </w:p>
        </w:tc>
        <w:tc>
          <w:tcPr>
            <w:tcW w:w="618" w:type="pct"/>
            <w:vAlign w:val="center"/>
          </w:tcPr>
          <w:p w14:paraId="0FDB87F3">
            <w:pPr>
              <w:pStyle w:val="179"/>
              <w:rPr>
                <w:rFonts w:cs="Times New Roman"/>
              </w:rPr>
            </w:pPr>
            <w:r>
              <w:rPr>
                <w:rFonts w:cs="Times New Roman"/>
              </w:rPr>
              <w:t>800</w:t>
            </w:r>
          </w:p>
        </w:tc>
      </w:tr>
      <w:tr w14:paraId="62CEF53E">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17" w:hRule="atLeast"/>
          <w:jc w:val="center"/>
        </w:trPr>
        <w:tc>
          <w:tcPr>
            <w:tcW w:w="391" w:type="pct"/>
            <w:vAlign w:val="center"/>
          </w:tcPr>
          <w:p w14:paraId="39460B13">
            <w:pPr>
              <w:pStyle w:val="179"/>
              <w:rPr>
                <w:rFonts w:cs="Times New Roman"/>
              </w:rPr>
            </w:pPr>
            <w:r>
              <w:rPr>
                <w:rFonts w:cs="Times New Roman"/>
              </w:rPr>
              <w:t>6</w:t>
            </w:r>
          </w:p>
        </w:tc>
        <w:tc>
          <w:tcPr>
            <w:tcW w:w="2410" w:type="pct"/>
            <w:vAlign w:val="center"/>
          </w:tcPr>
          <w:p w14:paraId="080F13F3">
            <w:pPr>
              <w:pStyle w:val="179"/>
              <w:rPr>
                <w:rFonts w:cs="Times New Roman"/>
              </w:rPr>
            </w:pPr>
            <w:r>
              <w:rPr>
                <w:rFonts w:cs="Times New Roman"/>
              </w:rPr>
              <w:t>汞</w:t>
            </w:r>
          </w:p>
        </w:tc>
        <w:tc>
          <w:tcPr>
            <w:tcW w:w="611" w:type="pct"/>
            <w:vMerge w:val="continue"/>
            <w:vAlign w:val="center"/>
          </w:tcPr>
          <w:p w14:paraId="7B54428E">
            <w:pPr>
              <w:pStyle w:val="179"/>
              <w:rPr>
                <w:rFonts w:cs="Times New Roman"/>
              </w:rPr>
            </w:pPr>
          </w:p>
        </w:tc>
        <w:tc>
          <w:tcPr>
            <w:tcW w:w="969" w:type="pct"/>
            <w:vAlign w:val="center"/>
          </w:tcPr>
          <w:p w14:paraId="532C787C">
            <w:pPr>
              <w:pStyle w:val="179"/>
              <w:rPr>
                <w:rFonts w:cs="Times New Roman"/>
              </w:rPr>
            </w:pPr>
            <w:r>
              <w:rPr>
                <w:rFonts w:cs="Times New Roman"/>
              </w:rPr>
              <w:t>mg/kg</w:t>
            </w:r>
          </w:p>
        </w:tc>
        <w:tc>
          <w:tcPr>
            <w:tcW w:w="618" w:type="pct"/>
            <w:vAlign w:val="center"/>
          </w:tcPr>
          <w:p w14:paraId="47D3F5A1">
            <w:pPr>
              <w:pStyle w:val="179"/>
              <w:rPr>
                <w:rFonts w:cs="Times New Roman"/>
              </w:rPr>
            </w:pPr>
            <w:r>
              <w:rPr>
                <w:rFonts w:cs="Times New Roman"/>
              </w:rPr>
              <w:t>38</w:t>
            </w:r>
          </w:p>
        </w:tc>
      </w:tr>
      <w:tr w14:paraId="39FD7226">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17" w:hRule="atLeast"/>
          <w:jc w:val="center"/>
        </w:trPr>
        <w:tc>
          <w:tcPr>
            <w:tcW w:w="391" w:type="pct"/>
            <w:vAlign w:val="center"/>
          </w:tcPr>
          <w:p w14:paraId="2E4AD52E">
            <w:pPr>
              <w:pStyle w:val="179"/>
              <w:rPr>
                <w:rFonts w:cs="Times New Roman"/>
              </w:rPr>
            </w:pPr>
            <w:r>
              <w:rPr>
                <w:rFonts w:cs="Times New Roman"/>
              </w:rPr>
              <w:t>7</w:t>
            </w:r>
          </w:p>
        </w:tc>
        <w:tc>
          <w:tcPr>
            <w:tcW w:w="2410" w:type="pct"/>
            <w:vAlign w:val="center"/>
          </w:tcPr>
          <w:p w14:paraId="6673C3FF">
            <w:pPr>
              <w:pStyle w:val="179"/>
              <w:rPr>
                <w:rFonts w:cs="Times New Roman"/>
              </w:rPr>
            </w:pPr>
            <w:r>
              <w:rPr>
                <w:rFonts w:cs="Times New Roman"/>
              </w:rPr>
              <w:t>镍</w:t>
            </w:r>
          </w:p>
        </w:tc>
        <w:tc>
          <w:tcPr>
            <w:tcW w:w="611" w:type="pct"/>
            <w:vMerge w:val="continue"/>
            <w:vAlign w:val="center"/>
          </w:tcPr>
          <w:p w14:paraId="69F8A8B0">
            <w:pPr>
              <w:pStyle w:val="179"/>
              <w:rPr>
                <w:rFonts w:cs="Times New Roman"/>
              </w:rPr>
            </w:pPr>
          </w:p>
        </w:tc>
        <w:tc>
          <w:tcPr>
            <w:tcW w:w="969" w:type="pct"/>
            <w:vAlign w:val="center"/>
          </w:tcPr>
          <w:p w14:paraId="44F1E6F4">
            <w:pPr>
              <w:pStyle w:val="179"/>
              <w:rPr>
                <w:rFonts w:cs="Times New Roman"/>
              </w:rPr>
            </w:pPr>
            <w:r>
              <w:rPr>
                <w:rFonts w:cs="Times New Roman"/>
              </w:rPr>
              <w:t>mg/kg</w:t>
            </w:r>
          </w:p>
        </w:tc>
        <w:tc>
          <w:tcPr>
            <w:tcW w:w="618" w:type="pct"/>
            <w:vAlign w:val="center"/>
          </w:tcPr>
          <w:p w14:paraId="19206756">
            <w:pPr>
              <w:pStyle w:val="179"/>
              <w:rPr>
                <w:rFonts w:cs="Times New Roman"/>
              </w:rPr>
            </w:pPr>
            <w:r>
              <w:rPr>
                <w:rFonts w:cs="Times New Roman"/>
              </w:rPr>
              <w:t>900</w:t>
            </w:r>
          </w:p>
        </w:tc>
      </w:tr>
      <w:tr w14:paraId="2DB4AF51">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17" w:hRule="atLeast"/>
          <w:jc w:val="center"/>
        </w:trPr>
        <w:tc>
          <w:tcPr>
            <w:tcW w:w="391" w:type="pct"/>
            <w:vAlign w:val="center"/>
          </w:tcPr>
          <w:p w14:paraId="18B9C5BB">
            <w:pPr>
              <w:pStyle w:val="179"/>
              <w:rPr>
                <w:rFonts w:cs="Times New Roman"/>
              </w:rPr>
            </w:pPr>
            <w:r>
              <w:rPr>
                <w:rFonts w:cs="Times New Roman"/>
              </w:rPr>
              <w:t>8</w:t>
            </w:r>
          </w:p>
        </w:tc>
        <w:tc>
          <w:tcPr>
            <w:tcW w:w="2410" w:type="pct"/>
            <w:vAlign w:val="center"/>
          </w:tcPr>
          <w:p w14:paraId="111B1C30">
            <w:pPr>
              <w:pStyle w:val="179"/>
              <w:rPr>
                <w:rFonts w:cs="Times New Roman"/>
              </w:rPr>
            </w:pPr>
            <w:r>
              <w:rPr>
                <w:rFonts w:cs="Times New Roman"/>
              </w:rPr>
              <w:t>四氯化碳</w:t>
            </w:r>
          </w:p>
        </w:tc>
        <w:tc>
          <w:tcPr>
            <w:tcW w:w="611" w:type="pct"/>
            <w:vMerge w:val="continue"/>
            <w:vAlign w:val="center"/>
          </w:tcPr>
          <w:p w14:paraId="19E6C884">
            <w:pPr>
              <w:pStyle w:val="179"/>
              <w:rPr>
                <w:rFonts w:cs="Times New Roman"/>
              </w:rPr>
            </w:pPr>
          </w:p>
        </w:tc>
        <w:tc>
          <w:tcPr>
            <w:tcW w:w="969" w:type="pct"/>
            <w:vAlign w:val="center"/>
          </w:tcPr>
          <w:p w14:paraId="3B4AD4C8">
            <w:pPr>
              <w:pStyle w:val="179"/>
              <w:rPr>
                <w:rFonts w:cs="Times New Roman"/>
              </w:rPr>
            </w:pPr>
            <w:r>
              <w:rPr>
                <w:rFonts w:cs="Times New Roman"/>
              </w:rPr>
              <w:t>mg/kg</w:t>
            </w:r>
          </w:p>
        </w:tc>
        <w:tc>
          <w:tcPr>
            <w:tcW w:w="618" w:type="pct"/>
            <w:vAlign w:val="center"/>
          </w:tcPr>
          <w:p w14:paraId="47E8059E">
            <w:pPr>
              <w:pStyle w:val="179"/>
              <w:rPr>
                <w:rFonts w:cs="Times New Roman"/>
              </w:rPr>
            </w:pPr>
            <w:r>
              <w:rPr>
                <w:rFonts w:cs="Times New Roman"/>
              </w:rPr>
              <w:t>2.8</w:t>
            </w:r>
          </w:p>
        </w:tc>
      </w:tr>
      <w:tr w14:paraId="3315E3A9">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17" w:hRule="atLeast"/>
          <w:jc w:val="center"/>
        </w:trPr>
        <w:tc>
          <w:tcPr>
            <w:tcW w:w="391" w:type="pct"/>
            <w:vAlign w:val="center"/>
          </w:tcPr>
          <w:p w14:paraId="6192B1F6">
            <w:pPr>
              <w:pStyle w:val="179"/>
              <w:rPr>
                <w:rFonts w:cs="Times New Roman"/>
              </w:rPr>
            </w:pPr>
            <w:r>
              <w:rPr>
                <w:rFonts w:cs="Times New Roman"/>
              </w:rPr>
              <w:t>9</w:t>
            </w:r>
          </w:p>
        </w:tc>
        <w:tc>
          <w:tcPr>
            <w:tcW w:w="2410" w:type="pct"/>
            <w:vAlign w:val="center"/>
          </w:tcPr>
          <w:p w14:paraId="3B0D2156">
            <w:pPr>
              <w:pStyle w:val="179"/>
              <w:rPr>
                <w:rFonts w:cs="Times New Roman"/>
              </w:rPr>
            </w:pPr>
            <w:r>
              <w:rPr>
                <w:rFonts w:cs="Times New Roman"/>
              </w:rPr>
              <w:t>氯仿</w:t>
            </w:r>
          </w:p>
        </w:tc>
        <w:tc>
          <w:tcPr>
            <w:tcW w:w="611" w:type="pct"/>
            <w:vMerge w:val="continue"/>
            <w:vAlign w:val="center"/>
          </w:tcPr>
          <w:p w14:paraId="2664FD19">
            <w:pPr>
              <w:pStyle w:val="179"/>
              <w:rPr>
                <w:rFonts w:cs="Times New Roman"/>
              </w:rPr>
            </w:pPr>
          </w:p>
        </w:tc>
        <w:tc>
          <w:tcPr>
            <w:tcW w:w="969" w:type="pct"/>
            <w:vAlign w:val="center"/>
          </w:tcPr>
          <w:p w14:paraId="49C98319">
            <w:pPr>
              <w:pStyle w:val="179"/>
              <w:rPr>
                <w:rFonts w:cs="Times New Roman"/>
              </w:rPr>
            </w:pPr>
            <w:r>
              <w:rPr>
                <w:rFonts w:cs="Times New Roman"/>
              </w:rPr>
              <w:t>mg/kg</w:t>
            </w:r>
          </w:p>
        </w:tc>
        <w:tc>
          <w:tcPr>
            <w:tcW w:w="618" w:type="pct"/>
            <w:vAlign w:val="center"/>
          </w:tcPr>
          <w:p w14:paraId="7F8EDA0A">
            <w:pPr>
              <w:pStyle w:val="179"/>
              <w:rPr>
                <w:rFonts w:cs="Times New Roman"/>
              </w:rPr>
            </w:pPr>
            <w:r>
              <w:rPr>
                <w:rFonts w:cs="Times New Roman"/>
              </w:rPr>
              <w:t>0.9</w:t>
            </w:r>
          </w:p>
        </w:tc>
      </w:tr>
      <w:tr w14:paraId="69FCC807">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17" w:hRule="atLeast"/>
          <w:jc w:val="center"/>
        </w:trPr>
        <w:tc>
          <w:tcPr>
            <w:tcW w:w="391" w:type="pct"/>
            <w:vAlign w:val="center"/>
          </w:tcPr>
          <w:p w14:paraId="545AEAF3">
            <w:pPr>
              <w:pStyle w:val="179"/>
              <w:rPr>
                <w:rFonts w:cs="Times New Roman"/>
              </w:rPr>
            </w:pPr>
            <w:r>
              <w:rPr>
                <w:rFonts w:cs="Times New Roman"/>
              </w:rPr>
              <w:t>10</w:t>
            </w:r>
          </w:p>
        </w:tc>
        <w:tc>
          <w:tcPr>
            <w:tcW w:w="2410" w:type="pct"/>
            <w:vAlign w:val="center"/>
          </w:tcPr>
          <w:p w14:paraId="7D27A9B8">
            <w:pPr>
              <w:pStyle w:val="179"/>
              <w:rPr>
                <w:rFonts w:cs="Times New Roman"/>
              </w:rPr>
            </w:pPr>
            <w:r>
              <w:rPr>
                <w:rFonts w:cs="Times New Roman"/>
              </w:rPr>
              <w:t>氯甲烷</w:t>
            </w:r>
          </w:p>
        </w:tc>
        <w:tc>
          <w:tcPr>
            <w:tcW w:w="611" w:type="pct"/>
            <w:vMerge w:val="continue"/>
            <w:vAlign w:val="center"/>
          </w:tcPr>
          <w:p w14:paraId="3AC216CB">
            <w:pPr>
              <w:pStyle w:val="179"/>
              <w:rPr>
                <w:rFonts w:cs="Times New Roman"/>
              </w:rPr>
            </w:pPr>
          </w:p>
        </w:tc>
        <w:tc>
          <w:tcPr>
            <w:tcW w:w="969" w:type="pct"/>
            <w:vAlign w:val="center"/>
          </w:tcPr>
          <w:p w14:paraId="15561D3F">
            <w:pPr>
              <w:pStyle w:val="179"/>
              <w:rPr>
                <w:rFonts w:cs="Times New Roman"/>
              </w:rPr>
            </w:pPr>
            <w:r>
              <w:rPr>
                <w:rFonts w:cs="Times New Roman"/>
              </w:rPr>
              <w:t>mg/kg</w:t>
            </w:r>
          </w:p>
        </w:tc>
        <w:tc>
          <w:tcPr>
            <w:tcW w:w="618" w:type="pct"/>
            <w:vAlign w:val="center"/>
          </w:tcPr>
          <w:p w14:paraId="4982AD07">
            <w:pPr>
              <w:pStyle w:val="179"/>
              <w:rPr>
                <w:rFonts w:cs="Times New Roman"/>
              </w:rPr>
            </w:pPr>
            <w:r>
              <w:rPr>
                <w:rFonts w:cs="Times New Roman"/>
              </w:rPr>
              <w:t>37</w:t>
            </w:r>
          </w:p>
        </w:tc>
      </w:tr>
      <w:tr w14:paraId="78423707">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17" w:hRule="atLeast"/>
          <w:jc w:val="center"/>
        </w:trPr>
        <w:tc>
          <w:tcPr>
            <w:tcW w:w="391" w:type="pct"/>
            <w:vAlign w:val="center"/>
          </w:tcPr>
          <w:p w14:paraId="55BFB852">
            <w:pPr>
              <w:pStyle w:val="179"/>
              <w:rPr>
                <w:rFonts w:cs="Times New Roman"/>
              </w:rPr>
            </w:pPr>
            <w:r>
              <w:rPr>
                <w:rFonts w:cs="Times New Roman"/>
              </w:rPr>
              <w:t>11</w:t>
            </w:r>
          </w:p>
        </w:tc>
        <w:tc>
          <w:tcPr>
            <w:tcW w:w="2410" w:type="pct"/>
            <w:vAlign w:val="center"/>
          </w:tcPr>
          <w:p w14:paraId="3DC267CC">
            <w:pPr>
              <w:pStyle w:val="179"/>
              <w:rPr>
                <w:rFonts w:cs="Times New Roman"/>
              </w:rPr>
            </w:pPr>
            <w:r>
              <w:rPr>
                <w:rFonts w:cs="Times New Roman"/>
              </w:rPr>
              <w:t>1,1-二氯乙烷</w:t>
            </w:r>
          </w:p>
        </w:tc>
        <w:tc>
          <w:tcPr>
            <w:tcW w:w="611" w:type="pct"/>
            <w:vMerge w:val="continue"/>
            <w:vAlign w:val="center"/>
          </w:tcPr>
          <w:p w14:paraId="146FC76F">
            <w:pPr>
              <w:pStyle w:val="179"/>
              <w:rPr>
                <w:rFonts w:cs="Times New Roman"/>
              </w:rPr>
            </w:pPr>
          </w:p>
        </w:tc>
        <w:tc>
          <w:tcPr>
            <w:tcW w:w="969" w:type="pct"/>
            <w:vAlign w:val="center"/>
          </w:tcPr>
          <w:p w14:paraId="043AF918">
            <w:pPr>
              <w:pStyle w:val="179"/>
              <w:rPr>
                <w:rFonts w:cs="Times New Roman"/>
              </w:rPr>
            </w:pPr>
            <w:r>
              <w:rPr>
                <w:rFonts w:cs="Times New Roman"/>
              </w:rPr>
              <w:t>mg/kg</w:t>
            </w:r>
          </w:p>
        </w:tc>
        <w:tc>
          <w:tcPr>
            <w:tcW w:w="618" w:type="pct"/>
            <w:vAlign w:val="center"/>
          </w:tcPr>
          <w:p w14:paraId="1061D002">
            <w:pPr>
              <w:pStyle w:val="179"/>
              <w:rPr>
                <w:rFonts w:cs="Times New Roman"/>
              </w:rPr>
            </w:pPr>
            <w:r>
              <w:rPr>
                <w:rFonts w:cs="Times New Roman"/>
              </w:rPr>
              <w:t>9</w:t>
            </w:r>
          </w:p>
        </w:tc>
      </w:tr>
      <w:tr w14:paraId="5A8FE495">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17" w:hRule="atLeast"/>
          <w:jc w:val="center"/>
        </w:trPr>
        <w:tc>
          <w:tcPr>
            <w:tcW w:w="391" w:type="pct"/>
            <w:vAlign w:val="center"/>
          </w:tcPr>
          <w:p w14:paraId="5CC742CD">
            <w:pPr>
              <w:pStyle w:val="179"/>
              <w:rPr>
                <w:rFonts w:cs="Times New Roman"/>
              </w:rPr>
            </w:pPr>
            <w:r>
              <w:rPr>
                <w:rFonts w:cs="Times New Roman"/>
              </w:rPr>
              <w:t>12</w:t>
            </w:r>
          </w:p>
        </w:tc>
        <w:tc>
          <w:tcPr>
            <w:tcW w:w="2410" w:type="pct"/>
            <w:vAlign w:val="center"/>
          </w:tcPr>
          <w:p w14:paraId="5565B439">
            <w:pPr>
              <w:pStyle w:val="179"/>
              <w:rPr>
                <w:rFonts w:cs="Times New Roman"/>
              </w:rPr>
            </w:pPr>
            <w:r>
              <w:rPr>
                <w:rFonts w:cs="Times New Roman"/>
              </w:rPr>
              <w:t>1,2-二氯乙烷</w:t>
            </w:r>
          </w:p>
        </w:tc>
        <w:tc>
          <w:tcPr>
            <w:tcW w:w="611" w:type="pct"/>
            <w:vMerge w:val="continue"/>
            <w:vAlign w:val="center"/>
          </w:tcPr>
          <w:p w14:paraId="73620EB0">
            <w:pPr>
              <w:pStyle w:val="179"/>
              <w:rPr>
                <w:rFonts w:cs="Times New Roman"/>
              </w:rPr>
            </w:pPr>
          </w:p>
        </w:tc>
        <w:tc>
          <w:tcPr>
            <w:tcW w:w="969" w:type="pct"/>
            <w:vAlign w:val="center"/>
          </w:tcPr>
          <w:p w14:paraId="01572A40">
            <w:pPr>
              <w:pStyle w:val="179"/>
              <w:rPr>
                <w:rFonts w:cs="Times New Roman"/>
              </w:rPr>
            </w:pPr>
            <w:r>
              <w:rPr>
                <w:rFonts w:cs="Times New Roman"/>
              </w:rPr>
              <w:t>mg/kg</w:t>
            </w:r>
          </w:p>
        </w:tc>
        <w:tc>
          <w:tcPr>
            <w:tcW w:w="618" w:type="pct"/>
            <w:vAlign w:val="center"/>
          </w:tcPr>
          <w:p w14:paraId="457E5DE9">
            <w:pPr>
              <w:pStyle w:val="179"/>
              <w:rPr>
                <w:rFonts w:cs="Times New Roman"/>
              </w:rPr>
            </w:pPr>
            <w:r>
              <w:rPr>
                <w:rFonts w:cs="Times New Roman"/>
              </w:rPr>
              <w:t>5</w:t>
            </w:r>
          </w:p>
        </w:tc>
      </w:tr>
      <w:tr w14:paraId="721EF03F">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17" w:hRule="atLeast"/>
          <w:jc w:val="center"/>
        </w:trPr>
        <w:tc>
          <w:tcPr>
            <w:tcW w:w="391" w:type="pct"/>
            <w:vAlign w:val="center"/>
          </w:tcPr>
          <w:p w14:paraId="54FF8E12">
            <w:pPr>
              <w:pStyle w:val="179"/>
              <w:rPr>
                <w:rFonts w:cs="Times New Roman"/>
              </w:rPr>
            </w:pPr>
            <w:r>
              <w:rPr>
                <w:rFonts w:cs="Times New Roman"/>
              </w:rPr>
              <w:t>13</w:t>
            </w:r>
          </w:p>
        </w:tc>
        <w:tc>
          <w:tcPr>
            <w:tcW w:w="2410" w:type="pct"/>
            <w:vAlign w:val="center"/>
          </w:tcPr>
          <w:p w14:paraId="2D56C858">
            <w:pPr>
              <w:pStyle w:val="179"/>
              <w:rPr>
                <w:rFonts w:cs="Times New Roman"/>
              </w:rPr>
            </w:pPr>
            <w:r>
              <w:rPr>
                <w:rFonts w:cs="Times New Roman"/>
              </w:rPr>
              <w:t>1,1-二氯乙烯</w:t>
            </w:r>
          </w:p>
        </w:tc>
        <w:tc>
          <w:tcPr>
            <w:tcW w:w="611" w:type="pct"/>
            <w:vMerge w:val="continue"/>
            <w:vAlign w:val="center"/>
          </w:tcPr>
          <w:p w14:paraId="46EFD7E6">
            <w:pPr>
              <w:pStyle w:val="179"/>
              <w:rPr>
                <w:rFonts w:cs="Times New Roman"/>
              </w:rPr>
            </w:pPr>
          </w:p>
        </w:tc>
        <w:tc>
          <w:tcPr>
            <w:tcW w:w="969" w:type="pct"/>
            <w:vAlign w:val="center"/>
          </w:tcPr>
          <w:p w14:paraId="1E62054B">
            <w:pPr>
              <w:pStyle w:val="179"/>
              <w:rPr>
                <w:rFonts w:cs="Times New Roman"/>
              </w:rPr>
            </w:pPr>
            <w:r>
              <w:rPr>
                <w:rFonts w:cs="Times New Roman"/>
              </w:rPr>
              <w:t>mg/kg</w:t>
            </w:r>
          </w:p>
        </w:tc>
        <w:tc>
          <w:tcPr>
            <w:tcW w:w="618" w:type="pct"/>
            <w:vAlign w:val="center"/>
          </w:tcPr>
          <w:p w14:paraId="12F4AD77">
            <w:pPr>
              <w:pStyle w:val="179"/>
              <w:rPr>
                <w:rFonts w:cs="Times New Roman"/>
              </w:rPr>
            </w:pPr>
            <w:r>
              <w:rPr>
                <w:rFonts w:cs="Times New Roman"/>
              </w:rPr>
              <w:t>66</w:t>
            </w:r>
          </w:p>
        </w:tc>
      </w:tr>
      <w:tr w14:paraId="090BC7F7">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17" w:hRule="atLeast"/>
          <w:jc w:val="center"/>
        </w:trPr>
        <w:tc>
          <w:tcPr>
            <w:tcW w:w="391" w:type="pct"/>
            <w:vAlign w:val="center"/>
          </w:tcPr>
          <w:p w14:paraId="48BD6974">
            <w:pPr>
              <w:pStyle w:val="179"/>
              <w:rPr>
                <w:rFonts w:cs="Times New Roman"/>
              </w:rPr>
            </w:pPr>
            <w:r>
              <w:rPr>
                <w:rFonts w:cs="Times New Roman"/>
              </w:rPr>
              <w:t>14</w:t>
            </w:r>
          </w:p>
        </w:tc>
        <w:tc>
          <w:tcPr>
            <w:tcW w:w="2410" w:type="pct"/>
            <w:vAlign w:val="center"/>
          </w:tcPr>
          <w:p w14:paraId="46F287C0">
            <w:pPr>
              <w:pStyle w:val="179"/>
              <w:rPr>
                <w:rFonts w:cs="Times New Roman"/>
              </w:rPr>
            </w:pPr>
            <w:r>
              <w:rPr>
                <w:rFonts w:cs="Times New Roman"/>
              </w:rPr>
              <w:t>顺-1,2-二氯乙烯</w:t>
            </w:r>
          </w:p>
        </w:tc>
        <w:tc>
          <w:tcPr>
            <w:tcW w:w="611" w:type="pct"/>
            <w:vMerge w:val="continue"/>
            <w:vAlign w:val="center"/>
          </w:tcPr>
          <w:p w14:paraId="40879FDB">
            <w:pPr>
              <w:pStyle w:val="179"/>
              <w:rPr>
                <w:rFonts w:cs="Times New Roman"/>
              </w:rPr>
            </w:pPr>
          </w:p>
        </w:tc>
        <w:tc>
          <w:tcPr>
            <w:tcW w:w="969" w:type="pct"/>
            <w:vAlign w:val="center"/>
          </w:tcPr>
          <w:p w14:paraId="5AF3EC74">
            <w:pPr>
              <w:pStyle w:val="179"/>
              <w:rPr>
                <w:rFonts w:cs="Times New Roman"/>
              </w:rPr>
            </w:pPr>
            <w:r>
              <w:rPr>
                <w:rFonts w:cs="Times New Roman"/>
              </w:rPr>
              <w:t>mg/kg</w:t>
            </w:r>
          </w:p>
        </w:tc>
        <w:tc>
          <w:tcPr>
            <w:tcW w:w="618" w:type="pct"/>
            <w:vAlign w:val="center"/>
          </w:tcPr>
          <w:p w14:paraId="0AA6D24A">
            <w:pPr>
              <w:pStyle w:val="179"/>
              <w:rPr>
                <w:rFonts w:cs="Times New Roman"/>
              </w:rPr>
            </w:pPr>
            <w:r>
              <w:rPr>
                <w:rFonts w:cs="Times New Roman"/>
              </w:rPr>
              <w:t>596</w:t>
            </w:r>
          </w:p>
        </w:tc>
      </w:tr>
      <w:tr w14:paraId="608E8406">
        <w:tblPrEx>
          <w:tblCellMar>
            <w:top w:w="0" w:type="dxa"/>
            <w:left w:w="108" w:type="dxa"/>
            <w:bottom w:w="0" w:type="dxa"/>
            <w:right w:w="108" w:type="dxa"/>
          </w:tblCellMar>
        </w:tblPrEx>
        <w:trPr>
          <w:trHeight w:val="317" w:hRule="atLeast"/>
          <w:jc w:val="center"/>
        </w:trPr>
        <w:tc>
          <w:tcPr>
            <w:tcW w:w="391" w:type="pct"/>
            <w:vAlign w:val="center"/>
          </w:tcPr>
          <w:p w14:paraId="29F69167">
            <w:pPr>
              <w:pStyle w:val="179"/>
              <w:rPr>
                <w:rFonts w:cs="Times New Roman"/>
              </w:rPr>
            </w:pPr>
            <w:r>
              <w:rPr>
                <w:rFonts w:cs="Times New Roman"/>
              </w:rPr>
              <w:t>15</w:t>
            </w:r>
          </w:p>
        </w:tc>
        <w:tc>
          <w:tcPr>
            <w:tcW w:w="2410" w:type="pct"/>
            <w:vAlign w:val="center"/>
          </w:tcPr>
          <w:p w14:paraId="54BBFE6D">
            <w:pPr>
              <w:pStyle w:val="179"/>
              <w:rPr>
                <w:rFonts w:cs="Times New Roman"/>
              </w:rPr>
            </w:pPr>
            <w:r>
              <w:rPr>
                <w:rFonts w:cs="Times New Roman"/>
              </w:rPr>
              <w:t>反-1,2-二氯乙烯</w:t>
            </w:r>
          </w:p>
        </w:tc>
        <w:tc>
          <w:tcPr>
            <w:tcW w:w="611" w:type="pct"/>
            <w:vMerge w:val="continue"/>
            <w:vAlign w:val="center"/>
          </w:tcPr>
          <w:p w14:paraId="2E0703C2">
            <w:pPr>
              <w:pStyle w:val="179"/>
              <w:rPr>
                <w:rFonts w:cs="Times New Roman"/>
              </w:rPr>
            </w:pPr>
          </w:p>
        </w:tc>
        <w:tc>
          <w:tcPr>
            <w:tcW w:w="969" w:type="pct"/>
            <w:vAlign w:val="center"/>
          </w:tcPr>
          <w:p w14:paraId="0B2AC61B">
            <w:pPr>
              <w:pStyle w:val="179"/>
              <w:rPr>
                <w:rFonts w:cs="Times New Roman"/>
              </w:rPr>
            </w:pPr>
            <w:r>
              <w:rPr>
                <w:rFonts w:cs="Times New Roman"/>
              </w:rPr>
              <w:t>mg/kg</w:t>
            </w:r>
          </w:p>
        </w:tc>
        <w:tc>
          <w:tcPr>
            <w:tcW w:w="618" w:type="pct"/>
            <w:vAlign w:val="center"/>
          </w:tcPr>
          <w:p w14:paraId="788EF56C">
            <w:pPr>
              <w:pStyle w:val="179"/>
              <w:rPr>
                <w:rFonts w:cs="Times New Roman"/>
              </w:rPr>
            </w:pPr>
            <w:r>
              <w:rPr>
                <w:rFonts w:cs="Times New Roman"/>
              </w:rPr>
              <w:t>54</w:t>
            </w:r>
          </w:p>
        </w:tc>
      </w:tr>
      <w:tr w14:paraId="5CF67F54">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17" w:hRule="atLeast"/>
          <w:jc w:val="center"/>
        </w:trPr>
        <w:tc>
          <w:tcPr>
            <w:tcW w:w="391" w:type="pct"/>
            <w:vAlign w:val="center"/>
          </w:tcPr>
          <w:p w14:paraId="3156F4BD">
            <w:pPr>
              <w:pStyle w:val="179"/>
              <w:rPr>
                <w:rFonts w:cs="Times New Roman"/>
              </w:rPr>
            </w:pPr>
            <w:r>
              <w:rPr>
                <w:rFonts w:cs="Times New Roman"/>
              </w:rPr>
              <w:t>16</w:t>
            </w:r>
          </w:p>
        </w:tc>
        <w:tc>
          <w:tcPr>
            <w:tcW w:w="2410" w:type="pct"/>
            <w:vAlign w:val="center"/>
          </w:tcPr>
          <w:p w14:paraId="557F64DE">
            <w:pPr>
              <w:pStyle w:val="179"/>
              <w:rPr>
                <w:rFonts w:cs="Times New Roman"/>
              </w:rPr>
            </w:pPr>
            <w:r>
              <w:rPr>
                <w:rFonts w:cs="Times New Roman"/>
              </w:rPr>
              <w:t>二氯甲烷</w:t>
            </w:r>
          </w:p>
        </w:tc>
        <w:tc>
          <w:tcPr>
            <w:tcW w:w="611" w:type="pct"/>
            <w:vMerge w:val="continue"/>
            <w:vAlign w:val="center"/>
          </w:tcPr>
          <w:p w14:paraId="533F9D94">
            <w:pPr>
              <w:pStyle w:val="179"/>
              <w:rPr>
                <w:rFonts w:cs="Times New Roman"/>
              </w:rPr>
            </w:pPr>
          </w:p>
        </w:tc>
        <w:tc>
          <w:tcPr>
            <w:tcW w:w="969" w:type="pct"/>
            <w:vAlign w:val="center"/>
          </w:tcPr>
          <w:p w14:paraId="6F31D71D">
            <w:pPr>
              <w:pStyle w:val="179"/>
              <w:rPr>
                <w:rFonts w:cs="Times New Roman"/>
              </w:rPr>
            </w:pPr>
            <w:r>
              <w:rPr>
                <w:rFonts w:cs="Times New Roman"/>
              </w:rPr>
              <w:t>mg/kg</w:t>
            </w:r>
          </w:p>
        </w:tc>
        <w:tc>
          <w:tcPr>
            <w:tcW w:w="618" w:type="pct"/>
            <w:vAlign w:val="center"/>
          </w:tcPr>
          <w:p w14:paraId="75964E8E">
            <w:pPr>
              <w:pStyle w:val="179"/>
              <w:rPr>
                <w:rFonts w:cs="Times New Roman"/>
              </w:rPr>
            </w:pPr>
            <w:r>
              <w:rPr>
                <w:rFonts w:cs="Times New Roman"/>
              </w:rPr>
              <w:t>616</w:t>
            </w:r>
          </w:p>
        </w:tc>
      </w:tr>
      <w:tr w14:paraId="3D48417F">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17" w:hRule="atLeast"/>
          <w:jc w:val="center"/>
        </w:trPr>
        <w:tc>
          <w:tcPr>
            <w:tcW w:w="391" w:type="pct"/>
            <w:vAlign w:val="center"/>
          </w:tcPr>
          <w:p w14:paraId="747B4D95">
            <w:pPr>
              <w:pStyle w:val="179"/>
              <w:rPr>
                <w:rFonts w:cs="Times New Roman"/>
              </w:rPr>
            </w:pPr>
            <w:r>
              <w:rPr>
                <w:rFonts w:cs="Times New Roman"/>
              </w:rPr>
              <w:t>17</w:t>
            </w:r>
          </w:p>
        </w:tc>
        <w:tc>
          <w:tcPr>
            <w:tcW w:w="2410" w:type="pct"/>
            <w:vAlign w:val="center"/>
          </w:tcPr>
          <w:p w14:paraId="27FE7114">
            <w:pPr>
              <w:pStyle w:val="179"/>
              <w:rPr>
                <w:rFonts w:cs="Times New Roman"/>
              </w:rPr>
            </w:pPr>
            <w:r>
              <w:rPr>
                <w:rFonts w:cs="Times New Roman"/>
              </w:rPr>
              <w:t>1,2-二氯丙烷</w:t>
            </w:r>
          </w:p>
        </w:tc>
        <w:tc>
          <w:tcPr>
            <w:tcW w:w="611" w:type="pct"/>
            <w:vMerge w:val="continue"/>
            <w:vAlign w:val="center"/>
          </w:tcPr>
          <w:p w14:paraId="4F2BAA6C">
            <w:pPr>
              <w:pStyle w:val="179"/>
              <w:rPr>
                <w:rFonts w:cs="Times New Roman"/>
              </w:rPr>
            </w:pPr>
          </w:p>
        </w:tc>
        <w:tc>
          <w:tcPr>
            <w:tcW w:w="969" w:type="pct"/>
            <w:vAlign w:val="center"/>
          </w:tcPr>
          <w:p w14:paraId="623784F6">
            <w:pPr>
              <w:pStyle w:val="179"/>
              <w:rPr>
                <w:rFonts w:cs="Times New Roman"/>
              </w:rPr>
            </w:pPr>
            <w:r>
              <w:rPr>
                <w:rFonts w:cs="Times New Roman"/>
              </w:rPr>
              <w:t>mg/kg</w:t>
            </w:r>
          </w:p>
        </w:tc>
        <w:tc>
          <w:tcPr>
            <w:tcW w:w="618" w:type="pct"/>
            <w:vAlign w:val="center"/>
          </w:tcPr>
          <w:p w14:paraId="043645E5">
            <w:pPr>
              <w:pStyle w:val="179"/>
              <w:rPr>
                <w:rFonts w:cs="Times New Roman"/>
              </w:rPr>
            </w:pPr>
            <w:r>
              <w:rPr>
                <w:rFonts w:cs="Times New Roman"/>
              </w:rPr>
              <w:t>5</w:t>
            </w:r>
          </w:p>
        </w:tc>
      </w:tr>
      <w:tr w14:paraId="208CB485">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17" w:hRule="atLeast"/>
          <w:jc w:val="center"/>
        </w:trPr>
        <w:tc>
          <w:tcPr>
            <w:tcW w:w="391" w:type="pct"/>
            <w:vAlign w:val="center"/>
          </w:tcPr>
          <w:p w14:paraId="601811BE">
            <w:pPr>
              <w:pStyle w:val="179"/>
              <w:rPr>
                <w:rFonts w:cs="Times New Roman"/>
              </w:rPr>
            </w:pPr>
            <w:r>
              <w:rPr>
                <w:rFonts w:cs="Times New Roman"/>
              </w:rPr>
              <w:t>18</w:t>
            </w:r>
          </w:p>
        </w:tc>
        <w:tc>
          <w:tcPr>
            <w:tcW w:w="2410" w:type="pct"/>
            <w:vAlign w:val="center"/>
          </w:tcPr>
          <w:p w14:paraId="722B6AF2">
            <w:pPr>
              <w:pStyle w:val="179"/>
              <w:rPr>
                <w:rFonts w:cs="Times New Roman"/>
              </w:rPr>
            </w:pPr>
            <w:r>
              <w:rPr>
                <w:rFonts w:cs="Times New Roman"/>
              </w:rPr>
              <w:t>1,1,1,2-四氯乙烷</w:t>
            </w:r>
          </w:p>
        </w:tc>
        <w:tc>
          <w:tcPr>
            <w:tcW w:w="611" w:type="pct"/>
            <w:vMerge w:val="continue"/>
            <w:vAlign w:val="center"/>
          </w:tcPr>
          <w:p w14:paraId="15AE3567">
            <w:pPr>
              <w:pStyle w:val="179"/>
              <w:rPr>
                <w:rFonts w:cs="Times New Roman"/>
              </w:rPr>
            </w:pPr>
          </w:p>
        </w:tc>
        <w:tc>
          <w:tcPr>
            <w:tcW w:w="969" w:type="pct"/>
            <w:vAlign w:val="center"/>
          </w:tcPr>
          <w:p w14:paraId="2F513A6C">
            <w:pPr>
              <w:pStyle w:val="179"/>
              <w:rPr>
                <w:rFonts w:cs="Times New Roman"/>
              </w:rPr>
            </w:pPr>
            <w:r>
              <w:rPr>
                <w:rFonts w:cs="Times New Roman"/>
              </w:rPr>
              <w:t>mg/kg</w:t>
            </w:r>
          </w:p>
        </w:tc>
        <w:tc>
          <w:tcPr>
            <w:tcW w:w="618" w:type="pct"/>
            <w:vAlign w:val="center"/>
          </w:tcPr>
          <w:p w14:paraId="12142A2C">
            <w:pPr>
              <w:pStyle w:val="179"/>
              <w:rPr>
                <w:rFonts w:cs="Times New Roman"/>
              </w:rPr>
            </w:pPr>
            <w:r>
              <w:rPr>
                <w:rFonts w:cs="Times New Roman"/>
              </w:rPr>
              <w:t>10</w:t>
            </w:r>
          </w:p>
        </w:tc>
      </w:tr>
      <w:tr w14:paraId="21646F41">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17" w:hRule="atLeast"/>
          <w:jc w:val="center"/>
        </w:trPr>
        <w:tc>
          <w:tcPr>
            <w:tcW w:w="391" w:type="pct"/>
            <w:vAlign w:val="center"/>
          </w:tcPr>
          <w:p w14:paraId="694A8EE3">
            <w:pPr>
              <w:pStyle w:val="179"/>
              <w:rPr>
                <w:rFonts w:cs="Times New Roman"/>
              </w:rPr>
            </w:pPr>
            <w:r>
              <w:rPr>
                <w:rFonts w:cs="Times New Roman"/>
              </w:rPr>
              <w:t>19</w:t>
            </w:r>
          </w:p>
        </w:tc>
        <w:tc>
          <w:tcPr>
            <w:tcW w:w="2410" w:type="pct"/>
            <w:vAlign w:val="center"/>
          </w:tcPr>
          <w:p w14:paraId="36FB3810">
            <w:pPr>
              <w:pStyle w:val="179"/>
              <w:rPr>
                <w:rFonts w:cs="Times New Roman"/>
              </w:rPr>
            </w:pPr>
            <w:r>
              <w:rPr>
                <w:rFonts w:cs="Times New Roman"/>
              </w:rPr>
              <w:t>1,1,2,2,-四氯乙烷</w:t>
            </w:r>
          </w:p>
        </w:tc>
        <w:tc>
          <w:tcPr>
            <w:tcW w:w="611" w:type="pct"/>
            <w:vMerge w:val="continue"/>
            <w:vAlign w:val="center"/>
          </w:tcPr>
          <w:p w14:paraId="2C577750">
            <w:pPr>
              <w:pStyle w:val="179"/>
              <w:rPr>
                <w:rFonts w:cs="Times New Roman"/>
              </w:rPr>
            </w:pPr>
          </w:p>
        </w:tc>
        <w:tc>
          <w:tcPr>
            <w:tcW w:w="969" w:type="pct"/>
            <w:vAlign w:val="center"/>
          </w:tcPr>
          <w:p w14:paraId="6081E1BC">
            <w:pPr>
              <w:pStyle w:val="179"/>
              <w:rPr>
                <w:rFonts w:cs="Times New Roman"/>
              </w:rPr>
            </w:pPr>
            <w:r>
              <w:rPr>
                <w:rFonts w:cs="Times New Roman"/>
              </w:rPr>
              <w:t>mg/kg</w:t>
            </w:r>
          </w:p>
        </w:tc>
        <w:tc>
          <w:tcPr>
            <w:tcW w:w="618" w:type="pct"/>
            <w:vAlign w:val="center"/>
          </w:tcPr>
          <w:p w14:paraId="47C5DB8F">
            <w:pPr>
              <w:pStyle w:val="179"/>
              <w:rPr>
                <w:rFonts w:cs="Times New Roman"/>
              </w:rPr>
            </w:pPr>
            <w:r>
              <w:rPr>
                <w:rFonts w:cs="Times New Roman"/>
              </w:rPr>
              <w:t>6.8</w:t>
            </w:r>
          </w:p>
        </w:tc>
      </w:tr>
      <w:tr w14:paraId="784906E5">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17" w:hRule="atLeast"/>
          <w:jc w:val="center"/>
        </w:trPr>
        <w:tc>
          <w:tcPr>
            <w:tcW w:w="391" w:type="pct"/>
            <w:vAlign w:val="center"/>
          </w:tcPr>
          <w:p w14:paraId="0241162C">
            <w:pPr>
              <w:pStyle w:val="179"/>
              <w:rPr>
                <w:rFonts w:cs="Times New Roman"/>
              </w:rPr>
            </w:pPr>
            <w:r>
              <w:rPr>
                <w:rFonts w:cs="Times New Roman"/>
              </w:rPr>
              <w:t>20</w:t>
            </w:r>
          </w:p>
        </w:tc>
        <w:tc>
          <w:tcPr>
            <w:tcW w:w="2410" w:type="pct"/>
            <w:vAlign w:val="center"/>
          </w:tcPr>
          <w:p w14:paraId="4EF6EA8B">
            <w:pPr>
              <w:pStyle w:val="179"/>
              <w:rPr>
                <w:rFonts w:cs="Times New Roman"/>
              </w:rPr>
            </w:pPr>
            <w:r>
              <w:rPr>
                <w:rFonts w:cs="Times New Roman"/>
              </w:rPr>
              <w:t>四氯乙烯</w:t>
            </w:r>
          </w:p>
        </w:tc>
        <w:tc>
          <w:tcPr>
            <w:tcW w:w="611" w:type="pct"/>
            <w:vMerge w:val="continue"/>
            <w:vAlign w:val="center"/>
          </w:tcPr>
          <w:p w14:paraId="71B0CA62">
            <w:pPr>
              <w:pStyle w:val="179"/>
              <w:rPr>
                <w:rFonts w:cs="Times New Roman"/>
              </w:rPr>
            </w:pPr>
          </w:p>
        </w:tc>
        <w:tc>
          <w:tcPr>
            <w:tcW w:w="969" w:type="pct"/>
            <w:vAlign w:val="center"/>
          </w:tcPr>
          <w:p w14:paraId="5DD630D6">
            <w:pPr>
              <w:pStyle w:val="179"/>
              <w:rPr>
                <w:rFonts w:cs="Times New Roman"/>
              </w:rPr>
            </w:pPr>
            <w:r>
              <w:rPr>
                <w:rFonts w:cs="Times New Roman"/>
              </w:rPr>
              <w:t>mg/kg</w:t>
            </w:r>
          </w:p>
        </w:tc>
        <w:tc>
          <w:tcPr>
            <w:tcW w:w="618" w:type="pct"/>
            <w:vAlign w:val="center"/>
          </w:tcPr>
          <w:p w14:paraId="701CE63E">
            <w:pPr>
              <w:pStyle w:val="179"/>
              <w:rPr>
                <w:rFonts w:cs="Times New Roman"/>
              </w:rPr>
            </w:pPr>
            <w:r>
              <w:rPr>
                <w:rFonts w:cs="Times New Roman"/>
              </w:rPr>
              <w:t>53</w:t>
            </w:r>
          </w:p>
        </w:tc>
      </w:tr>
      <w:tr w14:paraId="2B723462">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17" w:hRule="atLeast"/>
          <w:jc w:val="center"/>
        </w:trPr>
        <w:tc>
          <w:tcPr>
            <w:tcW w:w="391" w:type="pct"/>
            <w:vAlign w:val="center"/>
          </w:tcPr>
          <w:p w14:paraId="67DBA961">
            <w:pPr>
              <w:pStyle w:val="179"/>
              <w:rPr>
                <w:rFonts w:cs="Times New Roman"/>
              </w:rPr>
            </w:pPr>
            <w:r>
              <w:rPr>
                <w:rFonts w:cs="Times New Roman"/>
              </w:rPr>
              <w:t>21</w:t>
            </w:r>
          </w:p>
        </w:tc>
        <w:tc>
          <w:tcPr>
            <w:tcW w:w="2410" w:type="pct"/>
            <w:vAlign w:val="center"/>
          </w:tcPr>
          <w:p w14:paraId="573A1D97">
            <w:pPr>
              <w:pStyle w:val="179"/>
              <w:rPr>
                <w:rFonts w:cs="Times New Roman"/>
              </w:rPr>
            </w:pPr>
            <w:r>
              <w:rPr>
                <w:rFonts w:cs="Times New Roman"/>
              </w:rPr>
              <w:t>1,1,1-三氯乙烷</w:t>
            </w:r>
          </w:p>
        </w:tc>
        <w:tc>
          <w:tcPr>
            <w:tcW w:w="611" w:type="pct"/>
            <w:vMerge w:val="continue"/>
            <w:vAlign w:val="center"/>
          </w:tcPr>
          <w:p w14:paraId="3E6583BD">
            <w:pPr>
              <w:pStyle w:val="179"/>
              <w:rPr>
                <w:rFonts w:cs="Times New Roman"/>
              </w:rPr>
            </w:pPr>
          </w:p>
        </w:tc>
        <w:tc>
          <w:tcPr>
            <w:tcW w:w="969" w:type="pct"/>
            <w:vAlign w:val="center"/>
          </w:tcPr>
          <w:p w14:paraId="2AEFC067">
            <w:pPr>
              <w:pStyle w:val="179"/>
              <w:rPr>
                <w:rFonts w:cs="Times New Roman"/>
              </w:rPr>
            </w:pPr>
            <w:r>
              <w:rPr>
                <w:rFonts w:cs="Times New Roman"/>
              </w:rPr>
              <w:t>mg/kg</w:t>
            </w:r>
          </w:p>
        </w:tc>
        <w:tc>
          <w:tcPr>
            <w:tcW w:w="618" w:type="pct"/>
            <w:vAlign w:val="center"/>
          </w:tcPr>
          <w:p w14:paraId="41C842FF">
            <w:pPr>
              <w:pStyle w:val="179"/>
              <w:rPr>
                <w:rFonts w:cs="Times New Roman"/>
              </w:rPr>
            </w:pPr>
            <w:r>
              <w:rPr>
                <w:rFonts w:cs="Times New Roman"/>
              </w:rPr>
              <w:t>840</w:t>
            </w:r>
          </w:p>
        </w:tc>
      </w:tr>
      <w:tr w14:paraId="6953D1C1">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17" w:hRule="atLeast"/>
          <w:jc w:val="center"/>
        </w:trPr>
        <w:tc>
          <w:tcPr>
            <w:tcW w:w="391" w:type="pct"/>
            <w:vAlign w:val="center"/>
          </w:tcPr>
          <w:p w14:paraId="3E32F33A">
            <w:pPr>
              <w:pStyle w:val="179"/>
              <w:rPr>
                <w:rFonts w:cs="Times New Roman"/>
              </w:rPr>
            </w:pPr>
            <w:r>
              <w:rPr>
                <w:rFonts w:cs="Times New Roman"/>
              </w:rPr>
              <w:t>22</w:t>
            </w:r>
          </w:p>
        </w:tc>
        <w:tc>
          <w:tcPr>
            <w:tcW w:w="2410" w:type="pct"/>
            <w:vAlign w:val="center"/>
          </w:tcPr>
          <w:p w14:paraId="1DF84E3A">
            <w:pPr>
              <w:pStyle w:val="179"/>
              <w:rPr>
                <w:rFonts w:cs="Times New Roman"/>
              </w:rPr>
            </w:pPr>
            <w:r>
              <w:rPr>
                <w:rFonts w:cs="Times New Roman"/>
              </w:rPr>
              <w:t>1,1,2-三氯乙烷</w:t>
            </w:r>
          </w:p>
        </w:tc>
        <w:tc>
          <w:tcPr>
            <w:tcW w:w="611" w:type="pct"/>
            <w:vMerge w:val="continue"/>
            <w:vAlign w:val="center"/>
          </w:tcPr>
          <w:p w14:paraId="376E484B">
            <w:pPr>
              <w:pStyle w:val="179"/>
              <w:rPr>
                <w:rFonts w:cs="Times New Roman"/>
              </w:rPr>
            </w:pPr>
          </w:p>
        </w:tc>
        <w:tc>
          <w:tcPr>
            <w:tcW w:w="969" w:type="pct"/>
            <w:vAlign w:val="center"/>
          </w:tcPr>
          <w:p w14:paraId="6E78A229">
            <w:pPr>
              <w:pStyle w:val="179"/>
              <w:rPr>
                <w:rFonts w:cs="Times New Roman"/>
              </w:rPr>
            </w:pPr>
            <w:r>
              <w:rPr>
                <w:rFonts w:cs="Times New Roman"/>
              </w:rPr>
              <w:t>mg/kg</w:t>
            </w:r>
          </w:p>
        </w:tc>
        <w:tc>
          <w:tcPr>
            <w:tcW w:w="618" w:type="pct"/>
            <w:vAlign w:val="center"/>
          </w:tcPr>
          <w:p w14:paraId="66EEC00C">
            <w:pPr>
              <w:pStyle w:val="179"/>
              <w:rPr>
                <w:rFonts w:cs="Times New Roman"/>
              </w:rPr>
            </w:pPr>
            <w:r>
              <w:rPr>
                <w:rFonts w:cs="Times New Roman"/>
              </w:rPr>
              <w:t>2.8</w:t>
            </w:r>
          </w:p>
        </w:tc>
      </w:tr>
      <w:tr w14:paraId="793770D0">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17" w:hRule="atLeast"/>
          <w:jc w:val="center"/>
        </w:trPr>
        <w:tc>
          <w:tcPr>
            <w:tcW w:w="391" w:type="pct"/>
            <w:vAlign w:val="center"/>
          </w:tcPr>
          <w:p w14:paraId="1FC13A96">
            <w:pPr>
              <w:pStyle w:val="179"/>
              <w:rPr>
                <w:rFonts w:cs="Times New Roman"/>
              </w:rPr>
            </w:pPr>
            <w:r>
              <w:rPr>
                <w:rFonts w:cs="Times New Roman"/>
              </w:rPr>
              <w:t>23</w:t>
            </w:r>
          </w:p>
        </w:tc>
        <w:tc>
          <w:tcPr>
            <w:tcW w:w="2410" w:type="pct"/>
            <w:vAlign w:val="center"/>
          </w:tcPr>
          <w:p w14:paraId="242AE0AF">
            <w:pPr>
              <w:pStyle w:val="179"/>
              <w:rPr>
                <w:rFonts w:cs="Times New Roman"/>
              </w:rPr>
            </w:pPr>
            <w:r>
              <w:rPr>
                <w:rFonts w:cs="Times New Roman"/>
              </w:rPr>
              <w:t>三氯乙烯</w:t>
            </w:r>
          </w:p>
        </w:tc>
        <w:tc>
          <w:tcPr>
            <w:tcW w:w="611" w:type="pct"/>
            <w:vMerge w:val="continue"/>
            <w:vAlign w:val="center"/>
          </w:tcPr>
          <w:p w14:paraId="509D0BD7">
            <w:pPr>
              <w:pStyle w:val="179"/>
              <w:rPr>
                <w:rFonts w:cs="Times New Roman"/>
              </w:rPr>
            </w:pPr>
          </w:p>
        </w:tc>
        <w:tc>
          <w:tcPr>
            <w:tcW w:w="969" w:type="pct"/>
            <w:vAlign w:val="center"/>
          </w:tcPr>
          <w:p w14:paraId="5F2D77CB">
            <w:pPr>
              <w:pStyle w:val="179"/>
              <w:rPr>
                <w:rFonts w:cs="Times New Roman"/>
              </w:rPr>
            </w:pPr>
            <w:r>
              <w:rPr>
                <w:rFonts w:cs="Times New Roman"/>
              </w:rPr>
              <w:t>mg/kg</w:t>
            </w:r>
          </w:p>
        </w:tc>
        <w:tc>
          <w:tcPr>
            <w:tcW w:w="618" w:type="pct"/>
            <w:vAlign w:val="center"/>
          </w:tcPr>
          <w:p w14:paraId="0108A892">
            <w:pPr>
              <w:pStyle w:val="179"/>
              <w:rPr>
                <w:rFonts w:cs="Times New Roman"/>
              </w:rPr>
            </w:pPr>
            <w:r>
              <w:rPr>
                <w:rFonts w:cs="Times New Roman"/>
              </w:rPr>
              <w:t>2.8</w:t>
            </w:r>
          </w:p>
        </w:tc>
      </w:tr>
      <w:tr w14:paraId="061278C7">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16" w:hRule="atLeast"/>
          <w:jc w:val="center"/>
        </w:trPr>
        <w:tc>
          <w:tcPr>
            <w:tcW w:w="391" w:type="pct"/>
            <w:vAlign w:val="center"/>
          </w:tcPr>
          <w:p w14:paraId="2806CDBD">
            <w:pPr>
              <w:pStyle w:val="179"/>
              <w:rPr>
                <w:rFonts w:cs="Times New Roman"/>
              </w:rPr>
            </w:pPr>
            <w:r>
              <w:rPr>
                <w:rFonts w:cs="Times New Roman"/>
              </w:rPr>
              <w:t>24</w:t>
            </w:r>
          </w:p>
        </w:tc>
        <w:tc>
          <w:tcPr>
            <w:tcW w:w="2410" w:type="pct"/>
            <w:vAlign w:val="center"/>
          </w:tcPr>
          <w:p w14:paraId="7C0145FB">
            <w:pPr>
              <w:pStyle w:val="179"/>
              <w:rPr>
                <w:rFonts w:cs="Times New Roman"/>
              </w:rPr>
            </w:pPr>
            <w:r>
              <w:rPr>
                <w:rFonts w:cs="Times New Roman"/>
              </w:rPr>
              <w:t>1,2,3-三氯丙烷</w:t>
            </w:r>
          </w:p>
        </w:tc>
        <w:tc>
          <w:tcPr>
            <w:tcW w:w="611" w:type="pct"/>
            <w:vMerge w:val="continue"/>
            <w:vAlign w:val="center"/>
          </w:tcPr>
          <w:p w14:paraId="1AD45487">
            <w:pPr>
              <w:pStyle w:val="179"/>
              <w:rPr>
                <w:rFonts w:cs="Times New Roman"/>
              </w:rPr>
            </w:pPr>
          </w:p>
        </w:tc>
        <w:tc>
          <w:tcPr>
            <w:tcW w:w="969" w:type="pct"/>
            <w:vAlign w:val="center"/>
          </w:tcPr>
          <w:p w14:paraId="59EE74C7">
            <w:pPr>
              <w:pStyle w:val="179"/>
              <w:rPr>
                <w:rFonts w:cs="Times New Roman"/>
              </w:rPr>
            </w:pPr>
            <w:r>
              <w:rPr>
                <w:rFonts w:cs="Times New Roman"/>
              </w:rPr>
              <w:t>mg/kg</w:t>
            </w:r>
          </w:p>
        </w:tc>
        <w:tc>
          <w:tcPr>
            <w:tcW w:w="618" w:type="pct"/>
            <w:vAlign w:val="center"/>
          </w:tcPr>
          <w:p w14:paraId="635B1B13">
            <w:pPr>
              <w:pStyle w:val="179"/>
              <w:rPr>
                <w:rFonts w:cs="Times New Roman"/>
              </w:rPr>
            </w:pPr>
            <w:r>
              <w:rPr>
                <w:rFonts w:cs="Times New Roman"/>
              </w:rPr>
              <w:t>0.5</w:t>
            </w:r>
          </w:p>
        </w:tc>
      </w:tr>
      <w:tr w14:paraId="40DBC6A9">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17" w:hRule="atLeast"/>
          <w:jc w:val="center"/>
        </w:trPr>
        <w:tc>
          <w:tcPr>
            <w:tcW w:w="391" w:type="pct"/>
            <w:vAlign w:val="center"/>
          </w:tcPr>
          <w:p w14:paraId="1C1F9147">
            <w:pPr>
              <w:pStyle w:val="179"/>
              <w:rPr>
                <w:rFonts w:cs="Times New Roman"/>
              </w:rPr>
            </w:pPr>
            <w:r>
              <w:rPr>
                <w:rFonts w:cs="Times New Roman"/>
              </w:rPr>
              <w:t>25</w:t>
            </w:r>
          </w:p>
        </w:tc>
        <w:tc>
          <w:tcPr>
            <w:tcW w:w="2410" w:type="pct"/>
            <w:vAlign w:val="center"/>
          </w:tcPr>
          <w:p w14:paraId="7F4A6FAC">
            <w:pPr>
              <w:pStyle w:val="179"/>
              <w:rPr>
                <w:rFonts w:cs="Times New Roman"/>
              </w:rPr>
            </w:pPr>
            <w:r>
              <w:rPr>
                <w:rFonts w:cs="Times New Roman"/>
              </w:rPr>
              <w:t>氯乙烯</w:t>
            </w:r>
          </w:p>
        </w:tc>
        <w:tc>
          <w:tcPr>
            <w:tcW w:w="611" w:type="pct"/>
            <w:vMerge w:val="continue"/>
            <w:vAlign w:val="center"/>
          </w:tcPr>
          <w:p w14:paraId="1DF1EA61">
            <w:pPr>
              <w:pStyle w:val="179"/>
              <w:rPr>
                <w:rFonts w:cs="Times New Roman"/>
              </w:rPr>
            </w:pPr>
          </w:p>
        </w:tc>
        <w:tc>
          <w:tcPr>
            <w:tcW w:w="969" w:type="pct"/>
            <w:vAlign w:val="center"/>
          </w:tcPr>
          <w:p w14:paraId="1A72B9C3">
            <w:pPr>
              <w:pStyle w:val="179"/>
              <w:rPr>
                <w:rFonts w:cs="Times New Roman"/>
              </w:rPr>
            </w:pPr>
            <w:r>
              <w:rPr>
                <w:rFonts w:cs="Times New Roman"/>
              </w:rPr>
              <w:t>mg/kg</w:t>
            </w:r>
          </w:p>
        </w:tc>
        <w:tc>
          <w:tcPr>
            <w:tcW w:w="618" w:type="pct"/>
            <w:vAlign w:val="center"/>
          </w:tcPr>
          <w:p w14:paraId="1A7B5F8B">
            <w:pPr>
              <w:pStyle w:val="179"/>
              <w:rPr>
                <w:rFonts w:cs="Times New Roman"/>
              </w:rPr>
            </w:pPr>
            <w:r>
              <w:rPr>
                <w:rFonts w:cs="Times New Roman"/>
              </w:rPr>
              <w:t>0.43</w:t>
            </w:r>
          </w:p>
        </w:tc>
      </w:tr>
      <w:tr w14:paraId="40AC570A">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17" w:hRule="atLeast"/>
          <w:jc w:val="center"/>
        </w:trPr>
        <w:tc>
          <w:tcPr>
            <w:tcW w:w="391" w:type="pct"/>
            <w:vAlign w:val="center"/>
          </w:tcPr>
          <w:p w14:paraId="434FEFD4">
            <w:pPr>
              <w:pStyle w:val="179"/>
              <w:rPr>
                <w:rFonts w:cs="Times New Roman"/>
              </w:rPr>
            </w:pPr>
            <w:r>
              <w:rPr>
                <w:rFonts w:cs="Times New Roman"/>
              </w:rPr>
              <w:t>26</w:t>
            </w:r>
          </w:p>
        </w:tc>
        <w:tc>
          <w:tcPr>
            <w:tcW w:w="2410" w:type="pct"/>
            <w:vAlign w:val="center"/>
          </w:tcPr>
          <w:p w14:paraId="6E0794D2">
            <w:pPr>
              <w:pStyle w:val="179"/>
              <w:rPr>
                <w:rFonts w:cs="Times New Roman"/>
              </w:rPr>
            </w:pPr>
            <w:r>
              <w:rPr>
                <w:rFonts w:cs="Times New Roman"/>
              </w:rPr>
              <w:t>苯</w:t>
            </w:r>
          </w:p>
        </w:tc>
        <w:tc>
          <w:tcPr>
            <w:tcW w:w="611" w:type="pct"/>
            <w:vMerge w:val="continue"/>
            <w:vAlign w:val="center"/>
          </w:tcPr>
          <w:p w14:paraId="442EECE1">
            <w:pPr>
              <w:pStyle w:val="179"/>
              <w:rPr>
                <w:rFonts w:cs="Times New Roman"/>
              </w:rPr>
            </w:pPr>
          </w:p>
        </w:tc>
        <w:tc>
          <w:tcPr>
            <w:tcW w:w="969" w:type="pct"/>
            <w:vAlign w:val="center"/>
          </w:tcPr>
          <w:p w14:paraId="7E322884">
            <w:pPr>
              <w:pStyle w:val="179"/>
              <w:rPr>
                <w:rFonts w:cs="Times New Roman"/>
              </w:rPr>
            </w:pPr>
            <w:r>
              <w:rPr>
                <w:rFonts w:cs="Times New Roman"/>
              </w:rPr>
              <w:t>mg/kg</w:t>
            </w:r>
          </w:p>
        </w:tc>
        <w:tc>
          <w:tcPr>
            <w:tcW w:w="618" w:type="pct"/>
            <w:vAlign w:val="center"/>
          </w:tcPr>
          <w:p w14:paraId="2EDE8524">
            <w:pPr>
              <w:pStyle w:val="179"/>
              <w:rPr>
                <w:rFonts w:cs="Times New Roman"/>
              </w:rPr>
            </w:pPr>
            <w:r>
              <w:rPr>
                <w:rFonts w:cs="Times New Roman"/>
              </w:rPr>
              <w:t>4</w:t>
            </w:r>
          </w:p>
        </w:tc>
      </w:tr>
      <w:tr w14:paraId="00542190">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17" w:hRule="atLeast"/>
          <w:jc w:val="center"/>
        </w:trPr>
        <w:tc>
          <w:tcPr>
            <w:tcW w:w="391" w:type="pct"/>
            <w:vAlign w:val="center"/>
          </w:tcPr>
          <w:p w14:paraId="4FB1B9E3">
            <w:pPr>
              <w:pStyle w:val="179"/>
              <w:rPr>
                <w:rFonts w:cs="Times New Roman"/>
              </w:rPr>
            </w:pPr>
            <w:r>
              <w:rPr>
                <w:rFonts w:cs="Times New Roman"/>
              </w:rPr>
              <w:t>27</w:t>
            </w:r>
          </w:p>
        </w:tc>
        <w:tc>
          <w:tcPr>
            <w:tcW w:w="2410" w:type="pct"/>
            <w:vAlign w:val="center"/>
          </w:tcPr>
          <w:p w14:paraId="7381B019">
            <w:pPr>
              <w:pStyle w:val="179"/>
              <w:rPr>
                <w:rFonts w:cs="Times New Roman"/>
              </w:rPr>
            </w:pPr>
            <w:r>
              <w:rPr>
                <w:rFonts w:cs="Times New Roman"/>
              </w:rPr>
              <w:t>氯苯</w:t>
            </w:r>
          </w:p>
        </w:tc>
        <w:tc>
          <w:tcPr>
            <w:tcW w:w="611" w:type="pct"/>
            <w:vMerge w:val="continue"/>
            <w:vAlign w:val="center"/>
          </w:tcPr>
          <w:p w14:paraId="49321D17">
            <w:pPr>
              <w:pStyle w:val="179"/>
              <w:rPr>
                <w:rFonts w:cs="Times New Roman"/>
              </w:rPr>
            </w:pPr>
          </w:p>
        </w:tc>
        <w:tc>
          <w:tcPr>
            <w:tcW w:w="969" w:type="pct"/>
            <w:vAlign w:val="center"/>
          </w:tcPr>
          <w:p w14:paraId="3B06B363">
            <w:pPr>
              <w:pStyle w:val="179"/>
              <w:rPr>
                <w:rFonts w:cs="Times New Roman"/>
              </w:rPr>
            </w:pPr>
            <w:r>
              <w:rPr>
                <w:rFonts w:cs="Times New Roman"/>
              </w:rPr>
              <w:t>mg/kg</w:t>
            </w:r>
          </w:p>
        </w:tc>
        <w:tc>
          <w:tcPr>
            <w:tcW w:w="618" w:type="pct"/>
            <w:vAlign w:val="center"/>
          </w:tcPr>
          <w:p w14:paraId="5A87C0D0">
            <w:pPr>
              <w:pStyle w:val="179"/>
              <w:rPr>
                <w:rFonts w:cs="Times New Roman"/>
              </w:rPr>
            </w:pPr>
            <w:r>
              <w:rPr>
                <w:rFonts w:cs="Times New Roman"/>
              </w:rPr>
              <w:t>270</w:t>
            </w:r>
          </w:p>
        </w:tc>
      </w:tr>
      <w:tr w14:paraId="529EF090">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17" w:hRule="atLeast"/>
          <w:jc w:val="center"/>
        </w:trPr>
        <w:tc>
          <w:tcPr>
            <w:tcW w:w="391" w:type="pct"/>
            <w:vAlign w:val="center"/>
          </w:tcPr>
          <w:p w14:paraId="45D887F8">
            <w:pPr>
              <w:pStyle w:val="179"/>
              <w:rPr>
                <w:rFonts w:cs="Times New Roman"/>
              </w:rPr>
            </w:pPr>
            <w:r>
              <w:rPr>
                <w:rFonts w:cs="Times New Roman"/>
              </w:rPr>
              <w:t>28</w:t>
            </w:r>
          </w:p>
        </w:tc>
        <w:tc>
          <w:tcPr>
            <w:tcW w:w="2410" w:type="pct"/>
            <w:vAlign w:val="center"/>
          </w:tcPr>
          <w:p w14:paraId="4AD625D3">
            <w:pPr>
              <w:pStyle w:val="179"/>
              <w:rPr>
                <w:rFonts w:cs="Times New Roman"/>
              </w:rPr>
            </w:pPr>
            <w:r>
              <w:rPr>
                <w:rFonts w:cs="Times New Roman"/>
              </w:rPr>
              <w:t>1,2-二氯苯</w:t>
            </w:r>
          </w:p>
        </w:tc>
        <w:tc>
          <w:tcPr>
            <w:tcW w:w="611" w:type="pct"/>
            <w:vMerge w:val="continue"/>
            <w:vAlign w:val="center"/>
          </w:tcPr>
          <w:p w14:paraId="63DBA6CC">
            <w:pPr>
              <w:pStyle w:val="179"/>
              <w:rPr>
                <w:rFonts w:cs="Times New Roman"/>
              </w:rPr>
            </w:pPr>
          </w:p>
        </w:tc>
        <w:tc>
          <w:tcPr>
            <w:tcW w:w="969" w:type="pct"/>
            <w:vAlign w:val="center"/>
          </w:tcPr>
          <w:p w14:paraId="70C9FC1F">
            <w:pPr>
              <w:pStyle w:val="179"/>
              <w:rPr>
                <w:rFonts w:cs="Times New Roman"/>
              </w:rPr>
            </w:pPr>
            <w:r>
              <w:rPr>
                <w:rFonts w:cs="Times New Roman"/>
              </w:rPr>
              <w:t>mg/kg</w:t>
            </w:r>
          </w:p>
        </w:tc>
        <w:tc>
          <w:tcPr>
            <w:tcW w:w="618" w:type="pct"/>
            <w:vAlign w:val="center"/>
          </w:tcPr>
          <w:p w14:paraId="365921B5">
            <w:pPr>
              <w:pStyle w:val="179"/>
              <w:rPr>
                <w:rFonts w:cs="Times New Roman"/>
              </w:rPr>
            </w:pPr>
            <w:r>
              <w:rPr>
                <w:rFonts w:cs="Times New Roman"/>
              </w:rPr>
              <w:t>560</w:t>
            </w:r>
          </w:p>
        </w:tc>
      </w:tr>
      <w:tr w14:paraId="6B01B580">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17" w:hRule="atLeast"/>
          <w:jc w:val="center"/>
        </w:trPr>
        <w:tc>
          <w:tcPr>
            <w:tcW w:w="391" w:type="pct"/>
            <w:vAlign w:val="center"/>
          </w:tcPr>
          <w:p w14:paraId="1A8FB10E">
            <w:pPr>
              <w:pStyle w:val="179"/>
              <w:rPr>
                <w:rFonts w:cs="Times New Roman"/>
              </w:rPr>
            </w:pPr>
            <w:r>
              <w:rPr>
                <w:rFonts w:cs="Times New Roman"/>
              </w:rPr>
              <w:t>29</w:t>
            </w:r>
          </w:p>
        </w:tc>
        <w:tc>
          <w:tcPr>
            <w:tcW w:w="2410" w:type="pct"/>
            <w:vAlign w:val="center"/>
          </w:tcPr>
          <w:p w14:paraId="3E185E2F">
            <w:pPr>
              <w:pStyle w:val="179"/>
              <w:rPr>
                <w:rFonts w:cs="Times New Roman"/>
              </w:rPr>
            </w:pPr>
            <w:r>
              <w:rPr>
                <w:rFonts w:cs="Times New Roman"/>
              </w:rPr>
              <w:t>1,4-二氯苯</w:t>
            </w:r>
          </w:p>
        </w:tc>
        <w:tc>
          <w:tcPr>
            <w:tcW w:w="611" w:type="pct"/>
            <w:vMerge w:val="continue"/>
            <w:vAlign w:val="center"/>
          </w:tcPr>
          <w:p w14:paraId="256E342C">
            <w:pPr>
              <w:pStyle w:val="179"/>
              <w:rPr>
                <w:rFonts w:cs="Times New Roman"/>
              </w:rPr>
            </w:pPr>
          </w:p>
        </w:tc>
        <w:tc>
          <w:tcPr>
            <w:tcW w:w="969" w:type="pct"/>
            <w:vAlign w:val="center"/>
          </w:tcPr>
          <w:p w14:paraId="575A5A0D">
            <w:pPr>
              <w:pStyle w:val="179"/>
              <w:rPr>
                <w:rFonts w:cs="Times New Roman"/>
              </w:rPr>
            </w:pPr>
            <w:r>
              <w:rPr>
                <w:rFonts w:cs="Times New Roman"/>
              </w:rPr>
              <w:t>mg/kg</w:t>
            </w:r>
          </w:p>
        </w:tc>
        <w:tc>
          <w:tcPr>
            <w:tcW w:w="618" w:type="pct"/>
            <w:vAlign w:val="center"/>
          </w:tcPr>
          <w:p w14:paraId="247C9E92">
            <w:pPr>
              <w:pStyle w:val="179"/>
              <w:rPr>
                <w:rFonts w:cs="Times New Roman"/>
              </w:rPr>
            </w:pPr>
            <w:r>
              <w:rPr>
                <w:rFonts w:cs="Times New Roman"/>
              </w:rPr>
              <w:t>20</w:t>
            </w:r>
          </w:p>
        </w:tc>
      </w:tr>
      <w:tr w14:paraId="7B91878A">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17" w:hRule="atLeast"/>
          <w:jc w:val="center"/>
        </w:trPr>
        <w:tc>
          <w:tcPr>
            <w:tcW w:w="391" w:type="pct"/>
            <w:vAlign w:val="center"/>
          </w:tcPr>
          <w:p w14:paraId="0636E875">
            <w:pPr>
              <w:pStyle w:val="179"/>
              <w:rPr>
                <w:rFonts w:cs="Times New Roman"/>
              </w:rPr>
            </w:pPr>
            <w:r>
              <w:rPr>
                <w:rFonts w:cs="Times New Roman"/>
              </w:rPr>
              <w:t>30</w:t>
            </w:r>
          </w:p>
        </w:tc>
        <w:tc>
          <w:tcPr>
            <w:tcW w:w="2410" w:type="pct"/>
            <w:vAlign w:val="center"/>
          </w:tcPr>
          <w:p w14:paraId="22B0C22F">
            <w:pPr>
              <w:pStyle w:val="179"/>
              <w:rPr>
                <w:rFonts w:cs="Times New Roman"/>
              </w:rPr>
            </w:pPr>
            <w:r>
              <w:rPr>
                <w:rFonts w:cs="Times New Roman"/>
              </w:rPr>
              <w:t>乙苯</w:t>
            </w:r>
          </w:p>
        </w:tc>
        <w:tc>
          <w:tcPr>
            <w:tcW w:w="611" w:type="pct"/>
            <w:vMerge w:val="continue"/>
            <w:vAlign w:val="center"/>
          </w:tcPr>
          <w:p w14:paraId="64EC3CCB">
            <w:pPr>
              <w:pStyle w:val="179"/>
              <w:rPr>
                <w:rFonts w:cs="Times New Roman"/>
              </w:rPr>
            </w:pPr>
          </w:p>
        </w:tc>
        <w:tc>
          <w:tcPr>
            <w:tcW w:w="969" w:type="pct"/>
            <w:vAlign w:val="center"/>
          </w:tcPr>
          <w:p w14:paraId="516F58E7">
            <w:pPr>
              <w:pStyle w:val="179"/>
              <w:rPr>
                <w:rFonts w:cs="Times New Roman"/>
              </w:rPr>
            </w:pPr>
            <w:r>
              <w:rPr>
                <w:rFonts w:cs="Times New Roman"/>
              </w:rPr>
              <w:t>mg/kg</w:t>
            </w:r>
          </w:p>
        </w:tc>
        <w:tc>
          <w:tcPr>
            <w:tcW w:w="618" w:type="pct"/>
            <w:vAlign w:val="center"/>
          </w:tcPr>
          <w:p w14:paraId="61C180FC">
            <w:pPr>
              <w:pStyle w:val="179"/>
              <w:rPr>
                <w:rFonts w:cs="Times New Roman"/>
              </w:rPr>
            </w:pPr>
            <w:r>
              <w:rPr>
                <w:rFonts w:cs="Times New Roman"/>
              </w:rPr>
              <w:t>28</w:t>
            </w:r>
          </w:p>
        </w:tc>
      </w:tr>
      <w:tr w14:paraId="2E019446">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17" w:hRule="atLeast"/>
          <w:jc w:val="center"/>
        </w:trPr>
        <w:tc>
          <w:tcPr>
            <w:tcW w:w="391" w:type="pct"/>
            <w:vAlign w:val="center"/>
          </w:tcPr>
          <w:p w14:paraId="22574A40">
            <w:pPr>
              <w:pStyle w:val="179"/>
              <w:rPr>
                <w:rFonts w:cs="Times New Roman"/>
              </w:rPr>
            </w:pPr>
            <w:r>
              <w:rPr>
                <w:rFonts w:cs="Times New Roman"/>
              </w:rPr>
              <w:t>31</w:t>
            </w:r>
          </w:p>
        </w:tc>
        <w:tc>
          <w:tcPr>
            <w:tcW w:w="2410" w:type="pct"/>
            <w:vAlign w:val="center"/>
          </w:tcPr>
          <w:p w14:paraId="06EDE1BE">
            <w:pPr>
              <w:pStyle w:val="179"/>
              <w:rPr>
                <w:rFonts w:cs="Times New Roman"/>
              </w:rPr>
            </w:pPr>
            <w:r>
              <w:rPr>
                <w:rFonts w:cs="Times New Roman"/>
              </w:rPr>
              <w:t>苯乙烯</w:t>
            </w:r>
          </w:p>
        </w:tc>
        <w:tc>
          <w:tcPr>
            <w:tcW w:w="611" w:type="pct"/>
            <w:vMerge w:val="continue"/>
            <w:vAlign w:val="center"/>
          </w:tcPr>
          <w:p w14:paraId="3C66A4E9">
            <w:pPr>
              <w:pStyle w:val="179"/>
              <w:rPr>
                <w:rFonts w:cs="Times New Roman"/>
              </w:rPr>
            </w:pPr>
          </w:p>
        </w:tc>
        <w:tc>
          <w:tcPr>
            <w:tcW w:w="969" w:type="pct"/>
            <w:vAlign w:val="center"/>
          </w:tcPr>
          <w:p w14:paraId="2C288EB7">
            <w:pPr>
              <w:pStyle w:val="179"/>
              <w:rPr>
                <w:rFonts w:cs="Times New Roman"/>
              </w:rPr>
            </w:pPr>
            <w:r>
              <w:rPr>
                <w:rFonts w:cs="Times New Roman"/>
              </w:rPr>
              <w:t>mg/kg</w:t>
            </w:r>
          </w:p>
        </w:tc>
        <w:tc>
          <w:tcPr>
            <w:tcW w:w="618" w:type="pct"/>
            <w:vAlign w:val="center"/>
          </w:tcPr>
          <w:p w14:paraId="6F6C2CEC">
            <w:pPr>
              <w:pStyle w:val="179"/>
              <w:rPr>
                <w:rFonts w:cs="Times New Roman"/>
              </w:rPr>
            </w:pPr>
            <w:r>
              <w:rPr>
                <w:rFonts w:cs="Times New Roman"/>
              </w:rPr>
              <w:t>1290</w:t>
            </w:r>
          </w:p>
        </w:tc>
      </w:tr>
      <w:tr w14:paraId="32C58494">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17" w:hRule="atLeast"/>
          <w:jc w:val="center"/>
        </w:trPr>
        <w:tc>
          <w:tcPr>
            <w:tcW w:w="391" w:type="pct"/>
            <w:vAlign w:val="center"/>
          </w:tcPr>
          <w:p w14:paraId="4F68DE7F">
            <w:pPr>
              <w:pStyle w:val="179"/>
              <w:rPr>
                <w:rFonts w:cs="Times New Roman"/>
              </w:rPr>
            </w:pPr>
            <w:r>
              <w:rPr>
                <w:rFonts w:cs="Times New Roman"/>
              </w:rPr>
              <w:t>32</w:t>
            </w:r>
          </w:p>
        </w:tc>
        <w:tc>
          <w:tcPr>
            <w:tcW w:w="2410" w:type="pct"/>
            <w:vAlign w:val="center"/>
          </w:tcPr>
          <w:p w14:paraId="38E3FA01">
            <w:pPr>
              <w:pStyle w:val="179"/>
              <w:rPr>
                <w:rFonts w:cs="Times New Roman"/>
              </w:rPr>
            </w:pPr>
            <w:r>
              <w:rPr>
                <w:rFonts w:cs="Times New Roman"/>
              </w:rPr>
              <w:t>甲苯</w:t>
            </w:r>
          </w:p>
        </w:tc>
        <w:tc>
          <w:tcPr>
            <w:tcW w:w="611" w:type="pct"/>
            <w:vMerge w:val="continue"/>
            <w:vAlign w:val="center"/>
          </w:tcPr>
          <w:p w14:paraId="06FCECDB">
            <w:pPr>
              <w:pStyle w:val="179"/>
              <w:rPr>
                <w:rFonts w:cs="Times New Roman"/>
              </w:rPr>
            </w:pPr>
          </w:p>
        </w:tc>
        <w:tc>
          <w:tcPr>
            <w:tcW w:w="969" w:type="pct"/>
            <w:vAlign w:val="center"/>
          </w:tcPr>
          <w:p w14:paraId="25EBA713">
            <w:pPr>
              <w:pStyle w:val="179"/>
              <w:rPr>
                <w:rFonts w:cs="Times New Roman"/>
              </w:rPr>
            </w:pPr>
            <w:r>
              <w:rPr>
                <w:rFonts w:cs="Times New Roman"/>
              </w:rPr>
              <w:t>mg/kg</w:t>
            </w:r>
          </w:p>
        </w:tc>
        <w:tc>
          <w:tcPr>
            <w:tcW w:w="618" w:type="pct"/>
            <w:vAlign w:val="center"/>
          </w:tcPr>
          <w:p w14:paraId="52EE2589">
            <w:pPr>
              <w:pStyle w:val="179"/>
              <w:rPr>
                <w:rFonts w:cs="Times New Roman"/>
              </w:rPr>
            </w:pPr>
            <w:r>
              <w:rPr>
                <w:rFonts w:cs="Times New Roman"/>
              </w:rPr>
              <w:t>1200</w:t>
            </w:r>
          </w:p>
        </w:tc>
      </w:tr>
      <w:tr w14:paraId="5CF6854E">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17" w:hRule="atLeast"/>
          <w:jc w:val="center"/>
        </w:trPr>
        <w:tc>
          <w:tcPr>
            <w:tcW w:w="391" w:type="pct"/>
            <w:vAlign w:val="center"/>
          </w:tcPr>
          <w:p w14:paraId="6E5528D3">
            <w:pPr>
              <w:pStyle w:val="179"/>
              <w:rPr>
                <w:rFonts w:cs="Times New Roman"/>
              </w:rPr>
            </w:pPr>
            <w:r>
              <w:rPr>
                <w:rFonts w:cs="Times New Roman"/>
              </w:rPr>
              <w:t>33</w:t>
            </w:r>
          </w:p>
        </w:tc>
        <w:tc>
          <w:tcPr>
            <w:tcW w:w="2410" w:type="pct"/>
            <w:vAlign w:val="center"/>
          </w:tcPr>
          <w:p w14:paraId="44556E9E">
            <w:pPr>
              <w:pStyle w:val="179"/>
              <w:rPr>
                <w:rFonts w:cs="Times New Roman"/>
              </w:rPr>
            </w:pPr>
            <w:r>
              <w:rPr>
                <w:rFonts w:cs="Times New Roman"/>
              </w:rPr>
              <w:t>间二甲苯+对二甲苯</w:t>
            </w:r>
          </w:p>
        </w:tc>
        <w:tc>
          <w:tcPr>
            <w:tcW w:w="611" w:type="pct"/>
            <w:vMerge w:val="continue"/>
            <w:vAlign w:val="center"/>
          </w:tcPr>
          <w:p w14:paraId="791E144F">
            <w:pPr>
              <w:pStyle w:val="179"/>
              <w:rPr>
                <w:rFonts w:cs="Times New Roman"/>
              </w:rPr>
            </w:pPr>
          </w:p>
        </w:tc>
        <w:tc>
          <w:tcPr>
            <w:tcW w:w="969" w:type="pct"/>
            <w:vAlign w:val="center"/>
          </w:tcPr>
          <w:p w14:paraId="112AFE7A">
            <w:pPr>
              <w:pStyle w:val="179"/>
              <w:rPr>
                <w:rFonts w:cs="Times New Roman"/>
              </w:rPr>
            </w:pPr>
            <w:r>
              <w:rPr>
                <w:rFonts w:cs="Times New Roman"/>
              </w:rPr>
              <w:t>mg/kg</w:t>
            </w:r>
          </w:p>
        </w:tc>
        <w:tc>
          <w:tcPr>
            <w:tcW w:w="618" w:type="pct"/>
            <w:vAlign w:val="center"/>
          </w:tcPr>
          <w:p w14:paraId="2F117BE4">
            <w:pPr>
              <w:pStyle w:val="179"/>
              <w:rPr>
                <w:rFonts w:cs="Times New Roman"/>
              </w:rPr>
            </w:pPr>
            <w:r>
              <w:rPr>
                <w:rFonts w:cs="Times New Roman"/>
              </w:rPr>
              <w:t>570</w:t>
            </w:r>
          </w:p>
        </w:tc>
      </w:tr>
      <w:tr w14:paraId="53B3F43C">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17" w:hRule="atLeast"/>
          <w:jc w:val="center"/>
        </w:trPr>
        <w:tc>
          <w:tcPr>
            <w:tcW w:w="391" w:type="pct"/>
            <w:vAlign w:val="center"/>
          </w:tcPr>
          <w:p w14:paraId="060CBBF8">
            <w:pPr>
              <w:pStyle w:val="179"/>
              <w:rPr>
                <w:rFonts w:cs="Times New Roman"/>
              </w:rPr>
            </w:pPr>
            <w:r>
              <w:rPr>
                <w:rFonts w:cs="Times New Roman"/>
              </w:rPr>
              <w:t>34</w:t>
            </w:r>
          </w:p>
        </w:tc>
        <w:tc>
          <w:tcPr>
            <w:tcW w:w="2410" w:type="pct"/>
            <w:vAlign w:val="center"/>
          </w:tcPr>
          <w:p w14:paraId="7E9451A2">
            <w:pPr>
              <w:pStyle w:val="179"/>
              <w:rPr>
                <w:rFonts w:cs="Times New Roman"/>
              </w:rPr>
            </w:pPr>
            <w:r>
              <w:rPr>
                <w:rFonts w:cs="Times New Roman"/>
              </w:rPr>
              <w:t>邻二甲苯</w:t>
            </w:r>
          </w:p>
        </w:tc>
        <w:tc>
          <w:tcPr>
            <w:tcW w:w="611" w:type="pct"/>
            <w:vMerge w:val="continue"/>
            <w:vAlign w:val="center"/>
          </w:tcPr>
          <w:p w14:paraId="27576E03">
            <w:pPr>
              <w:pStyle w:val="179"/>
              <w:rPr>
                <w:rFonts w:cs="Times New Roman"/>
              </w:rPr>
            </w:pPr>
          </w:p>
        </w:tc>
        <w:tc>
          <w:tcPr>
            <w:tcW w:w="969" w:type="pct"/>
            <w:vAlign w:val="center"/>
          </w:tcPr>
          <w:p w14:paraId="3BA52B78">
            <w:pPr>
              <w:pStyle w:val="179"/>
              <w:rPr>
                <w:rFonts w:cs="Times New Roman"/>
              </w:rPr>
            </w:pPr>
            <w:r>
              <w:rPr>
                <w:rFonts w:cs="Times New Roman"/>
              </w:rPr>
              <w:t>mg/kg</w:t>
            </w:r>
          </w:p>
        </w:tc>
        <w:tc>
          <w:tcPr>
            <w:tcW w:w="618" w:type="pct"/>
            <w:vAlign w:val="center"/>
          </w:tcPr>
          <w:p w14:paraId="48E1DEAF">
            <w:pPr>
              <w:pStyle w:val="179"/>
              <w:rPr>
                <w:rFonts w:cs="Times New Roman"/>
              </w:rPr>
            </w:pPr>
            <w:r>
              <w:rPr>
                <w:rFonts w:cs="Times New Roman"/>
              </w:rPr>
              <w:t>640</w:t>
            </w:r>
          </w:p>
        </w:tc>
      </w:tr>
      <w:tr w14:paraId="76173756">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17" w:hRule="atLeast"/>
          <w:jc w:val="center"/>
        </w:trPr>
        <w:tc>
          <w:tcPr>
            <w:tcW w:w="391" w:type="pct"/>
            <w:vAlign w:val="center"/>
          </w:tcPr>
          <w:p w14:paraId="07E9C1BB">
            <w:pPr>
              <w:pStyle w:val="179"/>
              <w:rPr>
                <w:rFonts w:cs="Times New Roman"/>
              </w:rPr>
            </w:pPr>
            <w:r>
              <w:rPr>
                <w:rFonts w:cs="Times New Roman"/>
              </w:rPr>
              <w:t>35</w:t>
            </w:r>
          </w:p>
        </w:tc>
        <w:tc>
          <w:tcPr>
            <w:tcW w:w="2410" w:type="pct"/>
            <w:vAlign w:val="center"/>
          </w:tcPr>
          <w:p w14:paraId="5AF69EEE">
            <w:pPr>
              <w:pStyle w:val="179"/>
              <w:rPr>
                <w:rFonts w:cs="Times New Roman"/>
              </w:rPr>
            </w:pPr>
            <w:r>
              <w:rPr>
                <w:rFonts w:cs="Times New Roman"/>
              </w:rPr>
              <w:t>硝基苯</w:t>
            </w:r>
          </w:p>
        </w:tc>
        <w:tc>
          <w:tcPr>
            <w:tcW w:w="611" w:type="pct"/>
            <w:vMerge w:val="continue"/>
            <w:vAlign w:val="center"/>
          </w:tcPr>
          <w:p w14:paraId="247F5C94">
            <w:pPr>
              <w:pStyle w:val="179"/>
              <w:rPr>
                <w:rFonts w:cs="Times New Roman"/>
              </w:rPr>
            </w:pPr>
          </w:p>
        </w:tc>
        <w:tc>
          <w:tcPr>
            <w:tcW w:w="969" w:type="pct"/>
            <w:vAlign w:val="center"/>
          </w:tcPr>
          <w:p w14:paraId="34ECABF3">
            <w:pPr>
              <w:pStyle w:val="179"/>
              <w:rPr>
                <w:rFonts w:cs="Times New Roman"/>
              </w:rPr>
            </w:pPr>
            <w:r>
              <w:rPr>
                <w:rFonts w:cs="Times New Roman"/>
              </w:rPr>
              <w:t>mg/kg</w:t>
            </w:r>
          </w:p>
        </w:tc>
        <w:tc>
          <w:tcPr>
            <w:tcW w:w="618" w:type="pct"/>
            <w:vAlign w:val="center"/>
          </w:tcPr>
          <w:p w14:paraId="179B1C37">
            <w:pPr>
              <w:pStyle w:val="179"/>
              <w:rPr>
                <w:rFonts w:cs="Times New Roman"/>
              </w:rPr>
            </w:pPr>
            <w:r>
              <w:rPr>
                <w:rFonts w:cs="Times New Roman"/>
              </w:rPr>
              <w:t>76</w:t>
            </w:r>
          </w:p>
        </w:tc>
      </w:tr>
      <w:tr w14:paraId="6285E632">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17" w:hRule="atLeast"/>
          <w:jc w:val="center"/>
        </w:trPr>
        <w:tc>
          <w:tcPr>
            <w:tcW w:w="391" w:type="pct"/>
            <w:vAlign w:val="center"/>
          </w:tcPr>
          <w:p w14:paraId="75788C04">
            <w:pPr>
              <w:pStyle w:val="179"/>
              <w:rPr>
                <w:rFonts w:cs="Times New Roman"/>
              </w:rPr>
            </w:pPr>
            <w:r>
              <w:rPr>
                <w:rFonts w:cs="Times New Roman"/>
              </w:rPr>
              <w:t>36</w:t>
            </w:r>
          </w:p>
        </w:tc>
        <w:tc>
          <w:tcPr>
            <w:tcW w:w="2410" w:type="pct"/>
            <w:vAlign w:val="center"/>
          </w:tcPr>
          <w:p w14:paraId="3A094E64">
            <w:pPr>
              <w:pStyle w:val="179"/>
              <w:rPr>
                <w:rFonts w:cs="Times New Roman"/>
              </w:rPr>
            </w:pPr>
            <w:r>
              <w:rPr>
                <w:rFonts w:cs="Times New Roman"/>
              </w:rPr>
              <w:t>苯胺</w:t>
            </w:r>
          </w:p>
        </w:tc>
        <w:tc>
          <w:tcPr>
            <w:tcW w:w="611" w:type="pct"/>
            <w:vMerge w:val="continue"/>
            <w:vAlign w:val="center"/>
          </w:tcPr>
          <w:p w14:paraId="1F05658A">
            <w:pPr>
              <w:pStyle w:val="179"/>
              <w:rPr>
                <w:rFonts w:cs="Times New Roman"/>
              </w:rPr>
            </w:pPr>
          </w:p>
        </w:tc>
        <w:tc>
          <w:tcPr>
            <w:tcW w:w="969" w:type="pct"/>
            <w:vAlign w:val="center"/>
          </w:tcPr>
          <w:p w14:paraId="73053988">
            <w:pPr>
              <w:pStyle w:val="179"/>
              <w:rPr>
                <w:rFonts w:cs="Times New Roman"/>
              </w:rPr>
            </w:pPr>
            <w:r>
              <w:rPr>
                <w:rFonts w:cs="Times New Roman"/>
              </w:rPr>
              <w:t>mg/kg</w:t>
            </w:r>
          </w:p>
        </w:tc>
        <w:tc>
          <w:tcPr>
            <w:tcW w:w="618" w:type="pct"/>
            <w:vAlign w:val="center"/>
          </w:tcPr>
          <w:p w14:paraId="50343920">
            <w:pPr>
              <w:pStyle w:val="179"/>
              <w:rPr>
                <w:rFonts w:cs="Times New Roman"/>
              </w:rPr>
            </w:pPr>
            <w:r>
              <w:rPr>
                <w:rFonts w:cs="Times New Roman"/>
              </w:rPr>
              <w:t>260</w:t>
            </w:r>
          </w:p>
        </w:tc>
      </w:tr>
      <w:tr w14:paraId="290C4D9F">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17" w:hRule="atLeast"/>
          <w:jc w:val="center"/>
        </w:trPr>
        <w:tc>
          <w:tcPr>
            <w:tcW w:w="391" w:type="pct"/>
            <w:vAlign w:val="center"/>
          </w:tcPr>
          <w:p w14:paraId="60FCDF3A">
            <w:pPr>
              <w:pStyle w:val="179"/>
              <w:rPr>
                <w:rFonts w:cs="Times New Roman"/>
              </w:rPr>
            </w:pPr>
            <w:r>
              <w:rPr>
                <w:rFonts w:cs="Times New Roman"/>
              </w:rPr>
              <w:t>37</w:t>
            </w:r>
          </w:p>
        </w:tc>
        <w:tc>
          <w:tcPr>
            <w:tcW w:w="2410" w:type="pct"/>
            <w:vAlign w:val="center"/>
          </w:tcPr>
          <w:p w14:paraId="3E48F2B0">
            <w:pPr>
              <w:pStyle w:val="179"/>
              <w:rPr>
                <w:rFonts w:cs="Times New Roman"/>
              </w:rPr>
            </w:pPr>
            <w:r>
              <w:rPr>
                <w:rFonts w:cs="Times New Roman"/>
              </w:rPr>
              <w:t>2-氯酚</w:t>
            </w:r>
          </w:p>
        </w:tc>
        <w:tc>
          <w:tcPr>
            <w:tcW w:w="611" w:type="pct"/>
            <w:vMerge w:val="continue"/>
            <w:vAlign w:val="center"/>
          </w:tcPr>
          <w:p w14:paraId="2075BAD8">
            <w:pPr>
              <w:pStyle w:val="179"/>
              <w:rPr>
                <w:rFonts w:cs="Times New Roman"/>
              </w:rPr>
            </w:pPr>
          </w:p>
        </w:tc>
        <w:tc>
          <w:tcPr>
            <w:tcW w:w="969" w:type="pct"/>
            <w:vAlign w:val="center"/>
          </w:tcPr>
          <w:p w14:paraId="667998A6">
            <w:pPr>
              <w:pStyle w:val="179"/>
              <w:rPr>
                <w:rFonts w:cs="Times New Roman"/>
              </w:rPr>
            </w:pPr>
            <w:r>
              <w:rPr>
                <w:rFonts w:cs="Times New Roman"/>
              </w:rPr>
              <w:t>mg/kg</w:t>
            </w:r>
          </w:p>
        </w:tc>
        <w:tc>
          <w:tcPr>
            <w:tcW w:w="618" w:type="pct"/>
            <w:vAlign w:val="center"/>
          </w:tcPr>
          <w:p w14:paraId="3F2EA429">
            <w:pPr>
              <w:pStyle w:val="179"/>
              <w:rPr>
                <w:rFonts w:cs="Times New Roman"/>
              </w:rPr>
            </w:pPr>
            <w:r>
              <w:rPr>
                <w:rFonts w:cs="Times New Roman"/>
              </w:rPr>
              <w:t>2256</w:t>
            </w:r>
          </w:p>
        </w:tc>
      </w:tr>
      <w:tr w14:paraId="11D56964">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17" w:hRule="atLeast"/>
          <w:jc w:val="center"/>
        </w:trPr>
        <w:tc>
          <w:tcPr>
            <w:tcW w:w="391" w:type="pct"/>
            <w:vAlign w:val="center"/>
          </w:tcPr>
          <w:p w14:paraId="4FD7B42D">
            <w:pPr>
              <w:pStyle w:val="179"/>
              <w:rPr>
                <w:rFonts w:cs="Times New Roman"/>
              </w:rPr>
            </w:pPr>
            <w:r>
              <w:rPr>
                <w:rFonts w:cs="Times New Roman"/>
              </w:rPr>
              <w:t>38</w:t>
            </w:r>
          </w:p>
        </w:tc>
        <w:tc>
          <w:tcPr>
            <w:tcW w:w="2410" w:type="pct"/>
            <w:vAlign w:val="center"/>
          </w:tcPr>
          <w:p w14:paraId="608890CF">
            <w:pPr>
              <w:pStyle w:val="179"/>
              <w:rPr>
                <w:rFonts w:cs="Times New Roman"/>
              </w:rPr>
            </w:pPr>
            <w:r>
              <w:rPr>
                <w:rFonts w:cs="Times New Roman"/>
              </w:rPr>
              <w:t>苯并[a]蒽</w:t>
            </w:r>
          </w:p>
        </w:tc>
        <w:tc>
          <w:tcPr>
            <w:tcW w:w="611" w:type="pct"/>
            <w:vMerge w:val="continue"/>
            <w:vAlign w:val="center"/>
          </w:tcPr>
          <w:p w14:paraId="650E3EC0">
            <w:pPr>
              <w:pStyle w:val="179"/>
              <w:rPr>
                <w:rFonts w:cs="Times New Roman"/>
              </w:rPr>
            </w:pPr>
          </w:p>
        </w:tc>
        <w:tc>
          <w:tcPr>
            <w:tcW w:w="969" w:type="pct"/>
            <w:vAlign w:val="center"/>
          </w:tcPr>
          <w:p w14:paraId="78EB5DA9">
            <w:pPr>
              <w:pStyle w:val="179"/>
              <w:rPr>
                <w:rFonts w:cs="Times New Roman"/>
              </w:rPr>
            </w:pPr>
            <w:r>
              <w:rPr>
                <w:rFonts w:cs="Times New Roman"/>
              </w:rPr>
              <w:t>mg/kg</w:t>
            </w:r>
          </w:p>
        </w:tc>
        <w:tc>
          <w:tcPr>
            <w:tcW w:w="618" w:type="pct"/>
            <w:vAlign w:val="center"/>
          </w:tcPr>
          <w:p w14:paraId="1A0F7DDC">
            <w:pPr>
              <w:pStyle w:val="179"/>
              <w:rPr>
                <w:rFonts w:cs="Times New Roman"/>
              </w:rPr>
            </w:pPr>
            <w:r>
              <w:rPr>
                <w:rFonts w:cs="Times New Roman"/>
              </w:rPr>
              <w:t>15</w:t>
            </w:r>
          </w:p>
        </w:tc>
      </w:tr>
      <w:tr w14:paraId="59E8FD6B">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19" w:hRule="atLeast"/>
          <w:jc w:val="center"/>
        </w:trPr>
        <w:tc>
          <w:tcPr>
            <w:tcW w:w="391" w:type="pct"/>
            <w:vAlign w:val="center"/>
          </w:tcPr>
          <w:p w14:paraId="7C9A2D8B">
            <w:pPr>
              <w:pStyle w:val="179"/>
              <w:rPr>
                <w:rFonts w:cs="Times New Roman"/>
              </w:rPr>
            </w:pPr>
            <w:r>
              <w:rPr>
                <w:rFonts w:cs="Times New Roman"/>
              </w:rPr>
              <w:t>39</w:t>
            </w:r>
          </w:p>
        </w:tc>
        <w:tc>
          <w:tcPr>
            <w:tcW w:w="2410" w:type="pct"/>
            <w:vAlign w:val="center"/>
          </w:tcPr>
          <w:p w14:paraId="3AF98411">
            <w:pPr>
              <w:pStyle w:val="179"/>
              <w:rPr>
                <w:rFonts w:cs="Times New Roman"/>
              </w:rPr>
            </w:pPr>
            <w:r>
              <w:rPr>
                <w:rFonts w:cs="Times New Roman"/>
              </w:rPr>
              <w:t>苯并[a]芘</w:t>
            </w:r>
          </w:p>
        </w:tc>
        <w:tc>
          <w:tcPr>
            <w:tcW w:w="611" w:type="pct"/>
            <w:vMerge w:val="continue"/>
            <w:vAlign w:val="center"/>
          </w:tcPr>
          <w:p w14:paraId="19CFFE6F">
            <w:pPr>
              <w:pStyle w:val="179"/>
              <w:rPr>
                <w:rFonts w:cs="Times New Roman"/>
              </w:rPr>
            </w:pPr>
          </w:p>
        </w:tc>
        <w:tc>
          <w:tcPr>
            <w:tcW w:w="969" w:type="pct"/>
            <w:vAlign w:val="center"/>
          </w:tcPr>
          <w:p w14:paraId="576D1C24">
            <w:pPr>
              <w:pStyle w:val="179"/>
              <w:rPr>
                <w:rFonts w:cs="Times New Roman"/>
              </w:rPr>
            </w:pPr>
            <w:r>
              <w:rPr>
                <w:rFonts w:cs="Times New Roman"/>
              </w:rPr>
              <w:t>mg/kg</w:t>
            </w:r>
          </w:p>
        </w:tc>
        <w:tc>
          <w:tcPr>
            <w:tcW w:w="618" w:type="pct"/>
            <w:vAlign w:val="center"/>
          </w:tcPr>
          <w:p w14:paraId="4176D404">
            <w:pPr>
              <w:pStyle w:val="179"/>
              <w:rPr>
                <w:rFonts w:cs="Times New Roman"/>
              </w:rPr>
            </w:pPr>
            <w:r>
              <w:rPr>
                <w:rFonts w:cs="Times New Roman"/>
              </w:rPr>
              <w:t>1.5</w:t>
            </w:r>
          </w:p>
        </w:tc>
      </w:tr>
      <w:tr w14:paraId="0C3B2C68">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17" w:hRule="atLeast"/>
          <w:jc w:val="center"/>
        </w:trPr>
        <w:tc>
          <w:tcPr>
            <w:tcW w:w="391" w:type="pct"/>
            <w:vAlign w:val="center"/>
          </w:tcPr>
          <w:p w14:paraId="4753DB1D">
            <w:pPr>
              <w:pStyle w:val="179"/>
              <w:rPr>
                <w:rFonts w:cs="Times New Roman"/>
              </w:rPr>
            </w:pPr>
            <w:r>
              <w:rPr>
                <w:rFonts w:cs="Times New Roman"/>
              </w:rPr>
              <w:t>40</w:t>
            </w:r>
          </w:p>
        </w:tc>
        <w:tc>
          <w:tcPr>
            <w:tcW w:w="2410" w:type="pct"/>
            <w:vAlign w:val="center"/>
          </w:tcPr>
          <w:p w14:paraId="3716A69E">
            <w:pPr>
              <w:pStyle w:val="179"/>
              <w:rPr>
                <w:rFonts w:cs="Times New Roman"/>
              </w:rPr>
            </w:pPr>
            <w:r>
              <w:rPr>
                <w:rFonts w:cs="Times New Roman"/>
              </w:rPr>
              <w:t>苯并[b]荧蒽</w:t>
            </w:r>
          </w:p>
        </w:tc>
        <w:tc>
          <w:tcPr>
            <w:tcW w:w="611" w:type="pct"/>
            <w:vMerge w:val="continue"/>
            <w:vAlign w:val="center"/>
          </w:tcPr>
          <w:p w14:paraId="623746F4">
            <w:pPr>
              <w:pStyle w:val="179"/>
              <w:rPr>
                <w:rFonts w:cs="Times New Roman"/>
              </w:rPr>
            </w:pPr>
          </w:p>
        </w:tc>
        <w:tc>
          <w:tcPr>
            <w:tcW w:w="969" w:type="pct"/>
            <w:vAlign w:val="center"/>
          </w:tcPr>
          <w:p w14:paraId="1828C353">
            <w:pPr>
              <w:pStyle w:val="179"/>
              <w:rPr>
                <w:rFonts w:cs="Times New Roman"/>
              </w:rPr>
            </w:pPr>
            <w:r>
              <w:rPr>
                <w:rFonts w:cs="Times New Roman"/>
              </w:rPr>
              <w:t>mg/kg</w:t>
            </w:r>
          </w:p>
        </w:tc>
        <w:tc>
          <w:tcPr>
            <w:tcW w:w="618" w:type="pct"/>
            <w:vAlign w:val="center"/>
          </w:tcPr>
          <w:p w14:paraId="3E0A4E44">
            <w:pPr>
              <w:pStyle w:val="179"/>
              <w:rPr>
                <w:rFonts w:cs="Times New Roman"/>
              </w:rPr>
            </w:pPr>
            <w:r>
              <w:rPr>
                <w:rFonts w:cs="Times New Roman"/>
              </w:rPr>
              <w:t>15</w:t>
            </w:r>
          </w:p>
        </w:tc>
      </w:tr>
      <w:tr w14:paraId="110BF16D">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16" w:hRule="atLeast"/>
          <w:jc w:val="center"/>
        </w:trPr>
        <w:tc>
          <w:tcPr>
            <w:tcW w:w="391" w:type="pct"/>
            <w:vAlign w:val="center"/>
          </w:tcPr>
          <w:p w14:paraId="1398643B">
            <w:pPr>
              <w:pStyle w:val="179"/>
              <w:rPr>
                <w:rFonts w:cs="Times New Roman"/>
              </w:rPr>
            </w:pPr>
            <w:r>
              <w:rPr>
                <w:rFonts w:cs="Times New Roman"/>
              </w:rPr>
              <w:t>41</w:t>
            </w:r>
          </w:p>
        </w:tc>
        <w:tc>
          <w:tcPr>
            <w:tcW w:w="2410" w:type="pct"/>
            <w:vAlign w:val="center"/>
          </w:tcPr>
          <w:p w14:paraId="5749B962">
            <w:pPr>
              <w:pStyle w:val="179"/>
              <w:rPr>
                <w:rFonts w:cs="Times New Roman"/>
              </w:rPr>
            </w:pPr>
            <w:r>
              <w:rPr>
                <w:rFonts w:cs="Times New Roman"/>
              </w:rPr>
              <w:t>苯并[k]荧蒽</w:t>
            </w:r>
          </w:p>
        </w:tc>
        <w:tc>
          <w:tcPr>
            <w:tcW w:w="611" w:type="pct"/>
            <w:vMerge w:val="continue"/>
            <w:vAlign w:val="center"/>
          </w:tcPr>
          <w:p w14:paraId="271C295A">
            <w:pPr>
              <w:pStyle w:val="179"/>
              <w:rPr>
                <w:rFonts w:cs="Times New Roman"/>
              </w:rPr>
            </w:pPr>
          </w:p>
        </w:tc>
        <w:tc>
          <w:tcPr>
            <w:tcW w:w="969" w:type="pct"/>
            <w:vAlign w:val="center"/>
          </w:tcPr>
          <w:p w14:paraId="661E87D8">
            <w:pPr>
              <w:pStyle w:val="179"/>
              <w:rPr>
                <w:rFonts w:cs="Times New Roman"/>
              </w:rPr>
            </w:pPr>
            <w:r>
              <w:rPr>
                <w:rFonts w:cs="Times New Roman"/>
              </w:rPr>
              <w:t>mg/kg</w:t>
            </w:r>
          </w:p>
        </w:tc>
        <w:tc>
          <w:tcPr>
            <w:tcW w:w="618" w:type="pct"/>
            <w:vAlign w:val="center"/>
          </w:tcPr>
          <w:p w14:paraId="1671C151">
            <w:pPr>
              <w:pStyle w:val="179"/>
              <w:rPr>
                <w:rFonts w:cs="Times New Roman"/>
              </w:rPr>
            </w:pPr>
            <w:r>
              <w:rPr>
                <w:rFonts w:cs="Times New Roman"/>
              </w:rPr>
              <w:t>151</w:t>
            </w:r>
          </w:p>
        </w:tc>
      </w:tr>
      <w:tr w14:paraId="19C2F1F0">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16" w:hRule="atLeast"/>
          <w:jc w:val="center"/>
        </w:trPr>
        <w:tc>
          <w:tcPr>
            <w:tcW w:w="391" w:type="pct"/>
            <w:vAlign w:val="center"/>
          </w:tcPr>
          <w:p w14:paraId="77E301B3">
            <w:pPr>
              <w:pStyle w:val="179"/>
              <w:rPr>
                <w:rFonts w:cs="Times New Roman"/>
              </w:rPr>
            </w:pPr>
            <w:r>
              <w:rPr>
                <w:rFonts w:cs="Times New Roman"/>
              </w:rPr>
              <w:t>42</w:t>
            </w:r>
          </w:p>
        </w:tc>
        <w:tc>
          <w:tcPr>
            <w:tcW w:w="2410" w:type="pct"/>
            <w:vAlign w:val="center"/>
          </w:tcPr>
          <w:p w14:paraId="6C916E43">
            <w:pPr>
              <w:pStyle w:val="179"/>
              <w:rPr>
                <w:rFonts w:cs="Times New Roman"/>
              </w:rPr>
            </w:pPr>
            <w:r>
              <w:rPr>
                <w:rFonts w:cs="Times New Roman"/>
              </w:rPr>
              <w:t>䓛</w:t>
            </w:r>
          </w:p>
        </w:tc>
        <w:tc>
          <w:tcPr>
            <w:tcW w:w="611" w:type="pct"/>
            <w:vMerge w:val="continue"/>
            <w:vAlign w:val="center"/>
          </w:tcPr>
          <w:p w14:paraId="1AE27F29">
            <w:pPr>
              <w:pStyle w:val="179"/>
              <w:rPr>
                <w:rFonts w:cs="Times New Roman"/>
              </w:rPr>
            </w:pPr>
          </w:p>
        </w:tc>
        <w:tc>
          <w:tcPr>
            <w:tcW w:w="969" w:type="pct"/>
            <w:vAlign w:val="center"/>
          </w:tcPr>
          <w:p w14:paraId="3F4EFF82">
            <w:pPr>
              <w:pStyle w:val="179"/>
              <w:rPr>
                <w:rFonts w:cs="Times New Roman"/>
              </w:rPr>
            </w:pPr>
            <w:r>
              <w:rPr>
                <w:rFonts w:cs="Times New Roman"/>
              </w:rPr>
              <w:t>mg/kg</w:t>
            </w:r>
          </w:p>
        </w:tc>
        <w:tc>
          <w:tcPr>
            <w:tcW w:w="618" w:type="pct"/>
            <w:vAlign w:val="center"/>
          </w:tcPr>
          <w:p w14:paraId="6C52C145">
            <w:pPr>
              <w:pStyle w:val="179"/>
              <w:rPr>
                <w:rFonts w:cs="Times New Roman"/>
              </w:rPr>
            </w:pPr>
            <w:r>
              <w:rPr>
                <w:rFonts w:cs="Times New Roman"/>
              </w:rPr>
              <w:t>1293</w:t>
            </w:r>
          </w:p>
        </w:tc>
      </w:tr>
      <w:tr w14:paraId="64F27E04">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16" w:hRule="atLeast"/>
          <w:jc w:val="center"/>
        </w:trPr>
        <w:tc>
          <w:tcPr>
            <w:tcW w:w="391" w:type="pct"/>
            <w:vAlign w:val="center"/>
          </w:tcPr>
          <w:p w14:paraId="2B306F5D">
            <w:pPr>
              <w:pStyle w:val="179"/>
              <w:rPr>
                <w:rFonts w:cs="Times New Roman"/>
              </w:rPr>
            </w:pPr>
            <w:r>
              <w:rPr>
                <w:rFonts w:cs="Times New Roman"/>
              </w:rPr>
              <w:t>43</w:t>
            </w:r>
          </w:p>
        </w:tc>
        <w:tc>
          <w:tcPr>
            <w:tcW w:w="2410" w:type="pct"/>
            <w:vAlign w:val="center"/>
          </w:tcPr>
          <w:p w14:paraId="1791E012">
            <w:pPr>
              <w:pStyle w:val="179"/>
              <w:rPr>
                <w:rFonts w:cs="Times New Roman"/>
              </w:rPr>
            </w:pPr>
            <w:r>
              <w:rPr>
                <w:rFonts w:cs="Times New Roman"/>
              </w:rPr>
              <w:t>二苯并[a,h]蒽</w:t>
            </w:r>
          </w:p>
        </w:tc>
        <w:tc>
          <w:tcPr>
            <w:tcW w:w="611" w:type="pct"/>
            <w:vMerge w:val="continue"/>
            <w:vAlign w:val="center"/>
          </w:tcPr>
          <w:p w14:paraId="799EC5F8">
            <w:pPr>
              <w:pStyle w:val="179"/>
              <w:rPr>
                <w:rFonts w:cs="Times New Roman"/>
              </w:rPr>
            </w:pPr>
          </w:p>
        </w:tc>
        <w:tc>
          <w:tcPr>
            <w:tcW w:w="969" w:type="pct"/>
            <w:vAlign w:val="center"/>
          </w:tcPr>
          <w:p w14:paraId="4FB98F03">
            <w:pPr>
              <w:pStyle w:val="179"/>
              <w:rPr>
                <w:rFonts w:cs="Times New Roman"/>
              </w:rPr>
            </w:pPr>
            <w:r>
              <w:rPr>
                <w:rFonts w:cs="Times New Roman"/>
              </w:rPr>
              <w:t>mg/kg</w:t>
            </w:r>
          </w:p>
        </w:tc>
        <w:tc>
          <w:tcPr>
            <w:tcW w:w="618" w:type="pct"/>
            <w:vAlign w:val="center"/>
          </w:tcPr>
          <w:p w14:paraId="2BAABCCE">
            <w:pPr>
              <w:pStyle w:val="179"/>
              <w:rPr>
                <w:rFonts w:cs="Times New Roman"/>
              </w:rPr>
            </w:pPr>
            <w:r>
              <w:rPr>
                <w:rFonts w:cs="Times New Roman"/>
              </w:rPr>
              <w:t>1.5</w:t>
            </w:r>
          </w:p>
        </w:tc>
      </w:tr>
      <w:tr w14:paraId="2F1BDA8A">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16" w:hRule="atLeast"/>
          <w:jc w:val="center"/>
        </w:trPr>
        <w:tc>
          <w:tcPr>
            <w:tcW w:w="391" w:type="pct"/>
            <w:vAlign w:val="center"/>
          </w:tcPr>
          <w:p w14:paraId="09916672">
            <w:pPr>
              <w:pStyle w:val="179"/>
              <w:rPr>
                <w:rFonts w:cs="Times New Roman"/>
              </w:rPr>
            </w:pPr>
            <w:r>
              <w:rPr>
                <w:rFonts w:cs="Times New Roman"/>
              </w:rPr>
              <w:t>44</w:t>
            </w:r>
          </w:p>
        </w:tc>
        <w:tc>
          <w:tcPr>
            <w:tcW w:w="2410" w:type="pct"/>
            <w:vAlign w:val="center"/>
          </w:tcPr>
          <w:p w14:paraId="29C66F08">
            <w:pPr>
              <w:pStyle w:val="179"/>
              <w:rPr>
                <w:rFonts w:cs="Times New Roman"/>
              </w:rPr>
            </w:pPr>
            <w:r>
              <w:rPr>
                <w:rFonts w:cs="Times New Roman"/>
              </w:rPr>
              <w:t>茚并[1,2,3-cd]芘</w:t>
            </w:r>
          </w:p>
        </w:tc>
        <w:tc>
          <w:tcPr>
            <w:tcW w:w="611" w:type="pct"/>
            <w:vMerge w:val="continue"/>
            <w:vAlign w:val="center"/>
          </w:tcPr>
          <w:p w14:paraId="3D5D972B">
            <w:pPr>
              <w:pStyle w:val="179"/>
              <w:rPr>
                <w:rFonts w:cs="Times New Roman"/>
              </w:rPr>
            </w:pPr>
          </w:p>
        </w:tc>
        <w:tc>
          <w:tcPr>
            <w:tcW w:w="969" w:type="pct"/>
            <w:vAlign w:val="center"/>
          </w:tcPr>
          <w:p w14:paraId="6E377A17">
            <w:pPr>
              <w:pStyle w:val="179"/>
              <w:rPr>
                <w:rFonts w:cs="Times New Roman"/>
              </w:rPr>
            </w:pPr>
            <w:r>
              <w:rPr>
                <w:rFonts w:cs="Times New Roman"/>
              </w:rPr>
              <w:t>mg/kg</w:t>
            </w:r>
          </w:p>
        </w:tc>
        <w:tc>
          <w:tcPr>
            <w:tcW w:w="618" w:type="pct"/>
            <w:vAlign w:val="center"/>
          </w:tcPr>
          <w:p w14:paraId="71C6578C">
            <w:pPr>
              <w:pStyle w:val="179"/>
              <w:rPr>
                <w:rFonts w:cs="Times New Roman"/>
              </w:rPr>
            </w:pPr>
            <w:r>
              <w:rPr>
                <w:rFonts w:cs="Times New Roman"/>
              </w:rPr>
              <w:t>15</w:t>
            </w:r>
          </w:p>
        </w:tc>
      </w:tr>
      <w:tr w14:paraId="76F8A76C">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17" w:hRule="atLeast"/>
          <w:jc w:val="center"/>
        </w:trPr>
        <w:tc>
          <w:tcPr>
            <w:tcW w:w="391" w:type="pct"/>
            <w:vAlign w:val="center"/>
          </w:tcPr>
          <w:p w14:paraId="0E4D46E3">
            <w:pPr>
              <w:pStyle w:val="179"/>
              <w:rPr>
                <w:rFonts w:cs="Times New Roman"/>
              </w:rPr>
            </w:pPr>
            <w:r>
              <w:rPr>
                <w:rFonts w:cs="Times New Roman"/>
              </w:rPr>
              <w:t>45</w:t>
            </w:r>
          </w:p>
        </w:tc>
        <w:tc>
          <w:tcPr>
            <w:tcW w:w="2410" w:type="pct"/>
            <w:vAlign w:val="center"/>
          </w:tcPr>
          <w:p w14:paraId="565686D9">
            <w:pPr>
              <w:pStyle w:val="179"/>
              <w:rPr>
                <w:rFonts w:cs="Times New Roman"/>
              </w:rPr>
            </w:pPr>
            <w:r>
              <w:rPr>
                <w:rFonts w:cs="Times New Roman"/>
              </w:rPr>
              <w:t>萘</w:t>
            </w:r>
          </w:p>
        </w:tc>
        <w:tc>
          <w:tcPr>
            <w:tcW w:w="611" w:type="pct"/>
            <w:vMerge w:val="continue"/>
            <w:vAlign w:val="center"/>
          </w:tcPr>
          <w:p w14:paraId="4BE9C7A7">
            <w:pPr>
              <w:pStyle w:val="179"/>
              <w:rPr>
                <w:rFonts w:cs="Times New Roman"/>
              </w:rPr>
            </w:pPr>
          </w:p>
        </w:tc>
        <w:tc>
          <w:tcPr>
            <w:tcW w:w="969" w:type="pct"/>
            <w:vAlign w:val="center"/>
          </w:tcPr>
          <w:p w14:paraId="4BD011F3">
            <w:pPr>
              <w:pStyle w:val="179"/>
              <w:rPr>
                <w:rFonts w:cs="Times New Roman"/>
              </w:rPr>
            </w:pPr>
            <w:r>
              <w:rPr>
                <w:rFonts w:cs="Times New Roman"/>
              </w:rPr>
              <w:t>mg/kg</w:t>
            </w:r>
          </w:p>
        </w:tc>
        <w:tc>
          <w:tcPr>
            <w:tcW w:w="618" w:type="pct"/>
            <w:vAlign w:val="center"/>
          </w:tcPr>
          <w:p w14:paraId="6F74545E">
            <w:pPr>
              <w:pStyle w:val="179"/>
              <w:rPr>
                <w:rFonts w:cs="Times New Roman"/>
              </w:rPr>
            </w:pPr>
            <w:r>
              <w:rPr>
                <w:rFonts w:cs="Times New Roman"/>
              </w:rPr>
              <w:t>70</w:t>
            </w:r>
          </w:p>
        </w:tc>
      </w:tr>
      <w:tr w14:paraId="0F14BCFC">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21" w:hRule="atLeast"/>
          <w:jc w:val="center"/>
        </w:trPr>
        <w:tc>
          <w:tcPr>
            <w:tcW w:w="391" w:type="pct"/>
            <w:vAlign w:val="center"/>
          </w:tcPr>
          <w:p w14:paraId="77858D9B">
            <w:pPr>
              <w:pStyle w:val="179"/>
              <w:rPr>
                <w:rFonts w:cs="Times New Roman"/>
              </w:rPr>
            </w:pPr>
            <w:r>
              <w:rPr>
                <w:rFonts w:cs="Times New Roman"/>
              </w:rPr>
              <w:t>46</w:t>
            </w:r>
          </w:p>
        </w:tc>
        <w:tc>
          <w:tcPr>
            <w:tcW w:w="2410" w:type="pct"/>
            <w:vAlign w:val="center"/>
          </w:tcPr>
          <w:p w14:paraId="1F896199">
            <w:pPr>
              <w:pStyle w:val="179"/>
              <w:rPr>
                <w:rFonts w:cs="Times New Roman"/>
              </w:rPr>
            </w:pPr>
            <w:r>
              <w:rPr>
                <w:rFonts w:cs="Times New Roman"/>
              </w:rPr>
              <w:t>氰化物</w:t>
            </w:r>
          </w:p>
        </w:tc>
        <w:tc>
          <w:tcPr>
            <w:tcW w:w="611" w:type="pct"/>
            <w:vMerge w:val="continue"/>
            <w:vAlign w:val="center"/>
          </w:tcPr>
          <w:p w14:paraId="3644C5F0">
            <w:pPr>
              <w:pStyle w:val="179"/>
              <w:rPr>
                <w:rFonts w:cs="Times New Roman"/>
              </w:rPr>
            </w:pPr>
          </w:p>
        </w:tc>
        <w:tc>
          <w:tcPr>
            <w:tcW w:w="969" w:type="pct"/>
            <w:vAlign w:val="center"/>
          </w:tcPr>
          <w:p w14:paraId="1CE5722C">
            <w:pPr>
              <w:pStyle w:val="179"/>
              <w:rPr>
                <w:rFonts w:cs="Times New Roman"/>
              </w:rPr>
            </w:pPr>
            <w:r>
              <w:rPr>
                <w:rFonts w:cs="Times New Roman"/>
              </w:rPr>
              <w:t>mg/kg</w:t>
            </w:r>
          </w:p>
        </w:tc>
        <w:tc>
          <w:tcPr>
            <w:tcW w:w="618" w:type="pct"/>
            <w:vAlign w:val="center"/>
          </w:tcPr>
          <w:p w14:paraId="3E21004B">
            <w:pPr>
              <w:pStyle w:val="179"/>
              <w:rPr>
                <w:rFonts w:cs="Times New Roman"/>
              </w:rPr>
            </w:pPr>
            <w:r>
              <w:rPr>
                <w:rFonts w:cs="Times New Roman"/>
              </w:rPr>
              <w:t>135</w:t>
            </w:r>
          </w:p>
        </w:tc>
      </w:tr>
    </w:tbl>
    <w:p w14:paraId="18FB1391">
      <w:pPr>
        <w:pStyle w:val="4"/>
        <w:spacing w:before="180" w:after="120"/>
        <w:rPr>
          <w:rFonts w:hAnsi="Times New Roman" w:cs="Times New Roman"/>
        </w:rPr>
      </w:pPr>
      <w:r>
        <w:rPr>
          <w:rFonts w:hAnsi="Times New Roman" w:cs="Times New Roman"/>
        </w:rPr>
        <w:t>污染物排放标准</w:t>
      </w:r>
    </w:p>
    <w:p w14:paraId="540FDA2E">
      <w:pPr>
        <w:pStyle w:val="5"/>
        <w:spacing w:before="120" w:after="120"/>
      </w:pPr>
      <w:r>
        <w:t>废气</w:t>
      </w:r>
    </w:p>
    <w:p w14:paraId="0C662663">
      <w:pPr>
        <w:ind w:firstLine="480"/>
        <w:rPr>
          <w:rFonts w:hAnsi="Times New Roman" w:cs="Times New Roman"/>
        </w:rPr>
      </w:pPr>
      <w:r>
        <w:rPr>
          <w:rFonts w:hAnsi="Times New Roman" w:cs="Times New Roman"/>
        </w:rPr>
        <w:t>施工期</w:t>
      </w:r>
      <w:r>
        <w:rPr>
          <w:rFonts w:hint="eastAsia" w:hAnsi="Times New Roman" w:cs="Times New Roman"/>
        </w:rPr>
        <w:t>和</w:t>
      </w:r>
      <w:r>
        <w:rPr>
          <w:rFonts w:hAnsi="Times New Roman" w:cs="Times New Roman"/>
        </w:rPr>
        <w:t>营运期废气执行《大气污染物综合排放标准》（GB16297-1996）表2中无组织排放监控浓度限值，具体标准见表2.</w:t>
      </w:r>
      <w:r>
        <w:rPr>
          <w:rFonts w:hint="eastAsia" w:hAnsi="Times New Roman" w:cs="Times New Roman"/>
        </w:rPr>
        <w:t>4</w:t>
      </w:r>
      <w:r>
        <w:rPr>
          <w:rFonts w:hAnsi="Times New Roman" w:cs="Times New Roman"/>
        </w:rPr>
        <w:t>-</w:t>
      </w:r>
      <w:r>
        <w:rPr>
          <w:rFonts w:hint="eastAsia" w:hAnsi="Times New Roman" w:cs="Times New Roman"/>
        </w:rPr>
        <w:t>5</w:t>
      </w:r>
      <w:r>
        <w:rPr>
          <w:rFonts w:hAnsi="Times New Roman" w:cs="Times New Roman"/>
        </w:rPr>
        <w:t>。施工机械及运营期机械均选用符合《非道路移动机械用柴油机排气污染物排放限值及测量方法（中国第三、四阶段）》（GB 20891</w:t>
      </w:r>
      <w:r>
        <w:rPr>
          <w:rFonts w:hint="eastAsia" w:hAnsi="Times New Roman" w:cs="Times New Roman"/>
        </w:rPr>
        <w:t>-2</w:t>
      </w:r>
      <w:r>
        <w:rPr>
          <w:rFonts w:hAnsi="Times New Roman" w:cs="Times New Roman"/>
        </w:rPr>
        <w:t>014）第四阶段的设备。</w:t>
      </w:r>
    </w:p>
    <w:p w14:paraId="51A27F06">
      <w:pPr>
        <w:pStyle w:val="178"/>
      </w:pPr>
      <w:r>
        <w:t>表2.</w:t>
      </w:r>
      <w:r>
        <w:rPr>
          <w:rFonts w:hint="eastAsia"/>
        </w:rPr>
        <w:t>4</w:t>
      </w:r>
      <w:r>
        <w:t>-</w:t>
      </w:r>
      <w:r>
        <w:rPr>
          <w:rFonts w:hint="eastAsia"/>
        </w:rPr>
        <w:t>5</w:t>
      </w:r>
      <w:r>
        <w:t xml:space="preserve">  本项目大气污染物排放执行标准</w:t>
      </w:r>
    </w:p>
    <w:p w14:paraId="187739B9">
      <w:pPr>
        <w:topLinePunct/>
        <w:spacing w:line="135" w:lineRule="auto"/>
        <w:ind w:firstLine="40"/>
        <w:rPr>
          <w:rFonts w:hAnsi="Times New Roman" w:cs="Times New Roman"/>
          <w:sz w:val="2"/>
        </w:rPr>
      </w:pPr>
    </w:p>
    <w:tbl>
      <w:tblPr>
        <w:tblStyle w:val="36"/>
        <w:tblW w:w="8505" w:type="dxa"/>
        <w:jc w:val="center"/>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Layout w:type="autofit"/>
        <w:tblCellMar>
          <w:top w:w="0" w:type="dxa"/>
          <w:left w:w="57" w:type="dxa"/>
          <w:bottom w:w="0" w:type="dxa"/>
          <w:right w:w="57" w:type="dxa"/>
        </w:tblCellMar>
      </w:tblPr>
      <w:tblGrid>
        <w:gridCol w:w="947"/>
        <w:gridCol w:w="1710"/>
        <w:gridCol w:w="1199"/>
        <w:gridCol w:w="1859"/>
        <w:gridCol w:w="2790"/>
      </w:tblGrid>
      <w:tr w14:paraId="4CAC73A1">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82" w:hRule="atLeast"/>
          <w:tblHeader/>
          <w:jc w:val="center"/>
        </w:trPr>
        <w:tc>
          <w:tcPr>
            <w:tcW w:w="557" w:type="pct"/>
            <w:vAlign w:val="center"/>
          </w:tcPr>
          <w:p w14:paraId="665D166B">
            <w:pPr>
              <w:pStyle w:val="179"/>
              <w:rPr>
                <w:rFonts w:cs="Times New Roman"/>
                <w:b/>
              </w:rPr>
            </w:pPr>
            <w:r>
              <w:rPr>
                <w:rFonts w:cs="Times New Roman"/>
                <w:b/>
              </w:rPr>
              <w:t>时期</w:t>
            </w:r>
          </w:p>
        </w:tc>
        <w:tc>
          <w:tcPr>
            <w:tcW w:w="1005" w:type="pct"/>
            <w:vAlign w:val="center"/>
          </w:tcPr>
          <w:p w14:paraId="68F586E9">
            <w:pPr>
              <w:pStyle w:val="179"/>
              <w:rPr>
                <w:rFonts w:cs="Times New Roman"/>
                <w:b/>
              </w:rPr>
            </w:pPr>
            <w:r>
              <w:rPr>
                <w:rFonts w:cs="Times New Roman"/>
                <w:b/>
              </w:rPr>
              <w:t>污染物</w:t>
            </w:r>
          </w:p>
        </w:tc>
        <w:tc>
          <w:tcPr>
            <w:tcW w:w="705" w:type="pct"/>
            <w:vAlign w:val="center"/>
          </w:tcPr>
          <w:p w14:paraId="29367B7B">
            <w:pPr>
              <w:pStyle w:val="179"/>
              <w:rPr>
                <w:rFonts w:cs="Times New Roman"/>
                <w:b/>
              </w:rPr>
            </w:pPr>
            <w:r>
              <w:rPr>
                <w:rFonts w:cs="Times New Roman"/>
                <w:b/>
              </w:rPr>
              <w:t>监控点</w:t>
            </w:r>
          </w:p>
        </w:tc>
        <w:tc>
          <w:tcPr>
            <w:tcW w:w="1093" w:type="pct"/>
            <w:vAlign w:val="center"/>
          </w:tcPr>
          <w:p w14:paraId="09F47B9D">
            <w:pPr>
              <w:pStyle w:val="179"/>
              <w:rPr>
                <w:rFonts w:cs="Times New Roman"/>
                <w:b/>
              </w:rPr>
            </w:pPr>
            <w:r>
              <w:rPr>
                <w:rFonts w:cs="Times New Roman"/>
                <w:b/>
              </w:rPr>
              <w:t>无组织排放监控浓度限值（mg/m</w:t>
            </w:r>
            <w:r>
              <w:rPr>
                <w:rFonts w:cs="Times New Roman"/>
                <w:b/>
                <w:vertAlign w:val="superscript"/>
              </w:rPr>
              <w:t>3</w:t>
            </w:r>
            <w:r>
              <w:rPr>
                <w:rFonts w:cs="Times New Roman"/>
                <w:b/>
              </w:rPr>
              <w:t>）</w:t>
            </w:r>
          </w:p>
        </w:tc>
        <w:tc>
          <w:tcPr>
            <w:tcW w:w="1640" w:type="pct"/>
            <w:vAlign w:val="center"/>
          </w:tcPr>
          <w:p w14:paraId="5DFD4A36">
            <w:pPr>
              <w:pStyle w:val="179"/>
              <w:rPr>
                <w:rFonts w:cs="Times New Roman"/>
                <w:b/>
              </w:rPr>
            </w:pPr>
            <w:r>
              <w:rPr>
                <w:rFonts w:cs="Times New Roman"/>
                <w:b/>
              </w:rPr>
              <w:t>执行标准</w:t>
            </w:r>
          </w:p>
        </w:tc>
      </w:tr>
      <w:tr w14:paraId="6CA605B4">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97" w:hRule="atLeast"/>
          <w:jc w:val="center"/>
        </w:trPr>
        <w:tc>
          <w:tcPr>
            <w:tcW w:w="557" w:type="pct"/>
            <w:vAlign w:val="center"/>
          </w:tcPr>
          <w:p w14:paraId="2559A60D">
            <w:pPr>
              <w:pStyle w:val="179"/>
              <w:rPr>
                <w:rFonts w:cs="Times New Roman"/>
              </w:rPr>
            </w:pPr>
            <w:r>
              <w:rPr>
                <w:rFonts w:cs="Times New Roman"/>
              </w:rPr>
              <w:t>施工期、运营期</w:t>
            </w:r>
          </w:p>
        </w:tc>
        <w:tc>
          <w:tcPr>
            <w:tcW w:w="1005" w:type="pct"/>
            <w:vAlign w:val="center"/>
          </w:tcPr>
          <w:p w14:paraId="1C2100B2">
            <w:pPr>
              <w:pStyle w:val="179"/>
              <w:rPr>
                <w:rFonts w:cs="Times New Roman"/>
              </w:rPr>
            </w:pPr>
            <w:r>
              <w:rPr>
                <w:rFonts w:cs="Times New Roman"/>
              </w:rPr>
              <w:t>颗粒物</w:t>
            </w:r>
          </w:p>
        </w:tc>
        <w:tc>
          <w:tcPr>
            <w:tcW w:w="705" w:type="pct"/>
            <w:vAlign w:val="center"/>
          </w:tcPr>
          <w:p w14:paraId="08757E15">
            <w:pPr>
              <w:pStyle w:val="179"/>
              <w:rPr>
                <w:rFonts w:cs="Times New Roman"/>
              </w:rPr>
            </w:pPr>
            <w:r>
              <w:rPr>
                <w:rFonts w:cs="Times New Roman"/>
              </w:rPr>
              <w:t>周围外浓度最高点</w:t>
            </w:r>
          </w:p>
        </w:tc>
        <w:tc>
          <w:tcPr>
            <w:tcW w:w="1093" w:type="pct"/>
            <w:vAlign w:val="center"/>
          </w:tcPr>
          <w:p w14:paraId="74D32AA3">
            <w:pPr>
              <w:pStyle w:val="179"/>
              <w:rPr>
                <w:rFonts w:cs="Times New Roman"/>
              </w:rPr>
            </w:pPr>
            <w:r>
              <w:rPr>
                <w:rFonts w:cs="Times New Roman"/>
              </w:rPr>
              <w:t>1.0</w:t>
            </w:r>
          </w:p>
        </w:tc>
        <w:tc>
          <w:tcPr>
            <w:tcW w:w="1640" w:type="pct"/>
            <w:vAlign w:val="center"/>
          </w:tcPr>
          <w:p w14:paraId="706B9C4F">
            <w:pPr>
              <w:pStyle w:val="179"/>
              <w:rPr>
                <w:rFonts w:cs="Times New Roman"/>
              </w:rPr>
            </w:pPr>
            <w:r>
              <w:rPr>
                <w:rFonts w:cs="Times New Roman"/>
              </w:rPr>
              <w:t>《大气污染物综合排放标准》（GB16297-1996）表2</w:t>
            </w:r>
          </w:p>
        </w:tc>
      </w:tr>
    </w:tbl>
    <w:p w14:paraId="22404BD3">
      <w:pPr>
        <w:pStyle w:val="178"/>
      </w:pPr>
      <w:r>
        <w:t>表2.</w:t>
      </w:r>
      <w:r>
        <w:rPr>
          <w:rFonts w:hint="eastAsia"/>
        </w:rPr>
        <w:t>4</w:t>
      </w:r>
      <w:r>
        <w:t>-</w:t>
      </w:r>
      <w:r>
        <w:rPr>
          <w:rFonts w:hint="eastAsia"/>
        </w:rPr>
        <w:t>6</w:t>
      </w:r>
      <w:r>
        <w:t xml:space="preserve">  </w:t>
      </w:r>
      <w:r>
        <w:rPr>
          <w:rFonts w:hint="eastAsia"/>
        </w:rPr>
        <w:t>非道路移动机械用柴油机排气污染物排放限值</w:t>
      </w:r>
    </w:p>
    <w:tbl>
      <w:tblPr>
        <w:tblStyle w:val="37"/>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
      <w:tblGrid>
        <w:gridCol w:w="623"/>
        <w:gridCol w:w="1702"/>
        <w:gridCol w:w="1220"/>
        <w:gridCol w:w="1220"/>
        <w:gridCol w:w="1221"/>
        <w:gridCol w:w="1220"/>
        <w:gridCol w:w="1221"/>
      </w:tblGrid>
      <w:tr w14:paraId="2F84F9D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623" w:type="dxa"/>
            <w:vAlign w:val="center"/>
          </w:tcPr>
          <w:p w14:paraId="4CEC0347">
            <w:pPr>
              <w:pStyle w:val="179"/>
              <w:widowControl w:val="0"/>
              <w:rPr>
                <w:b/>
              </w:rPr>
            </w:pPr>
            <w:r>
              <w:rPr>
                <w:rFonts w:hint="eastAsia"/>
                <w:b/>
              </w:rPr>
              <w:t>阶段</w:t>
            </w:r>
          </w:p>
        </w:tc>
        <w:tc>
          <w:tcPr>
            <w:tcW w:w="1702" w:type="dxa"/>
            <w:vAlign w:val="center"/>
          </w:tcPr>
          <w:p w14:paraId="7A1B5198">
            <w:pPr>
              <w:pStyle w:val="179"/>
              <w:widowControl w:val="0"/>
              <w:rPr>
                <w:b/>
              </w:rPr>
            </w:pPr>
            <w:r>
              <w:rPr>
                <w:rFonts w:hint="eastAsia"/>
                <w:b/>
              </w:rPr>
              <w:t>额定净功率（</w:t>
            </w:r>
            <w:r>
              <w:rPr>
                <w:b/>
              </w:rPr>
              <w:t>P</w:t>
            </w:r>
            <w:r>
              <w:rPr>
                <w:b/>
                <w:vertAlign w:val="subscript"/>
              </w:rPr>
              <w:t>max</w:t>
            </w:r>
            <w:r>
              <w:rPr>
                <w:rFonts w:hint="eastAsia"/>
                <w:b/>
              </w:rPr>
              <w:t>）（</w:t>
            </w:r>
            <w:r>
              <w:rPr>
                <w:b/>
              </w:rPr>
              <w:t>kW</w:t>
            </w:r>
            <w:r>
              <w:rPr>
                <w:rFonts w:hint="eastAsia"/>
                <w:b/>
              </w:rPr>
              <w:t>）</w:t>
            </w:r>
          </w:p>
        </w:tc>
        <w:tc>
          <w:tcPr>
            <w:tcW w:w="1220" w:type="dxa"/>
            <w:vAlign w:val="center"/>
          </w:tcPr>
          <w:p w14:paraId="46C9AF0D">
            <w:pPr>
              <w:pStyle w:val="179"/>
              <w:widowControl w:val="0"/>
              <w:rPr>
                <w:b/>
              </w:rPr>
            </w:pPr>
            <w:r>
              <w:rPr>
                <w:b/>
              </w:rPr>
              <w:t>CO</w:t>
            </w:r>
            <w:r>
              <w:rPr>
                <w:rFonts w:hint="eastAsia"/>
                <w:b/>
              </w:rPr>
              <w:t>（</w:t>
            </w:r>
            <w:r>
              <w:rPr>
                <w:b/>
              </w:rPr>
              <w:t>g/kWh</w:t>
            </w:r>
            <w:r>
              <w:rPr>
                <w:rFonts w:hint="eastAsia"/>
                <w:b/>
              </w:rPr>
              <w:t>）</w:t>
            </w:r>
          </w:p>
        </w:tc>
        <w:tc>
          <w:tcPr>
            <w:tcW w:w="1220" w:type="dxa"/>
            <w:vAlign w:val="center"/>
          </w:tcPr>
          <w:p w14:paraId="237AF7F0">
            <w:pPr>
              <w:pStyle w:val="179"/>
              <w:widowControl w:val="0"/>
              <w:rPr>
                <w:b/>
              </w:rPr>
            </w:pPr>
            <w:r>
              <w:rPr>
                <w:b/>
              </w:rPr>
              <w:t>HC</w:t>
            </w:r>
            <w:r>
              <w:rPr>
                <w:rFonts w:hint="eastAsia"/>
                <w:b/>
              </w:rPr>
              <w:t>（</w:t>
            </w:r>
            <w:r>
              <w:rPr>
                <w:b/>
              </w:rPr>
              <w:t>g/kWh</w:t>
            </w:r>
            <w:r>
              <w:rPr>
                <w:rFonts w:hint="eastAsia"/>
                <w:b/>
              </w:rPr>
              <w:t>）</w:t>
            </w:r>
          </w:p>
        </w:tc>
        <w:tc>
          <w:tcPr>
            <w:tcW w:w="1221" w:type="dxa"/>
            <w:vAlign w:val="center"/>
          </w:tcPr>
          <w:p w14:paraId="20DD7C62">
            <w:pPr>
              <w:pStyle w:val="179"/>
              <w:widowControl w:val="0"/>
              <w:rPr>
                <w:b/>
              </w:rPr>
            </w:pPr>
            <w:r>
              <w:rPr>
                <w:b/>
              </w:rPr>
              <w:t>NO</w:t>
            </w:r>
            <w:r>
              <w:rPr>
                <w:b/>
                <w:vertAlign w:val="subscript"/>
              </w:rPr>
              <w:t>x</w:t>
            </w:r>
            <w:r>
              <w:rPr>
                <w:rFonts w:hint="eastAsia"/>
                <w:b/>
              </w:rPr>
              <w:t>（</w:t>
            </w:r>
            <w:r>
              <w:rPr>
                <w:b/>
              </w:rPr>
              <w:t>g/kWh</w:t>
            </w:r>
            <w:r>
              <w:rPr>
                <w:rFonts w:hint="eastAsia"/>
                <w:b/>
              </w:rPr>
              <w:t>）</w:t>
            </w:r>
          </w:p>
        </w:tc>
        <w:tc>
          <w:tcPr>
            <w:tcW w:w="1220" w:type="dxa"/>
            <w:vAlign w:val="center"/>
          </w:tcPr>
          <w:p w14:paraId="35099299">
            <w:pPr>
              <w:pStyle w:val="179"/>
              <w:widowControl w:val="0"/>
              <w:rPr>
                <w:b/>
              </w:rPr>
            </w:pPr>
            <w:r>
              <w:rPr>
                <w:b/>
              </w:rPr>
              <w:t>HC+ NO</w:t>
            </w:r>
            <w:r>
              <w:rPr>
                <w:b/>
                <w:vertAlign w:val="subscript"/>
              </w:rPr>
              <w:t>x</w:t>
            </w:r>
            <w:r>
              <w:rPr>
                <w:rFonts w:hint="eastAsia"/>
                <w:b/>
              </w:rPr>
              <w:t>（</w:t>
            </w:r>
            <w:r>
              <w:rPr>
                <w:b/>
              </w:rPr>
              <w:t>g/kWh</w:t>
            </w:r>
            <w:r>
              <w:rPr>
                <w:rFonts w:hint="eastAsia"/>
                <w:b/>
              </w:rPr>
              <w:t>）</w:t>
            </w:r>
          </w:p>
        </w:tc>
        <w:tc>
          <w:tcPr>
            <w:tcW w:w="1221" w:type="dxa"/>
            <w:vAlign w:val="center"/>
          </w:tcPr>
          <w:p w14:paraId="2FF673B8">
            <w:pPr>
              <w:pStyle w:val="179"/>
              <w:widowControl w:val="0"/>
              <w:rPr>
                <w:b/>
              </w:rPr>
            </w:pPr>
            <w:r>
              <w:rPr>
                <w:b/>
              </w:rPr>
              <w:t>PM</w:t>
            </w:r>
            <w:r>
              <w:rPr>
                <w:rFonts w:hint="eastAsia"/>
                <w:b/>
              </w:rPr>
              <w:t>（</w:t>
            </w:r>
            <w:r>
              <w:rPr>
                <w:b/>
              </w:rPr>
              <w:t>g/kWh</w:t>
            </w:r>
            <w:r>
              <w:rPr>
                <w:rFonts w:hint="eastAsia"/>
                <w:b/>
              </w:rPr>
              <w:t>）</w:t>
            </w:r>
          </w:p>
        </w:tc>
      </w:tr>
      <w:tr w14:paraId="758A9D2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623" w:type="dxa"/>
            <w:vMerge w:val="restart"/>
            <w:vAlign w:val="center"/>
          </w:tcPr>
          <w:p w14:paraId="6CED04E4">
            <w:pPr>
              <w:pStyle w:val="179"/>
              <w:widowControl w:val="0"/>
            </w:pPr>
            <w:r>
              <w:rPr>
                <w:rFonts w:hint="eastAsia"/>
              </w:rPr>
              <w:t>第四阶段</w:t>
            </w:r>
          </w:p>
        </w:tc>
        <w:tc>
          <w:tcPr>
            <w:tcW w:w="1702" w:type="dxa"/>
            <w:vAlign w:val="center"/>
          </w:tcPr>
          <w:p w14:paraId="58D92F59">
            <w:pPr>
              <w:pStyle w:val="179"/>
              <w:widowControl w:val="0"/>
            </w:pPr>
            <w:r>
              <w:t>P</w:t>
            </w:r>
            <w:r>
              <w:rPr>
                <w:vertAlign w:val="subscript"/>
              </w:rPr>
              <w:t>max</w:t>
            </w:r>
            <w:r>
              <w:rPr>
                <w:rFonts w:hint="eastAsia"/>
              </w:rPr>
              <w:t>＞</w:t>
            </w:r>
            <w:r>
              <w:t>560</w:t>
            </w:r>
          </w:p>
        </w:tc>
        <w:tc>
          <w:tcPr>
            <w:tcW w:w="1220" w:type="dxa"/>
            <w:vAlign w:val="center"/>
          </w:tcPr>
          <w:p w14:paraId="5644806A">
            <w:pPr>
              <w:pStyle w:val="179"/>
              <w:widowControl w:val="0"/>
            </w:pPr>
            <w:r>
              <w:t>3.5</w:t>
            </w:r>
          </w:p>
        </w:tc>
        <w:tc>
          <w:tcPr>
            <w:tcW w:w="1220" w:type="dxa"/>
            <w:vAlign w:val="center"/>
          </w:tcPr>
          <w:p w14:paraId="56DADDCE">
            <w:pPr>
              <w:pStyle w:val="179"/>
              <w:widowControl w:val="0"/>
            </w:pPr>
            <w:r>
              <w:t>0.40</w:t>
            </w:r>
          </w:p>
        </w:tc>
        <w:tc>
          <w:tcPr>
            <w:tcW w:w="1221" w:type="dxa"/>
            <w:vAlign w:val="center"/>
          </w:tcPr>
          <w:p w14:paraId="031CFDE9">
            <w:pPr>
              <w:pStyle w:val="179"/>
              <w:widowControl w:val="0"/>
            </w:pPr>
            <w:r>
              <w:t>3.5</w:t>
            </w:r>
            <w:r>
              <w:rPr>
                <w:rFonts w:hint="eastAsia"/>
              </w:rPr>
              <w:t>，</w:t>
            </w:r>
            <w:r>
              <w:t>0.67</w:t>
            </w:r>
            <w:r>
              <w:rPr>
                <w:rFonts w:hint="eastAsia"/>
                <w:vertAlign w:val="superscript"/>
              </w:rPr>
              <w:t>（</w:t>
            </w:r>
            <w:r>
              <w:rPr>
                <w:vertAlign w:val="superscript"/>
              </w:rPr>
              <w:t>1</w:t>
            </w:r>
            <w:r>
              <w:rPr>
                <w:rFonts w:hint="eastAsia"/>
                <w:vertAlign w:val="superscript"/>
              </w:rPr>
              <w:t>）</w:t>
            </w:r>
          </w:p>
        </w:tc>
        <w:tc>
          <w:tcPr>
            <w:tcW w:w="1220" w:type="dxa"/>
            <w:vAlign w:val="center"/>
          </w:tcPr>
          <w:p w14:paraId="1BB53444">
            <w:pPr>
              <w:pStyle w:val="179"/>
              <w:widowControl w:val="0"/>
            </w:pPr>
            <w:r>
              <w:rPr>
                <w:rFonts w:hint="eastAsia"/>
              </w:rPr>
              <w:t>—</w:t>
            </w:r>
          </w:p>
        </w:tc>
        <w:tc>
          <w:tcPr>
            <w:tcW w:w="1221" w:type="dxa"/>
            <w:vAlign w:val="center"/>
          </w:tcPr>
          <w:p w14:paraId="247BEFDB">
            <w:pPr>
              <w:pStyle w:val="179"/>
              <w:widowControl w:val="0"/>
            </w:pPr>
            <w:r>
              <w:t>0.10</w:t>
            </w:r>
          </w:p>
        </w:tc>
      </w:tr>
      <w:tr w14:paraId="24117EB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623" w:type="dxa"/>
            <w:vMerge w:val="continue"/>
            <w:vAlign w:val="center"/>
          </w:tcPr>
          <w:p w14:paraId="34721EDA">
            <w:pPr>
              <w:pStyle w:val="179"/>
              <w:widowControl w:val="0"/>
            </w:pPr>
          </w:p>
        </w:tc>
        <w:tc>
          <w:tcPr>
            <w:tcW w:w="1702" w:type="dxa"/>
            <w:vAlign w:val="center"/>
          </w:tcPr>
          <w:p w14:paraId="39C0DED7">
            <w:pPr>
              <w:pStyle w:val="179"/>
              <w:widowControl w:val="0"/>
            </w:pPr>
            <w:r>
              <w:t>130</w:t>
            </w:r>
            <w:r>
              <w:rPr>
                <w:rFonts w:hint="eastAsia"/>
              </w:rPr>
              <w:t>≤</w:t>
            </w:r>
            <w:r>
              <w:t>P</w:t>
            </w:r>
            <w:r>
              <w:rPr>
                <w:vertAlign w:val="subscript"/>
              </w:rPr>
              <w:t>max</w:t>
            </w:r>
            <w:r>
              <w:rPr>
                <w:rFonts w:hint="eastAsia"/>
              </w:rPr>
              <w:t>≤</w:t>
            </w:r>
            <w:r>
              <w:t>560</w:t>
            </w:r>
          </w:p>
        </w:tc>
        <w:tc>
          <w:tcPr>
            <w:tcW w:w="1220" w:type="dxa"/>
            <w:vAlign w:val="center"/>
          </w:tcPr>
          <w:p w14:paraId="15C630F9">
            <w:pPr>
              <w:pStyle w:val="179"/>
              <w:widowControl w:val="0"/>
            </w:pPr>
            <w:r>
              <w:t>3.5</w:t>
            </w:r>
          </w:p>
        </w:tc>
        <w:tc>
          <w:tcPr>
            <w:tcW w:w="1220" w:type="dxa"/>
            <w:vAlign w:val="center"/>
          </w:tcPr>
          <w:p w14:paraId="05D5E466">
            <w:pPr>
              <w:pStyle w:val="179"/>
              <w:widowControl w:val="0"/>
            </w:pPr>
            <w:r>
              <w:t>0.19</w:t>
            </w:r>
          </w:p>
        </w:tc>
        <w:tc>
          <w:tcPr>
            <w:tcW w:w="1221" w:type="dxa"/>
            <w:vAlign w:val="center"/>
          </w:tcPr>
          <w:p w14:paraId="6CF1F774">
            <w:pPr>
              <w:pStyle w:val="179"/>
              <w:widowControl w:val="0"/>
            </w:pPr>
            <w:r>
              <w:t>2.0</w:t>
            </w:r>
          </w:p>
        </w:tc>
        <w:tc>
          <w:tcPr>
            <w:tcW w:w="1220" w:type="dxa"/>
            <w:vAlign w:val="center"/>
          </w:tcPr>
          <w:p w14:paraId="4B125B37">
            <w:pPr>
              <w:pStyle w:val="179"/>
              <w:widowControl w:val="0"/>
            </w:pPr>
            <w:r>
              <w:rPr>
                <w:rFonts w:hint="eastAsia"/>
              </w:rPr>
              <w:t>—</w:t>
            </w:r>
          </w:p>
        </w:tc>
        <w:tc>
          <w:tcPr>
            <w:tcW w:w="1221" w:type="dxa"/>
            <w:vAlign w:val="center"/>
          </w:tcPr>
          <w:p w14:paraId="340E7266">
            <w:pPr>
              <w:pStyle w:val="179"/>
              <w:widowControl w:val="0"/>
            </w:pPr>
            <w:r>
              <w:t>0.025</w:t>
            </w:r>
          </w:p>
        </w:tc>
      </w:tr>
      <w:tr w14:paraId="1DCBDA2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623" w:type="dxa"/>
            <w:vMerge w:val="continue"/>
            <w:vAlign w:val="center"/>
          </w:tcPr>
          <w:p w14:paraId="3005F70E">
            <w:pPr>
              <w:pStyle w:val="179"/>
              <w:widowControl w:val="0"/>
            </w:pPr>
          </w:p>
        </w:tc>
        <w:tc>
          <w:tcPr>
            <w:tcW w:w="1702" w:type="dxa"/>
            <w:vAlign w:val="center"/>
          </w:tcPr>
          <w:p w14:paraId="6C862E72">
            <w:pPr>
              <w:pStyle w:val="179"/>
              <w:widowControl w:val="0"/>
            </w:pPr>
            <w:r>
              <w:t>75</w:t>
            </w:r>
            <w:r>
              <w:rPr>
                <w:rFonts w:hint="eastAsia"/>
              </w:rPr>
              <w:t>≤</w:t>
            </w:r>
            <w:r>
              <w:t>P</w:t>
            </w:r>
            <w:r>
              <w:rPr>
                <w:vertAlign w:val="subscript"/>
              </w:rPr>
              <w:t>max</w:t>
            </w:r>
            <w:r>
              <w:rPr>
                <w:rFonts w:hint="eastAsia"/>
              </w:rPr>
              <w:t>＜</w:t>
            </w:r>
            <w:r>
              <w:t>130</w:t>
            </w:r>
          </w:p>
        </w:tc>
        <w:tc>
          <w:tcPr>
            <w:tcW w:w="1220" w:type="dxa"/>
            <w:vAlign w:val="center"/>
          </w:tcPr>
          <w:p w14:paraId="02E184A7">
            <w:pPr>
              <w:pStyle w:val="179"/>
              <w:widowControl w:val="0"/>
            </w:pPr>
            <w:r>
              <w:t>5.0</w:t>
            </w:r>
          </w:p>
        </w:tc>
        <w:tc>
          <w:tcPr>
            <w:tcW w:w="1220" w:type="dxa"/>
            <w:vAlign w:val="center"/>
          </w:tcPr>
          <w:p w14:paraId="7A2E478B">
            <w:pPr>
              <w:pStyle w:val="179"/>
              <w:widowControl w:val="0"/>
            </w:pPr>
            <w:r>
              <w:t>0.19</w:t>
            </w:r>
          </w:p>
        </w:tc>
        <w:tc>
          <w:tcPr>
            <w:tcW w:w="1221" w:type="dxa"/>
            <w:vAlign w:val="center"/>
          </w:tcPr>
          <w:p w14:paraId="1B88028F">
            <w:pPr>
              <w:pStyle w:val="179"/>
              <w:widowControl w:val="0"/>
            </w:pPr>
            <w:r>
              <w:t>3.3</w:t>
            </w:r>
          </w:p>
        </w:tc>
        <w:tc>
          <w:tcPr>
            <w:tcW w:w="1220" w:type="dxa"/>
            <w:vAlign w:val="center"/>
          </w:tcPr>
          <w:p w14:paraId="6DDA58F0">
            <w:pPr>
              <w:pStyle w:val="179"/>
              <w:widowControl w:val="0"/>
            </w:pPr>
            <w:r>
              <w:rPr>
                <w:rFonts w:hint="eastAsia"/>
              </w:rPr>
              <w:t>—</w:t>
            </w:r>
          </w:p>
        </w:tc>
        <w:tc>
          <w:tcPr>
            <w:tcW w:w="1221" w:type="dxa"/>
            <w:vAlign w:val="center"/>
          </w:tcPr>
          <w:p w14:paraId="1529BDCB">
            <w:pPr>
              <w:pStyle w:val="179"/>
              <w:widowControl w:val="0"/>
            </w:pPr>
            <w:r>
              <w:t>0.025</w:t>
            </w:r>
          </w:p>
        </w:tc>
      </w:tr>
      <w:tr w14:paraId="20C909E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623" w:type="dxa"/>
            <w:vMerge w:val="continue"/>
            <w:vAlign w:val="center"/>
          </w:tcPr>
          <w:p w14:paraId="22809B88">
            <w:pPr>
              <w:pStyle w:val="179"/>
              <w:widowControl w:val="0"/>
            </w:pPr>
          </w:p>
        </w:tc>
        <w:tc>
          <w:tcPr>
            <w:tcW w:w="1702" w:type="dxa"/>
            <w:vAlign w:val="center"/>
          </w:tcPr>
          <w:p w14:paraId="1E84F576">
            <w:pPr>
              <w:pStyle w:val="179"/>
              <w:widowControl w:val="0"/>
            </w:pPr>
            <w:r>
              <w:t>56</w:t>
            </w:r>
            <w:r>
              <w:rPr>
                <w:rFonts w:hint="eastAsia"/>
              </w:rPr>
              <w:t>≤</w:t>
            </w:r>
            <w:r>
              <w:t>P</w:t>
            </w:r>
            <w:r>
              <w:rPr>
                <w:vertAlign w:val="subscript"/>
              </w:rPr>
              <w:t>max</w:t>
            </w:r>
            <w:r>
              <w:rPr>
                <w:rFonts w:hint="eastAsia"/>
              </w:rPr>
              <w:t>＜</w:t>
            </w:r>
            <w:r>
              <w:t>75</w:t>
            </w:r>
          </w:p>
        </w:tc>
        <w:tc>
          <w:tcPr>
            <w:tcW w:w="1220" w:type="dxa"/>
            <w:vAlign w:val="center"/>
          </w:tcPr>
          <w:p w14:paraId="3C8D64ED">
            <w:pPr>
              <w:pStyle w:val="179"/>
              <w:widowControl w:val="0"/>
            </w:pPr>
            <w:r>
              <w:t>5.0</w:t>
            </w:r>
          </w:p>
        </w:tc>
        <w:tc>
          <w:tcPr>
            <w:tcW w:w="1220" w:type="dxa"/>
            <w:vAlign w:val="center"/>
          </w:tcPr>
          <w:p w14:paraId="00FCF5BE">
            <w:pPr>
              <w:pStyle w:val="179"/>
              <w:widowControl w:val="0"/>
            </w:pPr>
            <w:r>
              <w:t>0.19</w:t>
            </w:r>
          </w:p>
        </w:tc>
        <w:tc>
          <w:tcPr>
            <w:tcW w:w="1221" w:type="dxa"/>
            <w:vAlign w:val="center"/>
          </w:tcPr>
          <w:p w14:paraId="777411B9">
            <w:pPr>
              <w:pStyle w:val="179"/>
              <w:widowControl w:val="0"/>
            </w:pPr>
            <w:r>
              <w:t>3.3</w:t>
            </w:r>
          </w:p>
        </w:tc>
        <w:tc>
          <w:tcPr>
            <w:tcW w:w="1220" w:type="dxa"/>
            <w:vAlign w:val="center"/>
          </w:tcPr>
          <w:p w14:paraId="65B93EF3">
            <w:pPr>
              <w:pStyle w:val="179"/>
              <w:widowControl w:val="0"/>
            </w:pPr>
            <w:r>
              <w:rPr>
                <w:rFonts w:hint="eastAsia"/>
              </w:rPr>
              <w:t>—</w:t>
            </w:r>
          </w:p>
        </w:tc>
        <w:tc>
          <w:tcPr>
            <w:tcW w:w="1221" w:type="dxa"/>
            <w:vAlign w:val="center"/>
          </w:tcPr>
          <w:p w14:paraId="29FD3567">
            <w:pPr>
              <w:pStyle w:val="179"/>
              <w:widowControl w:val="0"/>
            </w:pPr>
            <w:r>
              <w:t>0.025</w:t>
            </w:r>
          </w:p>
        </w:tc>
      </w:tr>
      <w:tr w14:paraId="4F2592D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623" w:type="dxa"/>
            <w:vMerge w:val="continue"/>
            <w:vAlign w:val="center"/>
          </w:tcPr>
          <w:p w14:paraId="4DC703AB">
            <w:pPr>
              <w:pStyle w:val="179"/>
              <w:widowControl w:val="0"/>
            </w:pPr>
          </w:p>
        </w:tc>
        <w:tc>
          <w:tcPr>
            <w:tcW w:w="1702" w:type="dxa"/>
            <w:vAlign w:val="center"/>
          </w:tcPr>
          <w:p w14:paraId="7DE77853">
            <w:pPr>
              <w:pStyle w:val="179"/>
              <w:widowControl w:val="0"/>
            </w:pPr>
            <w:r>
              <w:t>37</w:t>
            </w:r>
            <w:r>
              <w:rPr>
                <w:rFonts w:hint="eastAsia"/>
              </w:rPr>
              <w:t>≤</w:t>
            </w:r>
            <w:r>
              <w:t>P</w:t>
            </w:r>
            <w:r>
              <w:rPr>
                <w:vertAlign w:val="subscript"/>
              </w:rPr>
              <w:t>max</w:t>
            </w:r>
            <w:r>
              <w:rPr>
                <w:rFonts w:hint="eastAsia"/>
              </w:rPr>
              <w:t>＜</w:t>
            </w:r>
            <w:r>
              <w:t>56</w:t>
            </w:r>
          </w:p>
        </w:tc>
        <w:tc>
          <w:tcPr>
            <w:tcW w:w="1220" w:type="dxa"/>
            <w:vAlign w:val="center"/>
          </w:tcPr>
          <w:p w14:paraId="1B0D11E9">
            <w:pPr>
              <w:pStyle w:val="179"/>
              <w:widowControl w:val="0"/>
            </w:pPr>
            <w:r>
              <w:t>5.0</w:t>
            </w:r>
          </w:p>
        </w:tc>
        <w:tc>
          <w:tcPr>
            <w:tcW w:w="1220" w:type="dxa"/>
            <w:vAlign w:val="center"/>
          </w:tcPr>
          <w:p w14:paraId="3343BD8D">
            <w:pPr>
              <w:pStyle w:val="179"/>
              <w:widowControl w:val="0"/>
            </w:pPr>
            <w:r>
              <w:rPr>
                <w:rFonts w:hint="eastAsia"/>
              </w:rPr>
              <w:t>—</w:t>
            </w:r>
          </w:p>
        </w:tc>
        <w:tc>
          <w:tcPr>
            <w:tcW w:w="1221" w:type="dxa"/>
            <w:vAlign w:val="center"/>
          </w:tcPr>
          <w:p w14:paraId="1A6FD454">
            <w:pPr>
              <w:pStyle w:val="179"/>
              <w:widowControl w:val="0"/>
            </w:pPr>
            <w:r>
              <w:rPr>
                <w:rFonts w:hint="eastAsia"/>
              </w:rPr>
              <w:t>—</w:t>
            </w:r>
          </w:p>
        </w:tc>
        <w:tc>
          <w:tcPr>
            <w:tcW w:w="1220" w:type="dxa"/>
            <w:vAlign w:val="center"/>
          </w:tcPr>
          <w:p w14:paraId="140C7B53">
            <w:pPr>
              <w:pStyle w:val="179"/>
              <w:widowControl w:val="0"/>
            </w:pPr>
            <w:r>
              <w:t>4.7</w:t>
            </w:r>
          </w:p>
        </w:tc>
        <w:tc>
          <w:tcPr>
            <w:tcW w:w="1221" w:type="dxa"/>
            <w:vAlign w:val="center"/>
          </w:tcPr>
          <w:p w14:paraId="63B59BE6">
            <w:pPr>
              <w:pStyle w:val="179"/>
              <w:widowControl w:val="0"/>
            </w:pPr>
            <w:r>
              <w:t>0.025</w:t>
            </w:r>
          </w:p>
        </w:tc>
      </w:tr>
      <w:tr w14:paraId="4472B0F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623" w:type="dxa"/>
            <w:vMerge w:val="continue"/>
            <w:vAlign w:val="center"/>
          </w:tcPr>
          <w:p w14:paraId="47ED3A69">
            <w:pPr>
              <w:pStyle w:val="179"/>
              <w:widowControl w:val="0"/>
            </w:pPr>
          </w:p>
        </w:tc>
        <w:tc>
          <w:tcPr>
            <w:tcW w:w="1702" w:type="dxa"/>
            <w:vAlign w:val="center"/>
          </w:tcPr>
          <w:p w14:paraId="1261B527">
            <w:pPr>
              <w:pStyle w:val="179"/>
              <w:widowControl w:val="0"/>
            </w:pPr>
            <w:r>
              <w:t>P</w:t>
            </w:r>
            <w:r>
              <w:rPr>
                <w:vertAlign w:val="subscript"/>
              </w:rPr>
              <w:t>max</w:t>
            </w:r>
            <w:r>
              <w:rPr>
                <w:rFonts w:hint="eastAsia"/>
              </w:rPr>
              <w:t>＜</w:t>
            </w:r>
            <w:r>
              <w:t>37</w:t>
            </w:r>
          </w:p>
        </w:tc>
        <w:tc>
          <w:tcPr>
            <w:tcW w:w="1220" w:type="dxa"/>
            <w:vAlign w:val="center"/>
          </w:tcPr>
          <w:p w14:paraId="2CD473CE">
            <w:pPr>
              <w:pStyle w:val="179"/>
              <w:widowControl w:val="0"/>
            </w:pPr>
            <w:r>
              <w:t>5.5</w:t>
            </w:r>
          </w:p>
        </w:tc>
        <w:tc>
          <w:tcPr>
            <w:tcW w:w="1220" w:type="dxa"/>
            <w:vAlign w:val="center"/>
          </w:tcPr>
          <w:p w14:paraId="07F8F0E3">
            <w:pPr>
              <w:pStyle w:val="179"/>
              <w:widowControl w:val="0"/>
            </w:pPr>
            <w:r>
              <w:rPr>
                <w:rFonts w:hint="eastAsia"/>
              </w:rPr>
              <w:t>—</w:t>
            </w:r>
          </w:p>
        </w:tc>
        <w:tc>
          <w:tcPr>
            <w:tcW w:w="1221" w:type="dxa"/>
            <w:vAlign w:val="center"/>
          </w:tcPr>
          <w:p w14:paraId="3B622ED9">
            <w:pPr>
              <w:pStyle w:val="179"/>
              <w:widowControl w:val="0"/>
            </w:pPr>
            <w:r>
              <w:rPr>
                <w:rFonts w:hint="eastAsia"/>
              </w:rPr>
              <w:t>—</w:t>
            </w:r>
          </w:p>
        </w:tc>
        <w:tc>
          <w:tcPr>
            <w:tcW w:w="1220" w:type="dxa"/>
            <w:vAlign w:val="center"/>
          </w:tcPr>
          <w:p w14:paraId="1F9116B0">
            <w:pPr>
              <w:pStyle w:val="179"/>
              <w:widowControl w:val="0"/>
            </w:pPr>
            <w:r>
              <w:t>7.5</w:t>
            </w:r>
          </w:p>
        </w:tc>
        <w:tc>
          <w:tcPr>
            <w:tcW w:w="1221" w:type="dxa"/>
            <w:vAlign w:val="center"/>
          </w:tcPr>
          <w:p w14:paraId="242AF483">
            <w:pPr>
              <w:pStyle w:val="179"/>
              <w:widowControl w:val="0"/>
            </w:pPr>
            <w:r>
              <w:t>0.60</w:t>
            </w:r>
          </w:p>
        </w:tc>
      </w:tr>
    </w:tbl>
    <w:p w14:paraId="01837DC1">
      <w:pPr>
        <w:pStyle w:val="5"/>
        <w:spacing w:before="120" w:after="120"/>
      </w:pPr>
      <w:r>
        <w:t>废水</w:t>
      </w:r>
    </w:p>
    <w:p w14:paraId="3DAB91B6">
      <w:pPr>
        <w:ind w:firstLine="480"/>
        <w:rPr>
          <w:rFonts w:hAnsi="Times New Roman" w:cs="Times New Roman"/>
        </w:rPr>
      </w:pPr>
      <w:r>
        <w:rPr>
          <w:rFonts w:hAnsi="Times New Roman" w:cs="Times New Roman"/>
        </w:rPr>
        <w:t>本项目生产无废水产生，</w:t>
      </w:r>
      <w:r>
        <w:rPr>
          <w:rFonts w:hint="eastAsia" w:hAnsi="Times New Roman" w:cs="Times New Roman"/>
        </w:rPr>
        <w:t>生活</w:t>
      </w:r>
      <w:r>
        <w:rPr>
          <w:rFonts w:hAnsi="Times New Roman" w:cs="Times New Roman"/>
        </w:rPr>
        <w:t>污水排入</w:t>
      </w:r>
      <w:r>
        <w:rPr>
          <w:rFonts w:hint="eastAsia" w:hAnsi="Times New Roman" w:cs="Times New Roman"/>
        </w:rPr>
        <w:t>防渗旱厕</w:t>
      </w:r>
      <w:r>
        <w:rPr>
          <w:rFonts w:hAnsi="Times New Roman" w:cs="Times New Roman"/>
        </w:rPr>
        <w:t>，定期清掏，外运堆肥。</w:t>
      </w:r>
    </w:p>
    <w:p w14:paraId="1A21DE07">
      <w:pPr>
        <w:pStyle w:val="5"/>
        <w:spacing w:before="120" w:after="120"/>
      </w:pPr>
      <w:r>
        <w:t>噪声</w:t>
      </w:r>
    </w:p>
    <w:p w14:paraId="0534F288">
      <w:pPr>
        <w:ind w:firstLine="480"/>
        <w:rPr>
          <w:rFonts w:hAnsi="Times New Roman" w:cs="Times New Roman"/>
        </w:rPr>
      </w:pPr>
      <w:r>
        <w:rPr>
          <w:rFonts w:hAnsi="Times New Roman" w:cs="Times New Roman"/>
        </w:rPr>
        <w:t>本项目施工期噪声执行《建筑施工噪声排放标准》（GB12523-2025），具体见表2.</w:t>
      </w:r>
      <w:r>
        <w:rPr>
          <w:rFonts w:hint="eastAsia" w:hAnsi="Times New Roman" w:cs="Times New Roman"/>
        </w:rPr>
        <w:t>4</w:t>
      </w:r>
      <w:r>
        <w:rPr>
          <w:rFonts w:hAnsi="Times New Roman" w:cs="Times New Roman"/>
        </w:rPr>
        <w:t>-</w:t>
      </w:r>
      <w:r>
        <w:rPr>
          <w:rFonts w:hint="eastAsia" w:hAnsi="Times New Roman" w:cs="Times New Roman"/>
        </w:rPr>
        <w:t>7</w:t>
      </w:r>
      <w:r>
        <w:rPr>
          <w:rFonts w:hAnsi="Times New Roman" w:cs="Times New Roman"/>
        </w:rPr>
        <w:t>；</w:t>
      </w:r>
    </w:p>
    <w:p w14:paraId="427E4DF1">
      <w:pPr>
        <w:ind w:firstLine="480"/>
        <w:rPr>
          <w:rFonts w:hAnsi="Times New Roman" w:cs="Times New Roman"/>
        </w:rPr>
      </w:pPr>
      <w:r>
        <w:rPr>
          <w:rFonts w:hAnsi="Times New Roman" w:cs="Times New Roman"/>
        </w:rPr>
        <w:t>运行期的噪声执行《工业企业厂界环境噪声排放标准》（GB12348-2008）</w:t>
      </w:r>
      <w:r>
        <w:rPr>
          <w:rFonts w:hint="eastAsia" w:hAnsi="Times New Roman" w:cs="Times New Roman"/>
        </w:rPr>
        <w:t>1</w:t>
      </w:r>
      <w:r>
        <w:rPr>
          <w:rFonts w:hAnsi="Times New Roman" w:cs="Times New Roman"/>
        </w:rPr>
        <w:t>类标准，具体见表2.</w:t>
      </w:r>
      <w:r>
        <w:rPr>
          <w:rFonts w:hint="eastAsia" w:hAnsi="Times New Roman" w:cs="Times New Roman"/>
        </w:rPr>
        <w:t>4</w:t>
      </w:r>
      <w:r>
        <w:rPr>
          <w:rFonts w:hAnsi="Times New Roman" w:cs="Times New Roman"/>
        </w:rPr>
        <w:t>-</w:t>
      </w:r>
      <w:r>
        <w:rPr>
          <w:rFonts w:hint="eastAsia" w:hAnsi="Times New Roman" w:cs="Times New Roman"/>
        </w:rPr>
        <w:t>8</w:t>
      </w:r>
      <w:r>
        <w:rPr>
          <w:rFonts w:hAnsi="Times New Roman" w:cs="Times New Roman"/>
        </w:rPr>
        <w:t>。</w:t>
      </w:r>
    </w:p>
    <w:p w14:paraId="51440AEA">
      <w:pPr>
        <w:pStyle w:val="178"/>
        <w:jc w:val="right"/>
      </w:pPr>
      <w:r>
        <w:t>表2.</w:t>
      </w:r>
      <w:r>
        <w:rPr>
          <w:rFonts w:hint="eastAsia"/>
        </w:rPr>
        <w:t>4-7</w:t>
      </w:r>
      <w:r>
        <w:t xml:space="preserve">  建筑施工噪声排放标准</w:t>
      </w:r>
      <w:r>
        <w:rPr>
          <w:rFonts w:hint="eastAsia"/>
        </w:rPr>
        <w:t xml:space="preserve">限值        </w:t>
      </w:r>
      <w:r>
        <w:t xml:space="preserve"> 单位：dB(A)</w:t>
      </w:r>
    </w:p>
    <w:p w14:paraId="0A6C96B2">
      <w:pPr>
        <w:topLinePunct/>
        <w:spacing w:line="23" w:lineRule="exact"/>
        <w:ind w:firstLine="480"/>
        <w:rPr>
          <w:rFonts w:hAnsi="Times New Roman" w:cs="Times New Roman"/>
        </w:rPr>
      </w:pPr>
    </w:p>
    <w:tbl>
      <w:tblPr>
        <w:tblStyle w:val="36"/>
        <w:tblW w:w="8505" w:type="dxa"/>
        <w:jc w:val="center"/>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Layout w:type="autofit"/>
        <w:tblCellMar>
          <w:top w:w="0" w:type="dxa"/>
          <w:left w:w="108" w:type="dxa"/>
          <w:bottom w:w="0" w:type="dxa"/>
          <w:right w:w="108" w:type="dxa"/>
        </w:tblCellMar>
      </w:tblPr>
      <w:tblGrid>
        <w:gridCol w:w="4252"/>
        <w:gridCol w:w="4253"/>
      </w:tblGrid>
      <w:tr w14:paraId="2B0A636E">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404" w:hRule="atLeast"/>
          <w:jc w:val="center"/>
        </w:trPr>
        <w:tc>
          <w:tcPr>
            <w:tcW w:w="2500" w:type="pct"/>
            <w:vAlign w:val="center"/>
          </w:tcPr>
          <w:p w14:paraId="27EB4488">
            <w:pPr>
              <w:pStyle w:val="179"/>
              <w:rPr>
                <w:b/>
              </w:rPr>
            </w:pPr>
            <w:r>
              <w:rPr>
                <w:b/>
              </w:rPr>
              <w:t>昼间</w:t>
            </w:r>
          </w:p>
        </w:tc>
        <w:tc>
          <w:tcPr>
            <w:tcW w:w="2500" w:type="pct"/>
            <w:vAlign w:val="center"/>
          </w:tcPr>
          <w:p w14:paraId="33271BAC">
            <w:pPr>
              <w:pStyle w:val="179"/>
              <w:rPr>
                <w:b/>
              </w:rPr>
            </w:pPr>
            <w:r>
              <w:rPr>
                <w:b/>
              </w:rPr>
              <w:t>夜间</w:t>
            </w:r>
          </w:p>
        </w:tc>
      </w:tr>
      <w:tr w14:paraId="7BE80667">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404" w:hRule="atLeast"/>
          <w:jc w:val="center"/>
        </w:trPr>
        <w:tc>
          <w:tcPr>
            <w:tcW w:w="2500" w:type="pct"/>
            <w:vAlign w:val="center"/>
          </w:tcPr>
          <w:p w14:paraId="4E438174">
            <w:pPr>
              <w:pStyle w:val="179"/>
            </w:pPr>
            <w:r>
              <w:t>70</w:t>
            </w:r>
          </w:p>
        </w:tc>
        <w:tc>
          <w:tcPr>
            <w:tcW w:w="2500" w:type="pct"/>
            <w:vAlign w:val="center"/>
          </w:tcPr>
          <w:p w14:paraId="5CDFF34B">
            <w:pPr>
              <w:pStyle w:val="179"/>
            </w:pPr>
            <w:r>
              <w:t>55</w:t>
            </w:r>
          </w:p>
        </w:tc>
      </w:tr>
    </w:tbl>
    <w:p w14:paraId="48C22FA3">
      <w:pPr>
        <w:pStyle w:val="178"/>
        <w:jc w:val="right"/>
      </w:pPr>
    </w:p>
    <w:p w14:paraId="10157D34">
      <w:pPr>
        <w:pStyle w:val="178"/>
        <w:jc w:val="right"/>
      </w:pPr>
    </w:p>
    <w:p w14:paraId="42CD5DC6">
      <w:pPr>
        <w:pStyle w:val="178"/>
        <w:jc w:val="right"/>
      </w:pPr>
    </w:p>
    <w:p w14:paraId="548A776E">
      <w:pPr>
        <w:pStyle w:val="178"/>
        <w:jc w:val="right"/>
      </w:pPr>
      <w:r>
        <w:t>表2.</w:t>
      </w:r>
      <w:r>
        <w:rPr>
          <w:rFonts w:hint="eastAsia"/>
        </w:rPr>
        <w:t>4</w:t>
      </w:r>
      <w:r>
        <w:t>-</w:t>
      </w:r>
      <w:r>
        <w:rPr>
          <w:rFonts w:hint="eastAsia"/>
        </w:rPr>
        <w:t>8</w:t>
      </w:r>
      <w:r>
        <w:t xml:space="preserve">  工业企业厂界环境噪声排放标准限值  单位：dB(A)</w:t>
      </w:r>
    </w:p>
    <w:p w14:paraId="64C83BBE">
      <w:pPr>
        <w:topLinePunct/>
        <w:spacing w:line="21" w:lineRule="exact"/>
        <w:ind w:firstLine="480"/>
        <w:rPr>
          <w:rFonts w:hAnsi="Times New Roman" w:cs="Times New Roman"/>
        </w:rPr>
      </w:pPr>
    </w:p>
    <w:tbl>
      <w:tblPr>
        <w:tblStyle w:val="36"/>
        <w:tblW w:w="8505" w:type="dxa"/>
        <w:jc w:val="center"/>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Layout w:type="autofit"/>
        <w:tblCellMar>
          <w:top w:w="0" w:type="dxa"/>
          <w:left w:w="108" w:type="dxa"/>
          <w:bottom w:w="0" w:type="dxa"/>
          <w:right w:w="108" w:type="dxa"/>
        </w:tblCellMar>
      </w:tblPr>
      <w:tblGrid>
        <w:gridCol w:w="2706"/>
        <w:gridCol w:w="2700"/>
        <w:gridCol w:w="3099"/>
      </w:tblGrid>
      <w:tr w14:paraId="11B83AB7">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404" w:hRule="atLeast"/>
          <w:jc w:val="center"/>
        </w:trPr>
        <w:tc>
          <w:tcPr>
            <w:tcW w:w="1590" w:type="pct"/>
            <w:vAlign w:val="center"/>
          </w:tcPr>
          <w:p w14:paraId="0B60150C">
            <w:pPr>
              <w:pStyle w:val="179"/>
              <w:rPr>
                <w:b/>
              </w:rPr>
            </w:pPr>
            <w:r>
              <w:rPr>
                <w:b/>
              </w:rPr>
              <w:t>类别</w:t>
            </w:r>
          </w:p>
        </w:tc>
        <w:tc>
          <w:tcPr>
            <w:tcW w:w="1587" w:type="pct"/>
            <w:vAlign w:val="center"/>
          </w:tcPr>
          <w:p w14:paraId="6D0441E2">
            <w:pPr>
              <w:pStyle w:val="179"/>
              <w:rPr>
                <w:b/>
              </w:rPr>
            </w:pPr>
            <w:r>
              <w:rPr>
                <w:b/>
              </w:rPr>
              <w:t>昼间</w:t>
            </w:r>
          </w:p>
        </w:tc>
        <w:tc>
          <w:tcPr>
            <w:tcW w:w="1821" w:type="pct"/>
            <w:vAlign w:val="center"/>
          </w:tcPr>
          <w:p w14:paraId="46E81F77">
            <w:pPr>
              <w:pStyle w:val="179"/>
              <w:rPr>
                <w:b/>
              </w:rPr>
            </w:pPr>
            <w:r>
              <w:rPr>
                <w:b/>
              </w:rPr>
              <w:t>夜间</w:t>
            </w:r>
          </w:p>
        </w:tc>
      </w:tr>
      <w:tr w14:paraId="0913B457">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404" w:hRule="atLeast"/>
          <w:jc w:val="center"/>
        </w:trPr>
        <w:tc>
          <w:tcPr>
            <w:tcW w:w="1590" w:type="pct"/>
            <w:vAlign w:val="center"/>
          </w:tcPr>
          <w:p w14:paraId="2B2A6CC2">
            <w:pPr>
              <w:pStyle w:val="179"/>
            </w:pPr>
            <w:r>
              <w:rPr>
                <w:rFonts w:hint="eastAsia"/>
              </w:rPr>
              <w:t>1</w:t>
            </w:r>
            <w:r>
              <w:t>类</w:t>
            </w:r>
          </w:p>
        </w:tc>
        <w:tc>
          <w:tcPr>
            <w:tcW w:w="1587" w:type="pct"/>
            <w:vAlign w:val="center"/>
          </w:tcPr>
          <w:p w14:paraId="5F85D8DD">
            <w:pPr>
              <w:pStyle w:val="179"/>
            </w:pPr>
            <w:r>
              <w:rPr>
                <w:rFonts w:hint="eastAsia"/>
              </w:rPr>
              <w:t>55</w:t>
            </w:r>
          </w:p>
        </w:tc>
        <w:tc>
          <w:tcPr>
            <w:tcW w:w="1821" w:type="pct"/>
            <w:vAlign w:val="center"/>
          </w:tcPr>
          <w:p w14:paraId="5C7E8266">
            <w:pPr>
              <w:pStyle w:val="179"/>
            </w:pPr>
            <w:r>
              <w:rPr>
                <w:rFonts w:hint="eastAsia"/>
              </w:rPr>
              <w:t>45</w:t>
            </w:r>
          </w:p>
        </w:tc>
      </w:tr>
    </w:tbl>
    <w:p w14:paraId="757D2C7C">
      <w:pPr>
        <w:pStyle w:val="5"/>
        <w:spacing w:before="120" w:after="120"/>
      </w:pPr>
      <w:r>
        <w:t>固体废物</w:t>
      </w:r>
    </w:p>
    <w:p w14:paraId="1FD0D285">
      <w:pPr>
        <w:ind w:firstLine="480"/>
        <w:rPr>
          <w:rFonts w:hAnsi="Times New Roman" w:cs="Times New Roman"/>
        </w:rPr>
      </w:pPr>
      <w:r>
        <w:rPr>
          <w:rFonts w:hAnsi="Times New Roman" w:cs="Times New Roman"/>
        </w:rPr>
        <w:t>本项目一般固体废物执行《一般工业固体废物贮存和填埋污染控制标准》（GB18599-2020）。</w:t>
      </w:r>
    </w:p>
    <w:p w14:paraId="5A65E208">
      <w:pPr>
        <w:pStyle w:val="3"/>
        <w:spacing w:before="180" w:after="120"/>
        <w:rPr>
          <w:rFonts w:cs="Times New Roman"/>
          <w:bCs/>
        </w:rPr>
      </w:pPr>
      <w:bookmarkStart w:id="98" w:name="bookmark15"/>
      <w:bookmarkEnd w:id="98"/>
      <w:bookmarkStart w:id="99" w:name="_Toc234927686"/>
      <w:r>
        <w:rPr>
          <w:rFonts w:cs="Times New Roman"/>
        </w:rPr>
        <w:t>评价等级</w:t>
      </w:r>
      <w:bookmarkEnd w:id="99"/>
    </w:p>
    <w:p w14:paraId="115E79FE">
      <w:pPr>
        <w:pStyle w:val="4"/>
        <w:spacing w:before="180" w:after="120"/>
        <w:rPr>
          <w:rFonts w:hAnsi="Times New Roman" w:cs="Times New Roman"/>
        </w:rPr>
      </w:pPr>
      <w:r>
        <w:rPr>
          <w:rFonts w:hAnsi="Times New Roman" w:cs="Times New Roman"/>
        </w:rPr>
        <w:t>环境空气</w:t>
      </w:r>
    </w:p>
    <w:p w14:paraId="6CA4F950">
      <w:pPr>
        <w:ind w:firstLine="480"/>
        <w:rPr>
          <w:rFonts w:hAnsi="Times New Roman" w:cs="Times New Roman"/>
        </w:rPr>
      </w:pPr>
      <w:r>
        <w:rPr>
          <w:rFonts w:hAnsi="Times New Roman" w:cs="Times New Roman"/>
        </w:rPr>
        <w:t>根据本项目工程分析可知，无组织废气主要包括土岩剥离、</w:t>
      </w:r>
      <w:r>
        <w:rPr>
          <w:rFonts w:hint="eastAsia" w:hAnsi="Times New Roman" w:cs="Times New Roman"/>
        </w:rPr>
        <w:t>采场剥尘</w:t>
      </w:r>
      <w:r>
        <w:rPr>
          <w:rFonts w:hAnsi="Times New Roman" w:cs="Times New Roman"/>
        </w:rPr>
        <w:t>、集堆铲装、运输粉尘（TSP），根据《环境影响评价技术导则  大气环境》（HJ2.2-2018），采用估算模式分别计算出各废气污染源各污染物的最大地面浓度占标率P</w:t>
      </w:r>
      <w:r>
        <w:rPr>
          <w:rFonts w:hAnsi="Times New Roman" w:cs="Times New Roman"/>
          <w:vertAlign w:val="subscript"/>
        </w:rPr>
        <w:t>i</w:t>
      </w:r>
      <w:r>
        <w:rPr>
          <w:rFonts w:hAnsi="Times New Roman" w:cs="Times New Roman"/>
        </w:rPr>
        <w:t>和地面浓度达标准值10%时所对应的最远距离D</w:t>
      </w:r>
      <w:r>
        <w:rPr>
          <w:rFonts w:hAnsi="Times New Roman" w:cs="Times New Roman"/>
          <w:vertAlign w:val="subscript"/>
        </w:rPr>
        <w:t>10%</w:t>
      </w:r>
      <w:r>
        <w:rPr>
          <w:rFonts w:hAnsi="Times New Roman" w:cs="Times New Roman"/>
        </w:rPr>
        <w:t>，从而确定大气环境评价工作等级。其中P</w:t>
      </w:r>
      <w:r>
        <w:rPr>
          <w:rFonts w:hAnsi="Times New Roman" w:cs="Times New Roman"/>
          <w:vertAlign w:val="subscript"/>
        </w:rPr>
        <w:t>i</w:t>
      </w:r>
      <w:r>
        <w:rPr>
          <w:rFonts w:hAnsi="Times New Roman" w:cs="Times New Roman"/>
        </w:rPr>
        <w:t>定义为：</w:t>
      </w:r>
    </w:p>
    <w:p w14:paraId="282B5B8E">
      <w:pPr>
        <w:widowControl/>
        <w:topLinePunct/>
        <w:autoSpaceDE w:val="0"/>
        <w:autoSpaceDN w:val="0"/>
        <w:adjustRightInd w:val="0"/>
        <w:snapToGrid w:val="0"/>
        <w:spacing w:line="500" w:lineRule="exact"/>
        <w:ind w:firstLine="480"/>
        <w:jc w:val="center"/>
        <w:textAlignment w:val="baseline"/>
        <w:rPr>
          <w:rFonts w:hAnsi="Times New Roman" w:cs="Times New Roman"/>
        </w:rPr>
      </w:pPr>
      <w:r>
        <w:rPr>
          <w:rFonts w:hAnsi="Times New Roman" w:eastAsia="宋体" w:cs="Times New Roman"/>
        </w:rPr>
        <w:t>P</w:t>
      </w:r>
      <w:r>
        <w:rPr>
          <w:rFonts w:hAnsi="Times New Roman" w:eastAsia="宋体" w:cs="Times New Roman"/>
          <w:vertAlign w:val="subscript"/>
        </w:rPr>
        <w:t>i</w:t>
      </w:r>
      <w:r>
        <w:rPr>
          <w:rFonts w:hAnsi="Times New Roman" w:cs="Times New Roman"/>
          <w:vertAlign w:val="subscript"/>
        </w:rPr>
        <w:t>=</w:t>
      </w:r>
      <w:r>
        <w:rPr>
          <w:rFonts w:hAnsi="Times New Roman" w:eastAsia="宋体" w:cs="Times New Roman"/>
        </w:rPr>
        <w:t>(C</w:t>
      </w:r>
      <w:r>
        <w:rPr>
          <w:rFonts w:hAnsi="Times New Roman" w:eastAsia="宋体" w:cs="Times New Roman"/>
          <w:vertAlign w:val="subscript"/>
        </w:rPr>
        <w:t>i</w:t>
      </w:r>
      <w:r>
        <w:rPr>
          <w:rFonts w:hAnsi="Times New Roman" w:eastAsia="宋体" w:cs="Times New Roman"/>
        </w:rPr>
        <w:t>/C</w:t>
      </w:r>
      <w:r>
        <w:rPr>
          <w:rFonts w:hAnsi="Times New Roman" w:eastAsia="宋体" w:cs="Times New Roman"/>
          <w:vertAlign w:val="subscript"/>
        </w:rPr>
        <w:t>oi</w:t>
      </w:r>
      <w:r>
        <w:rPr>
          <w:rFonts w:hAnsi="Times New Roman" w:eastAsia="宋体" w:cs="Times New Roman"/>
        </w:rPr>
        <w:t>)×100%</w:t>
      </w:r>
    </w:p>
    <w:p w14:paraId="586A965A">
      <w:pPr>
        <w:widowControl/>
        <w:topLinePunct/>
        <w:autoSpaceDE w:val="0"/>
        <w:autoSpaceDN w:val="0"/>
        <w:adjustRightInd w:val="0"/>
        <w:snapToGrid w:val="0"/>
        <w:ind w:firstLine="480"/>
        <w:textAlignment w:val="baseline"/>
        <w:rPr>
          <w:rFonts w:hAnsi="Times New Roman" w:cs="Times New Roman"/>
        </w:rPr>
      </w:pPr>
      <w:r>
        <w:rPr>
          <w:rFonts w:hAnsi="Times New Roman" w:cs="Times New Roman"/>
        </w:rPr>
        <w:t>式中：P</w:t>
      </w:r>
      <w:r>
        <w:rPr>
          <w:rFonts w:hAnsi="Times New Roman" w:cs="Times New Roman"/>
          <w:vertAlign w:val="subscript"/>
        </w:rPr>
        <w:t>i</w:t>
      </w:r>
      <w:r>
        <w:rPr>
          <w:rFonts w:hAnsi="Times New Roman" w:cs="Times New Roman"/>
        </w:rPr>
        <w:t>—第i个污染物的最大地面浓度占标率，%；</w:t>
      </w:r>
    </w:p>
    <w:p w14:paraId="12230563">
      <w:pPr>
        <w:widowControl/>
        <w:tabs>
          <w:tab w:val="clear" w:pos="0"/>
        </w:tabs>
        <w:topLinePunct/>
        <w:autoSpaceDE w:val="0"/>
        <w:autoSpaceDN w:val="0"/>
        <w:adjustRightInd w:val="0"/>
        <w:snapToGrid w:val="0"/>
        <w:ind w:left="1680" w:leftChars="500" w:hanging="480" w:hangingChars="200"/>
        <w:textAlignment w:val="baseline"/>
        <w:rPr>
          <w:rFonts w:hAnsi="Times New Roman" w:cs="Times New Roman"/>
        </w:rPr>
      </w:pPr>
      <w:r>
        <w:rPr>
          <w:rFonts w:hAnsi="Times New Roman" w:cs="Times New Roman"/>
        </w:rPr>
        <w:t>C</w:t>
      </w:r>
      <w:r>
        <w:rPr>
          <w:rFonts w:hAnsi="Times New Roman" w:cs="Times New Roman"/>
          <w:vertAlign w:val="subscript"/>
        </w:rPr>
        <w:t>i</w:t>
      </w:r>
      <w:r>
        <w:rPr>
          <w:rFonts w:hAnsi="Times New Roman" w:cs="Times New Roman"/>
        </w:rPr>
        <w:t>—采用估算模式计算出第i个污染物的最大1h地面空气质量浓度，mg/m</w:t>
      </w:r>
      <w:r>
        <w:rPr>
          <w:rFonts w:hAnsi="Times New Roman" w:cs="Times New Roman"/>
          <w:vertAlign w:val="superscript"/>
        </w:rPr>
        <w:t>3</w:t>
      </w:r>
      <w:r>
        <w:rPr>
          <w:rFonts w:hAnsi="Times New Roman" w:cs="Times New Roman"/>
        </w:rPr>
        <w:t>；</w:t>
      </w:r>
    </w:p>
    <w:p w14:paraId="71DE976F">
      <w:pPr>
        <w:widowControl/>
        <w:tabs>
          <w:tab w:val="clear" w:pos="0"/>
        </w:tabs>
        <w:topLinePunct/>
        <w:autoSpaceDE w:val="0"/>
        <w:autoSpaceDN w:val="0"/>
        <w:adjustRightInd w:val="0"/>
        <w:snapToGrid w:val="0"/>
        <w:ind w:left="1680" w:leftChars="500" w:hanging="480" w:hangingChars="200"/>
        <w:textAlignment w:val="baseline"/>
        <w:rPr>
          <w:rFonts w:hAnsi="Times New Roman" w:cs="Times New Roman"/>
        </w:rPr>
      </w:pPr>
      <w:r>
        <w:rPr>
          <w:rFonts w:hAnsi="Times New Roman" w:cs="Times New Roman"/>
        </w:rPr>
        <w:t>C</w:t>
      </w:r>
      <w:r>
        <w:rPr>
          <w:rFonts w:hAnsi="Times New Roman" w:cs="Times New Roman"/>
          <w:vertAlign w:val="subscript"/>
        </w:rPr>
        <w:t>oi</w:t>
      </w:r>
      <w:r>
        <w:rPr>
          <w:rFonts w:hAnsi="Times New Roman" w:cs="Times New Roman"/>
        </w:rPr>
        <w:t>—第i个污染物的环境空气质量标准，mg/m</w:t>
      </w:r>
      <w:r>
        <w:rPr>
          <w:rFonts w:hAnsi="Times New Roman" w:cs="Times New Roman"/>
          <w:vertAlign w:val="superscript"/>
        </w:rPr>
        <w:t>3</w:t>
      </w:r>
      <w:r>
        <w:rPr>
          <w:rFonts w:hAnsi="Times New Roman" w:cs="Times New Roman"/>
        </w:rPr>
        <w:t>；一般选用GB3095中1h平均取样时间的二级标准的浓度限值，如项目位于一类环境空气功能区，应选择相应的一级浓度限值。</w:t>
      </w:r>
    </w:p>
    <w:p w14:paraId="35990C89">
      <w:pPr>
        <w:pStyle w:val="178"/>
      </w:pPr>
      <w:r>
        <w:t>表2.</w:t>
      </w:r>
      <w:r>
        <w:rPr>
          <w:rFonts w:hint="eastAsia"/>
        </w:rPr>
        <w:t>5</w:t>
      </w:r>
      <w:r>
        <w:t>-1  大气评价工作等级判定</w:t>
      </w:r>
    </w:p>
    <w:p w14:paraId="4FFAB747">
      <w:pPr>
        <w:topLinePunct/>
        <w:spacing w:line="136" w:lineRule="auto"/>
        <w:ind w:firstLine="40"/>
        <w:rPr>
          <w:rFonts w:hAnsi="Times New Roman" w:cs="Times New Roman"/>
          <w:sz w:val="2"/>
        </w:rPr>
      </w:pPr>
    </w:p>
    <w:tbl>
      <w:tblPr>
        <w:tblStyle w:val="36"/>
        <w:tblW w:w="8505" w:type="dxa"/>
        <w:jc w:val="center"/>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Layout w:type="autofit"/>
        <w:tblCellMar>
          <w:top w:w="0" w:type="dxa"/>
          <w:left w:w="108" w:type="dxa"/>
          <w:bottom w:w="0" w:type="dxa"/>
          <w:right w:w="108" w:type="dxa"/>
        </w:tblCellMar>
      </w:tblPr>
      <w:tblGrid>
        <w:gridCol w:w="2521"/>
        <w:gridCol w:w="5984"/>
      </w:tblGrid>
      <w:tr w14:paraId="70B98154">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97" w:hRule="atLeast"/>
          <w:tblHeader/>
          <w:jc w:val="center"/>
        </w:trPr>
        <w:tc>
          <w:tcPr>
            <w:tcW w:w="1482" w:type="pct"/>
            <w:vAlign w:val="center"/>
          </w:tcPr>
          <w:p w14:paraId="4B8DF396">
            <w:pPr>
              <w:pStyle w:val="179"/>
              <w:rPr>
                <w:rFonts w:cs="Times New Roman"/>
                <w:b/>
              </w:rPr>
            </w:pPr>
            <w:r>
              <w:rPr>
                <w:rFonts w:cs="Times New Roman"/>
                <w:b/>
              </w:rPr>
              <w:t>评价工作等级</w:t>
            </w:r>
          </w:p>
        </w:tc>
        <w:tc>
          <w:tcPr>
            <w:tcW w:w="3517" w:type="pct"/>
            <w:vAlign w:val="center"/>
          </w:tcPr>
          <w:p w14:paraId="0693A8EB">
            <w:pPr>
              <w:pStyle w:val="179"/>
              <w:rPr>
                <w:rFonts w:cs="Times New Roman"/>
                <w:b/>
              </w:rPr>
            </w:pPr>
            <w:r>
              <w:rPr>
                <w:rFonts w:cs="Times New Roman"/>
                <w:b/>
              </w:rPr>
              <w:t>评价工作分级依据</w:t>
            </w:r>
          </w:p>
        </w:tc>
      </w:tr>
      <w:tr w14:paraId="0A5C1939">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1482" w:type="pct"/>
            <w:vAlign w:val="center"/>
          </w:tcPr>
          <w:p w14:paraId="5535457D">
            <w:pPr>
              <w:pStyle w:val="179"/>
              <w:rPr>
                <w:rFonts w:cs="Times New Roman"/>
              </w:rPr>
            </w:pPr>
            <w:r>
              <w:rPr>
                <w:rFonts w:cs="Times New Roman"/>
              </w:rPr>
              <w:t>一级</w:t>
            </w:r>
          </w:p>
        </w:tc>
        <w:tc>
          <w:tcPr>
            <w:tcW w:w="3517" w:type="pct"/>
            <w:vAlign w:val="center"/>
          </w:tcPr>
          <w:p w14:paraId="7084B714">
            <w:pPr>
              <w:pStyle w:val="179"/>
              <w:rPr>
                <w:rFonts w:cs="Times New Roman"/>
              </w:rPr>
            </w:pPr>
            <w:r>
              <w:rPr>
                <w:rFonts w:cs="Times New Roman"/>
              </w:rPr>
              <w:t>P</w:t>
            </w:r>
            <w:r>
              <w:rPr>
                <w:rFonts w:cs="Times New Roman"/>
                <w:vertAlign w:val="subscript"/>
              </w:rPr>
              <w:t>max</w:t>
            </w:r>
            <w:r>
              <w:rPr>
                <w:rFonts w:cs="Times New Roman"/>
              </w:rPr>
              <w:t>≥10%</w:t>
            </w:r>
          </w:p>
        </w:tc>
      </w:tr>
      <w:tr w14:paraId="52D44486">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1482" w:type="pct"/>
            <w:vAlign w:val="center"/>
          </w:tcPr>
          <w:p w14:paraId="3168FB8F">
            <w:pPr>
              <w:pStyle w:val="179"/>
              <w:rPr>
                <w:rFonts w:cs="Times New Roman"/>
              </w:rPr>
            </w:pPr>
            <w:r>
              <w:rPr>
                <w:rFonts w:cs="Times New Roman"/>
              </w:rPr>
              <w:t>二级</w:t>
            </w:r>
          </w:p>
        </w:tc>
        <w:tc>
          <w:tcPr>
            <w:tcW w:w="3517" w:type="pct"/>
            <w:vAlign w:val="center"/>
          </w:tcPr>
          <w:p w14:paraId="67600854">
            <w:pPr>
              <w:pStyle w:val="179"/>
              <w:rPr>
                <w:rFonts w:cs="Times New Roman"/>
              </w:rPr>
            </w:pPr>
            <w:r>
              <w:rPr>
                <w:rFonts w:cs="Times New Roman"/>
              </w:rPr>
              <w:t>1≤P</w:t>
            </w:r>
            <w:r>
              <w:rPr>
                <w:rFonts w:cs="Times New Roman"/>
                <w:vertAlign w:val="subscript"/>
              </w:rPr>
              <w:t>max</w:t>
            </w:r>
            <w:r>
              <w:rPr>
                <w:rFonts w:cs="Times New Roman"/>
              </w:rPr>
              <w:t>&lt;10%</w:t>
            </w:r>
          </w:p>
        </w:tc>
      </w:tr>
      <w:tr w14:paraId="3BA07DCC">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1482" w:type="pct"/>
            <w:vAlign w:val="center"/>
          </w:tcPr>
          <w:p w14:paraId="462F684F">
            <w:pPr>
              <w:pStyle w:val="179"/>
              <w:rPr>
                <w:rFonts w:cs="Times New Roman"/>
              </w:rPr>
            </w:pPr>
            <w:r>
              <w:rPr>
                <w:rFonts w:cs="Times New Roman"/>
              </w:rPr>
              <w:t>三级</w:t>
            </w:r>
          </w:p>
        </w:tc>
        <w:tc>
          <w:tcPr>
            <w:tcW w:w="3517" w:type="pct"/>
            <w:vAlign w:val="center"/>
          </w:tcPr>
          <w:p w14:paraId="007E55CC">
            <w:pPr>
              <w:pStyle w:val="179"/>
              <w:rPr>
                <w:rFonts w:cs="Times New Roman"/>
              </w:rPr>
            </w:pPr>
            <w:r>
              <w:rPr>
                <w:rFonts w:cs="Times New Roman"/>
              </w:rPr>
              <w:t>P</w:t>
            </w:r>
            <w:r>
              <w:rPr>
                <w:rFonts w:cs="Times New Roman"/>
                <w:vertAlign w:val="subscript"/>
              </w:rPr>
              <w:t>max</w:t>
            </w:r>
            <w:r>
              <w:rPr>
                <w:rFonts w:cs="Times New Roman"/>
              </w:rPr>
              <w:t>&lt;1%</w:t>
            </w:r>
          </w:p>
        </w:tc>
      </w:tr>
    </w:tbl>
    <w:p w14:paraId="34AB8379">
      <w:pPr>
        <w:pStyle w:val="178"/>
      </w:pPr>
      <w:r>
        <w:t>表2.</w:t>
      </w:r>
      <w:r>
        <w:rPr>
          <w:rFonts w:hint="eastAsia"/>
        </w:rPr>
        <w:t>5</w:t>
      </w:r>
      <w:r>
        <w:t>-2  大气环境影响评价估算模式参数表</w:t>
      </w:r>
    </w:p>
    <w:p w14:paraId="469977F2">
      <w:pPr>
        <w:topLinePunct/>
        <w:spacing w:line="14" w:lineRule="exact"/>
        <w:ind w:firstLine="480"/>
        <w:rPr>
          <w:rFonts w:hAnsi="Times New Roman" w:cs="Times New Roman"/>
        </w:rPr>
      </w:pPr>
    </w:p>
    <w:tbl>
      <w:tblPr>
        <w:tblStyle w:val="36"/>
        <w:tblW w:w="8505" w:type="dxa"/>
        <w:jc w:val="center"/>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Layout w:type="autofit"/>
        <w:tblCellMar>
          <w:top w:w="0" w:type="dxa"/>
          <w:left w:w="108" w:type="dxa"/>
          <w:bottom w:w="0" w:type="dxa"/>
          <w:right w:w="108" w:type="dxa"/>
        </w:tblCellMar>
      </w:tblPr>
      <w:tblGrid>
        <w:gridCol w:w="2892"/>
        <w:gridCol w:w="2888"/>
        <w:gridCol w:w="2725"/>
      </w:tblGrid>
      <w:tr w14:paraId="478EDD2B">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406" w:hRule="atLeast"/>
          <w:tblHeader/>
          <w:jc w:val="center"/>
        </w:trPr>
        <w:tc>
          <w:tcPr>
            <w:tcW w:w="3398" w:type="pct"/>
            <w:gridSpan w:val="2"/>
            <w:vAlign w:val="center"/>
          </w:tcPr>
          <w:p w14:paraId="1641D94A">
            <w:pPr>
              <w:pStyle w:val="179"/>
              <w:rPr>
                <w:rFonts w:cs="Times New Roman"/>
                <w:b/>
              </w:rPr>
            </w:pPr>
            <w:r>
              <w:rPr>
                <w:rFonts w:cs="Times New Roman"/>
                <w:b/>
              </w:rPr>
              <w:t>参数</w:t>
            </w:r>
          </w:p>
        </w:tc>
        <w:tc>
          <w:tcPr>
            <w:tcW w:w="1602" w:type="pct"/>
            <w:vAlign w:val="center"/>
          </w:tcPr>
          <w:p w14:paraId="663113D3">
            <w:pPr>
              <w:pStyle w:val="179"/>
              <w:rPr>
                <w:rFonts w:cs="Times New Roman"/>
                <w:b/>
              </w:rPr>
            </w:pPr>
            <w:r>
              <w:rPr>
                <w:rFonts w:cs="Times New Roman"/>
                <w:b/>
              </w:rPr>
              <w:t>取值</w:t>
            </w:r>
          </w:p>
        </w:tc>
      </w:tr>
      <w:tr w14:paraId="7F602DA8">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402" w:hRule="atLeast"/>
          <w:jc w:val="center"/>
        </w:trPr>
        <w:tc>
          <w:tcPr>
            <w:tcW w:w="1700" w:type="pct"/>
            <w:vMerge w:val="restart"/>
            <w:vAlign w:val="center"/>
          </w:tcPr>
          <w:p w14:paraId="4B87BA4E">
            <w:pPr>
              <w:pStyle w:val="179"/>
              <w:rPr>
                <w:rFonts w:cs="Times New Roman"/>
              </w:rPr>
            </w:pPr>
            <w:r>
              <w:rPr>
                <w:rFonts w:cs="Times New Roman"/>
              </w:rPr>
              <w:t>城市/农村选项</w:t>
            </w:r>
          </w:p>
        </w:tc>
        <w:tc>
          <w:tcPr>
            <w:tcW w:w="1698" w:type="pct"/>
            <w:vAlign w:val="center"/>
          </w:tcPr>
          <w:p w14:paraId="084B1EC4">
            <w:pPr>
              <w:pStyle w:val="179"/>
              <w:rPr>
                <w:rFonts w:cs="Times New Roman"/>
              </w:rPr>
            </w:pPr>
            <w:r>
              <w:rPr>
                <w:rFonts w:cs="Times New Roman"/>
              </w:rPr>
              <w:t>城市/农村</w:t>
            </w:r>
          </w:p>
        </w:tc>
        <w:tc>
          <w:tcPr>
            <w:tcW w:w="1602" w:type="pct"/>
            <w:vAlign w:val="center"/>
          </w:tcPr>
          <w:p w14:paraId="561DF39D">
            <w:pPr>
              <w:pStyle w:val="179"/>
              <w:rPr>
                <w:rFonts w:cs="Times New Roman"/>
              </w:rPr>
            </w:pPr>
            <w:r>
              <w:rPr>
                <w:rFonts w:cs="Times New Roman"/>
              </w:rPr>
              <w:t>农村</w:t>
            </w:r>
          </w:p>
        </w:tc>
      </w:tr>
      <w:tr w14:paraId="108CA0C0">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402" w:hRule="atLeast"/>
          <w:jc w:val="center"/>
        </w:trPr>
        <w:tc>
          <w:tcPr>
            <w:tcW w:w="1700" w:type="pct"/>
            <w:vMerge w:val="continue"/>
            <w:vAlign w:val="center"/>
          </w:tcPr>
          <w:p w14:paraId="6266045B">
            <w:pPr>
              <w:pStyle w:val="179"/>
              <w:rPr>
                <w:rFonts w:cs="Times New Roman"/>
              </w:rPr>
            </w:pPr>
          </w:p>
        </w:tc>
        <w:tc>
          <w:tcPr>
            <w:tcW w:w="1698" w:type="pct"/>
            <w:vAlign w:val="center"/>
          </w:tcPr>
          <w:p w14:paraId="06E8B203">
            <w:pPr>
              <w:pStyle w:val="179"/>
              <w:rPr>
                <w:rFonts w:cs="Times New Roman"/>
              </w:rPr>
            </w:pPr>
            <w:r>
              <w:rPr>
                <w:rFonts w:cs="Times New Roman"/>
              </w:rPr>
              <w:t>人口数（城市选项时）</w:t>
            </w:r>
          </w:p>
        </w:tc>
        <w:tc>
          <w:tcPr>
            <w:tcW w:w="1602" w:type="pct"/>
            <w:vAlign w:val="center"/>
          </w:tcPr>
          <w:p w14:paraId="4869B753">
            <w:pPr>
              <w:pStyle w:val="179"/>
              <w:rPr>
                <w:rFonts w:cs="Times New Roman"/>
              </w:rPr>
            </w:pPr>
            <w:r>
              <w:rPr>
                <w:rFonts w:cs="Times New Roman"/>
              </w:rPr>
              <w:t>/</w:t>
            </w:r>
          </w:p>
        </w:tc>
      </w:tr>
      <w:tr w14:paraId="684661E1">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401" w:hRule="atLeast"/>
          <w:jc w:val="center"/>
        </w:trPr>
        <w:tc>
          <w:tcPr>
            <w:tcW w:w="3398" w:type="pct"/>
            <w:gridSpan w:val="2"/>
            <w:vAlign w:val="center"/>
          </w:tcPr>
          <w:p w14:paraId="4DA6482A">
            <w:pPr>
              <w:pStyle w:val="179"/>
              <w:rPr>
                <w:rFonts w:cs="Times New Roman"/>
              </w:rPr>
            </w:pPr>
            <w:r>
              <w:rPr>
                <w:rFonts w:cs="Times New Roman"/>
              </w:rPr>
              <w:t>最高环境温度/℃</w:t>
            </w:r>
          </w:p>
        </w:tc>
        <w:tc>
          <w:tcPr>
            <w:tcW w:w="1602" w:type="pct"/>
            <w:vAlign w:val="center"/>
          </w:tcPr>
          <w:p w14:paraId="783AEEEB">
            <w:pPr>
              <w:pStyle w:val="179"/>
            </w:pPr>
            <w:r>
              <w:t>38.9</w:t>
            </w:r>
          </w:p>
        </w:tc>
      </w:tr>
      <w:tr w14:paraId="62433516">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402" w:hRule="atLeast"/>
          <w:jc w:val="center"/>
        </w:trPr>
        <w:tc>
          <w:tcPr>
            <w:tcW w:w="3398" w:type="pct"/>
            <w:gridSpan w:val="2"/>
            <w:vAlign w:val="center"/>
          </w:tcPr>
          <w:p w14:paraId="7E2D07CA">
            <w:pPr>
              <w:pStyle w:val="179"/>
              <w:rPr>
                <w:rFonts w:cs="Times New Roman"/>
              </w:rPr>
            </w:pPr>
            <w:r>
              <w:rPr>
                <w:rFonts w:cs="Times New Roman"/>
              </w:rPr>
              <w:t>最低环境温度/℃</w:t>
            </w:r>
          </w:p>
        </w:tc>
        <w:tc>
          <w:tcPr>
            <w:tcW w:w="1602" w:type="pct"/>
            <w:vAlign w:val="center"/>
          </w:tcPr>
          <w:p w14:paraId="118D995B">
            <w:pPr>
              <w:pStyle w:val="179"/>
            </w:pPr>
            <w:r>
              <w:t>-42.5</w:t>
            </w:r>
          </w:p>
        </w:tc>
      </w:tr>
      <w:tr w14:paraId="090091A2">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401" w:hRule="atLeast"/>
          <w:jc w:val="center"/>
        </w:trPr>
        <w:tc>
          <w:tcPr>
            <w:tcW w:w="3398" w:type="pct"/>
            <w:gridSpan w:val="2"/>
            <w:vAlign w:val="center"/>
          </w:tcPr>
          <w:p w14:paraId="7E7B1843">
            <w:pPr>
              <w:pStyle w:val="179"/>
              <w:rPr>
                <w:rFonts w:cs="Times New Roman"/>
              </w:rPr>
            </w:pPr>
            <w:r>
              <w:rPr>
                <w:rFonts w:cs="Times New Roman"/>
              </w:rPr>
              <w:t>土地利用类型</w:t>
            </w:r>
          </w:p>
        </w:tc>
        <w:tc>
          <w:tcPr>
            <w:tcW w:w="1602" w:type="pct"/>
            <w:vAlign w:val="center"/>
          </w:tcPr>
          <w:p w14:paraId="36A6EA16">
            <w:pPr>
              <w:pStyle w:val="179"/>
              <w:rPr>
                <w:rFonts w:cs="Times New Roman"/>
              </w:rPr>
            </w:pPr>
            <w:r>
              <w:rPr>
                <w:rFonts w:hint="eastAsia" w:cs="Times New Roman"/>
              </w:rPr>
              <w:t>落叶林</w:t>
            </w:r>
          </w:p>
        </w:tc>
      </w:tr>
      <w:tr w14:paraId="79C0000E">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402" w:hRule="atLeast"/>
          <w:jc w:val="center"/>
        </w:trPr>
        <w:tc>
          <w:tcPr>
            <w:tcW w:w="3398" w:type="pct"/>
            <w:gridSpan w:val="2"/>
            <w:vAlign w:val="center"/>
          </w:tcPr>
          <w:p w14:paraId="37DFCDD6">
            <w:pPr>
              <w:pStyle w:val="179"/>
              <w:rPr>
                <w:rFonts w:cs="Times New Roman"/>
              </w:rPr>
            </w:pPr>
            <w:r>
              <w:rPr>
                <w:rFonts w:cs="Times New Roman"/>
              </w:rPr>
              <w:t>区域湿度条件</w:t>
            </w:r>
          </w:p>
        </w:tc>
        <w:tc>
          <w:tcPr>
            <w:tcW w:w="1602" w:type="pct"/>
            <w:vAlign w:val="center"/>
          </w:tcPr>
          <w:p w14:paraId="738847C1">
            <w:pPr>
              <w:pStyle w:val="179"/>
              <w:rPr>
                <w:rFonts w:cs="Times New Roman"/>
              </w:rPr>
            </w:pPr>
            <w:r>
              <w:rPr>
                <w:rFonts w:hint="eastAsia" w:cs="Times New Roman"/>
              </w:rPr>
              <w:t>中等</w:t>
            </w:r>
            <w:r>
              <w:rPr>
                <w:rFonts w:cs="Times New Roman"/>
              </w:rPr>
              <w:t>湿度</w:t>
            </w:r>
          </w:p>
        </w:tc>
      </w:tr>
      <w:tr w14:paraId="517D5155">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402" w:hRule="atLeast"/>
          <w:jc w:val="center"/>
        </w:trPr>
        <w:tc>
          <w:tcPr>
            <w:tcW w:w="1700" w:type="pct"/>
            <w:vMerge w:val="restart"/>
            <w:vAlign w:val="center"/>
          </w:tcPr>
          <w:p w14:paraId="3F6DCA95">
            <w:pPr>
              <w:pStyle w:val="179"/>
              <w:rPr>
                <w:rFonts w:cs="Times New Roman"/>
              </w:rPr>
            </w:pPr>
            <w:r>
              <w:rPr>
                <w:rFonts w:cs="Times New Roman"/>
              </w:rPr>
              <w:t>是否考虑地形</w:t>
            </w:r>
          </w:p>
        </w:tc>
        <w:tc>
          <w:tcPr>
            <w:tcW w:w="1698" w:type="pct"/>
            <w:vAlign w:val="center"/>
          </w:tcPr>
          <w:p w14:paraId="5E4A84B9">
            <w:pPr>
              <w:pStyle w:val="179"/>
              <w:rPr>
                <w:rFonts w:cs="Times New Roman"/>
              </w:rPr>
            </w:pPr>
            <w:r>
              <w:rPr>
                <w:rFonts w:cs="Times New Roman"/>
              </w:rPr>
              <w:t>考虑地形</w:t>
            </w:r>
          </w:p>
        </w:tc>
        <w:tc>
          <w:tcPr>
            <w:tcW w:w="1602" w:type="pct"/>
            <w:vAlign w:val="center"/>
          </w:tcPr>
          <w:p w14:paraId="4BF776DD">
            <w:pPr>
              <w:pStyle w:val="179"/>
              <w:rPr>
                <w:rFonts w:cs="Times New Roman"/>
              </w:rPr>
            </w:pPr>
            <w:r>
              <w:rPr>
                <w:rFonts w:cs="Times New Roman"/>
              </w:rPr>
              <w:t>是</w:t>
            </w:r>
          </w:p>
        </w:tc>
      </w:tr>
      <w:tr w14:paraId="3FFBC06A">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402" w:hRule="atLeast"/>
          <w:jc w:val="center"/>
        </w:trPr>
        <w:tc>
          <w:tcPr>
            <w:tcW w:w="1700" w:type="pct"/>
            <w:vMerge w:val="continue"/>
            <w:vAlign w:val="center"/>
          </w:tcPr>
          <w:p w14:paraId="4FDA08C3">
            <w:pPr>
              <w:pStyle w:val="179"/>
              <w:rPr>
                <w:rFonts w:cs="Times New Roman"/>
              </w:rPr>
            </w:pPr>
          </w:p>
        </w:tc>
        <w:tc>
          <w:tcPr>
            <w:tcW w:w="1698" w:type="pct"/>
            <w:vAlign w:val="center"/>
          </w:tcPr>
          <w:p w14:paraId="40A24662">
            <w:pPr>
              <w:pStyle w:val="179"/>
              <w:rPr>
                <w:rFonts w:cs="Times New Roman"/>
              </w:rPr>
            </w:pPr>
            <w:r>
              <w:rPr>
                <w:rFonts w:cs="Times New Roman"/>
              </w:rPr>
              <w:t>地形数据分辨率/m</w:t>
            </w:r>
          </w:p>
        </w:tc>
        <w:tc>
          <w:tcPr>
            <w:tcW w:w="1602" w:type="pct"/>
            <w:vAlign w:val="center"/>
          </w:tcPr>
          <w:p w14:paraId="628C4990">
            <w:pPr>
              <w:pStyle w:val="179"/>
              <w:rPr>
                <w:rFonts w:cs="Times New Roman"/>
              </w:rPr>
            </w:pPr>
            <w:r>
              <w:rPr>
                <w:rFonts w:cs="Times New Roman"/>
              </w:rPr>
              <w:t>90</w:t>
            </w:r>
          </w:p>
        </w:tc>
      </w:tr>
      <w:tr w14:paraId="5A524368">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401" w:hRule="atLeast"/>
          <w:jc w:val="center"/>
        </w:trPr>
        <w:tc>
          <w:tcPr>
            <w:tcW w:w="1700" w:type="pct"/>
            <w:vMerge w:val="restart"/>
            <w:vAlign w:val="center"/>
          </w:tcPr>
          <w:p w14:paraId="316BA889">
            <w:pPr>
              <w:pStyle w:val="179"/>
              <w:rPr>
                <w:rFonts w:cs="Times New Roman"/>
              </w:rPr>
            </w:pPr>
            <w:r>
              <w:rPr>
                <w:rFonts w:cs="Times New Roman"/>
              </w:rPr>
              <w:t>是否考虑岸线熏烟</w:t>
            </w:r>
          </w:p>
        </w:tc>
        <w:tc>
          <w:tcPr>
            <w:tcW w:w="1698" w:type="pct"/>
            <w:vAlign w:val="center"/>
          </w:tcPr>
          <w:p w14:paraId="12EAD288">
            <w:pPr>
              <w:pStyle w:val="179"/>
              <w:rPr>
                <w:rFonts w:cs="Times New Roman"/>
              </w:rPr>
            </w:pPr>
            <w:r>
              <w:rPr>
                <w:rFonts w:cs="Times New Roman"/>
              </w:rPr>
              <w:t>考虑岸线熏烟</w:t>
            </w:r>
          </w:p>
        </w:tc>
        <w:tc>
          <w:tcPr>
            <w:tcW w:w="1602" w:type="pct"/>
            <w:vAlign w:val="center"/>
          </w:tcPr>
          <w:p w14:paraId="5B515CC3">
            <w:pPr>
              <w:pStyle w:val="179"/>
              <w:rPr>
                <w:rFonts w:cs="Times New Roman"/>
              </w:rPr>
            </w:pPr>
            <w:r>
              <w:rPr>
                <w:rFonts w:cs="Times New Roman"/>
              </w:rPr>
              <w:t>否</w:t>
            </w:r>
          </w:p>
        </w:tc>
      </w:tr>
      <w:tr w14:paraId="0AE533E4">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401" w:hRule="atLeast"/>
          <w:jc w:val="center"/>
        </w:trPr>
        <w:tc>
          <w:tcPr>
            <w:tcW w:w="1700" w:type="pct"/>
            <w:vMerge w:val="continue"/>
            <w:vAlign w:val="center"/>
          </w:tcPr>
          <w:p w14:paraId="7D9711A8">
            <w:pPr>
              <w:pStyle w:val="179"/>
              <w:rPr>
                <w:rFonts w:cs="Times New Roman"/>
              </w:rPr>
            </w:pPr>
          </w:p>
        </w:tc>
        <w:tc>
          <w:tcPr>
            <w:tcW w:w="1698" w:type="pct"/>
            <w:vAlign w:val="center"/>
          </w:tcPr>
          <w:p w14:paraId="6AE84EF2">
            <w:pPr>
              <w:pStyle w:val="179"/>
              <w:rPr>
                <w:rFonts w:cs="Times New Roman"/>
              </w:rPr>
            </w:pPr>
            <w:r>
              <w:rPr>
                <w:rFonts w:cs="Times New Roman"/>
              </w:rPr>
              <w:t>岸线距离/km</w:t>
            </w:r>
          </w:p>
        </w:tc>
        <w:tc>
          <w:tcPr>
            <w:tcW w:w="1602" w:type="pct"/>
            <w:vAlign w:val="center"/>
          </w:tcPr>
          <w:p w14:paraId="5E88D97D">
            <w:pPr>
              <w:pStyle w:val="179"/>
              <w:rPr>
                <w:rFonts w:cs="Times New Roman"/>
              </w:rPr>
            </w:pPr>
            <w:r>
              <w:rPr>
                <w:rFonts w:cs="Times New Roman"/>
              </w:rPr>
              <w:t>/</w:t>
            </w:r>
          </w:p>
        </w:tc>
      </w:tr>
      <w:tr w14:paraId="438D099F">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406" w:hRule="atLeast"/>
          <w:jc w:val="center"/>
        </w:trPr>
        <w:tc>
          <w:tcPr>
            <w:tcW w:w="1700" w:type="pct"/>
            <w:vMerge w:val="continue"/>
            <w:vAlign w:val="center"/>
          </w:tcPr>
          <w:p w14:paraId="1A8D235C">
            <w:pPr>
              <w:pStyle w:val="179"/>
              <w:rPr>
                <w:rFonts w:cs="Times New Roman"/>
              </w:rPr>
            </w:pPr>
          </w:p>
        </w:tc>
        <w:tc>
          <w:tcPr>
            <w:tcW w:w="1698" w:type="pct"/>
            <w:vAlign w:val="center"/>
          </w:tcPr>
          <w:p w14:paraId="2572EC0A">
            <w:pPr>
              <w:pStyle w:val="179"/>
              <w:rPr>
                <w:rFonts w:cs="Times New Roman"/>
              </w:rPr>
            </w:pPr>
            <w:r>
              <w:rPr>
                <w:rFonts w:cs="Times New Roman"/>
              </w:rPr>
              <w:t>岸线方向/°</w:t>
            </w:r>
          </w:p>
        </w:tc>
        <w:tc>
          <w:tcPr>
            <w:tcW w:w="1602" w:type="pct"/>
            <w:vAlign w:val="center"/>
          </w:tcPr>
          <w:p w14:paraId="7748FBA2">
            <w:pPr>
              <w:pStyle w:val="179"/>
              <w:rPr>
                <w:rFonts w:cs="Times New Roman"/>
              </w:rPr>
            </w:pPr>
            <w:r>
              <w:rPr>
                <w:rFonts w:cs="Times New Roman"/>
              </w:rPr>
              <w:t>/</w:t>
            </w:r>
          </w:p>
        </w:tc>
      </w:tr>
    </w:tbl>
    <w:p w14:paraId="02DCF8E2">
      <w:pPr>
        <w:ind w:firstLine="480"/>
        <w:rPr>
          <w:rFonts w:hAnsi="Times New Roman" w:cs="Times New Roman"/>
        </w:rPr>
      </w:pPr>
      <w:r>
        <w:rPr>
          <w:rFonts w:hAnsi="Times New Roman" w:cs="Times New Roman"/>
        </w:rPr>
        <w:t>（1）根据《环境影响评价技术导则  大气环境》(HJ2.2-2018)附录B的B.6.1城市/农村选项，“当项目周边3km半径范围内一半以上属于城市建成区或者规划区时选择城市，否则选择农村”。本项目周边3km半径范围内一半以上属于农村，故选取农村选项。</w:t>
      </w:r>
    </w:p>
    <w:p w14:paraId="5AC9B152">
      <w:pPr>
        <w:ind w:firstLine="480"/>
        <w:rPr>
          <w:rFonts w:hAnsi="Times New Roman" w:cs="Times New Roman"/>
        </w:rPr>
      </w:pPr>
      <w:r>
        <w:rPr>
          <w:rFonts w:hAnsi="Times New Roman" w:cs="Times New Roman"/>
        </w:rPr>
        <w:t>（2）环境温度取值来源于</w:t>
      </w:r>
      <w:r>
        <w:rPr>
          <w:rFonts w:hint="eastAsia" w:hAnsi="Times New Roman" w:cs="Times New Roman"/>
        </w:rPr>
        <w:t>嫩江市</w:t>
      </w:r>
      <w:r>
        <w:rPr>
          <w:rFonts w:hAnsi="Times New Roman" w:cs="Times New Roman"/>
        </w:rPr>
        <w:t>二十年气象数据统计。</w:t>
      </w:r>
    </w:p>
    <w:p w14:paraId="02CD249E">
      <w:pPr>
        <w:ind w:firstLine="480"/>
        <w:rPr>
          <w:rFonts w:hAnsi="Times New Roman" w:cs="Times New Roman"/>
        </w:rPr>
      </w:pPr>
      <w:r>
        <w:rPr>
          <w:rFonts w:hAnsi="Times New Roman" w:cs="Times New Roman"/>
        </w:rPr>
        <w:t>（3）拟建项目周边3km范围内占地面积最大的为</w:t>
      </w:r>
      <w:r>
        <w:rPr>
          <w:rFonts w:hint="eastAsia" w:cs="Times New Roman"/>
        </w:rPr>
        <w:t>落叶林</w:t>
      </w:r>
      <w:r>
        <w:rPr>
          <w:rFonts w:hAnsi="Times New Roman" w:cs="Times New Roman"/>
        </w:rPr>
        <w:t>，本次评价的土地利用类型选取</w:t>
      </w:r>
      <w:r>
        <w:rPr>
          <w:rFonts w:hint="eastAsia" w:cs="Times New Roman"/>
        </w:rPr>
        <w:t>落叶林</w:t>
      </w:r>
      <w:r>
        <w:rPr>
          <w:rFonts w:hAnsi="Times New Roman" w:cs="Times New Roman"/>
        </w:rPr>
        <w:t>。</w:t>
      </w:r>
    </w:p>
    <w:p w14:paraId="790048D4">
      <w:pPr>
        <w:ind w:firstLine="480"/>
        <w:rPr>
          <w:rFonts w:hAnsi="Times New Roman" w:cs="Times New Roman"/>
        </w:rPr>
      </w:pPr>
      <w:r>
        <w:rPr>
          <w:rFonts w:hAnsi="Times New Roman" w:cs="Times New Roman"/>
        </w:rPr>
        <w:t>（4）根据中国干湿度分布图判断，项目地区属于中等湿润气候。</w:t>
      </w:r>
    </w:p>
    <w:p w14:paraId="218148BD">
      <w:pPr>
        <w:ind w:firstLine="480"/>
        <w:rPr>
          <w:rFonts w:hAnsi="Times New Roman" w:cs="Times New Roman"/>
        </w:rPr>
      </w:pPr>
      <w:r>
        <w:rPr>
          <w:rFonts w:hAnsi="Times New Roman" w:cs="Times New Roman"/>
        </w:rPr>
        <w:t>（5）根据EIA2018大气预测软件的DEM地形文件，地形数据分辨率90m。</w:t>
      </w:r>
    </w:p>
    <w:p w14:paraId="53C46DDC">
      <w:pPr>
        <w:ind w:firstLine="480"/>
        <w:rPr>
          <w:rFonts w:hAnsi="Times New Roman" w:cs="Times New Roman"/>
        </w:rPr>
      </w:pPr>
      <w:r>
        <w:rPr>
          <w:rFonts w:hAnsi="Times New Roman" w:cs="Times New Roman"/>
        </w:rPr>
        <w:t>根据《环境影响评价技术导则  大气环境》（HJ2.2-2018）有关要求，本次评价选取全部源强进行计算评价工作等级，详见下表。</w:t>
      </w:r>
    </w:p>
    <w:p w14:paraId="2D58CADF">
      <w:pPr>
        <w:pStyle w:val="178"/>
        <w:rPr>
          <w:rFonts w:hAnsi="Times New Roman"/>
        </w:rPr>
      </w:pPr>
      <w:r>
        <w:pict>
          <v:shape id="文本框 266" o:spid="_x0000_s1202" o:spt="202" type="#_x0000_t202" style="position:absolute;left:0pt;margin-left:244.65pt;margin-top:148.5pt;height:22.1pt;width:52.05pt;z-index:251667456;mso-width-relative:page;mso-height-relative:page;" filled="f" stroked="f" coordsize="21600,21600">
            <v:path/>
            <v:fill on="f" focussize="0,0"/>
            <v:stroke on="f" joinstyle="miter"/>
            <v:imagedata o:title=""/>
            <o:lock v:ext="edit"/>
            <v:textbox>
              <w:txbxContent>
                <w:p w14:paraId="0853DFF4">
                  <w:pPr>
                    <w:pStyle w:val="179"/>
                  </w:pPr>
                  <w:r>
                    <w:rPr>
                      <w:rFonts w:hint="eastAsia"/>
                    </w:rPr>
                    <w:t>本项目</w:t>
                  </w:r>
                </w:p>
              </w:txbxContent>
            </v:textbox>
          </v:shape>
        </w:pict>
      </w:r>
      <w:r>
        <w:pict>
          <v:shape id="_x0000_s1201" o:spid="_x0000_s1201" o:spt="12" type="#_x0000_t12" style="position:absolute;left:0pt;margin-left:241.45pt;margin-top:148.5pt;height:8.15pt;width:8.55pt;z-index:251666432;mso-width-relative:page;mso-height-relative:page;" fillcolor="#FF0000" filled="t" coordsize="21600,21600">
            <v:path/>
            <v:fill on="t" focussize="0,0"/>
            <v:stroke joinstyle="miter"/>
            <v:imagedata o:title=""/>
            <o:lock v:ext="edit"/>
          </v:shape>
        </w:pict>
      </w:r>
      <w:r>
        <w:drawing>
          <wp:inline distT="0" distB="0" distL="0" distR="0">
            <wp:extent cx="5278120" cy="3981450"/>
            <wp:effectExtent l="19050" t="0" r="0" b="0"/>
            <wp:docPr id="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1"/>
                    <pic:cNvPicPr>
                      <a:picLocks noChangeAspect="1" noChangeArrowheads="1"/>
                    </pic:cNvPicPr>
                  </pic:nvPicPr>
                  <pic:blipFill>
                    <a:blip r:embed="rId33"/>
                    <a:srcRect/>
                    <a:stretch>
                      <a:fillRect/>
                    </a:stretch>
                  </pic:blipFill>
                  <pic:spPr>
                    <a:xfrm>
                      <a:off x="0" y="0"/>
                      <a:ext cx="5278120" cy="3981799"/>
                    </a:xfrm>
                    <a:prstGeom prst="rect">
                      <a:avLst/>
                    </a:prstGeom>
                    <a:noFill/>
                    <a:ln w="9525">
                      <a:noFill/>
                      <a:miter lim="800000"/>
                      <a:headEnd/>
                      <a:tailEnd/>
                    </a:ln>
                  </pic:spPr>
                </pic:pic>
              </a:graphicData>
            </a:graphic>
          </wp:inline>
        </w:drawing>
      </w:r>
    </w:p>
    <w:p w14:paraId="785BBD05">
      <w:pPr>
        <w:pStyle w:val="178"/>
        <w:rPr>
          <w:iCs/>
        </w:rPr>
      </w:pPr>
      <w:r>
        <w:rPr>
          <w:iCs/>
        </w:rPr>
        <w:t>图2.</w:t>
      </w:r>
      <w:r>
        <w:rPr>
          <w:rFonts w:hint="eastAsia"/>
          <w:iCs/>
        </w:rPr>
        <w:t>4</w:t>
      </w:r>
      <w:r>
        <w:rPr>
          <w:iCs/>
        </w:rPr>
        <w:t>-1  地面地形高程图</w:t>
      </w:r>
    </w:p>
    <w:p w14:paraId="74D7A6E9">
      <w:pPr>
        <w:pStyle w:val="179"/>
      </w:pPr>
    </w:p>
    <w:p w14:paraId="0181CC48">
      <w:pPr>
        <w:pStyle w:val="178"/>
      </w:pPr>
      <w:r>
        <w:t>表2.</w:t>
      </w:r>
      <w:r>
        <w:rPr>
          <w:rFonts w:hint="eastAsia"/>
        </w:rPr>
        <w:t>5</w:t>
      </w:r>
      <w:r>
        <w:t>-3  大气环境影响评价估算模式参数表（</w:t>
      </w:r>
      <w:r>
        <w:rPr>
          <w:rFonts w:hint="eastAsia"/>
        </w:rPr>
        <w:t>矩形</w:t>
      </w:r>
      <w:r>
        <w:t>面源）</w:t>
      </w:r>
    </w:p>
    <w:tbl>
      <w:tblPr>
        <w:tblStyle w:val="36"/>
        <w:tblW w:w="5000"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57" w:type="dxa"/>
          <w:bottom w:w="0" w:type="dxa"/>
          <w:right w:w="57" w:type="dxa"/>
        </w:tblCellMar>
      </w:tblPr>
      <w:tblGrid>
        <w:gridCol w:w="398"/>
        <w:gridCol w:w="919"/>
        <w:gridCol w:w="931"/>
        <w:gridCol w:w="932"/>
        <w:gridCol w:w="711"/>
        <w:gridCol w:w="698"/>
        <w:gridCol w:w="698"/>
        <w:gridCol w:w="698"/>
        <w:gridCol w:w="698"/>
        <w:gridCol w:w="426"/>
        <w:gridCol w:w="1318"/>
      </w:tblGrid>
      <w:tr w14:paraId="400060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57" w:type="dxa"/>
            <w:bottom w:w="0" w:type="dxa"/>
            <w:right w:w="57" w:type="dxa"/>
          </w:tblCellMar>
        </w:tblPrEx>
        <w:trPr>
          <w:trHeight w:val="375" w:hRule="atLeast"/>
          <w:jc w:val="center"/>
        </w:trPr>
        <w:tc>
          <w:tcPr>
            <w:tcW w:w="240" w:type="pct"/>
            <w:vMerge w:val="restart"/>
            <w:tcBorders>
              <w:top w:val="single" w:color="auto" w:sz="12" w:space="0"/>
              <w:left w:val="single" w:color="auto" w:sz="12" w:space="0"/>
              <w:bottom w:val="nil"/>
            </w:tcBorders>
            <w:vAlign w:val="center"/>
          </w:tcPr>
          <w:p w14:paraId="0929E5AE">
            <w:pPr>
              <w:pStyle w:val="179"/>
              <w:rPr>
                <w:b/>
              </w:rPr>
            </w:pPr>
            <w:r>
              <w:rPr>
                <w:b/>
              </w:rPr>
              <w:t>编号</w:t>
            </w:r>
          </w:p>
        </w:tc>
        <w:tc>
          <w:tcPr>
            <w:tcW w:w="549" w:type="pct"/>
            <w:vMerge w:val="restart"/>
            <w:tcBorders>
              <w:top w:val="single" w:color="auto" w:sz="12" w:space="0"/>
              <w:bottom w:val="nil"/>
            </w:tcBorders>
            <w:vAlign w:val="center"/>
          </w:tcPr>
          <w:p w14:paraId="73D5CEAD">
            <w:pPr>
              <w:pStyle w:val="179"/>
              <w:rPr>
                <w:b/>
              </w:rPr>
            </w:pPr>
            <w:r>
              <w:rPr>
                <w:b/>
              </w:rPr>
              <w:t>名称</w:t>
            </w:r>
          </w:p>
        </w:tc>
        <w:tc>
          <w:tcPr>
            <w:tcW w:w="1112" w:type="pct"/>
            <w:gridSpan w:val="2"/>
            <w:tcBorders>
              <w:top w:val="single" w:color="auto" w:sz="12" w:space="0"/>
            </w:tcBorders>
            <w:vAlign w:val="center"/>
          </w:tcPr>
          <w:p w14:paraId="33A3986B">
            <w:pPr>
              <w:pStyle w:val="179"/>
              <w:rPr>
                <w:b/>
              </w:rPr>
            </w:pPr>
            <w:r>
              <w:rPr>
                <w:b/>
              </w:rPr>
              <w:t>面源起点坐标（m）</w:t>
            </w:r>
          </w:p>
        </w:tc>
        <w:tc>
          <w:tcPr>
            <w:tcW w:w="390" w:type="pct"/>
            <w:vMerge w:val="restart"/>
            <w:tcBorders>
              <w:top w:val="single" w:color="auto" w:sz="12" w:space="0"/>
              <w:bottom w:val="nil"/>
            </w:tcBorders>
            <w:vAlign w:val="center"/>
          </w:tcPr>
          <w:p w14:paraId="6327CEA9">
            <w:pPr>
              <w:pStyle w:val="179"/>
              <w:rPr>
                <w:b/>
              </w:rPr>
            </w:pPr>
            <w:r>
              <w:rPr>
                <w:b/>
              </w:rPr>
              <w:t>面源海拔高度（m）</w:t>
            </w:r>
          </w:p>
        </w:tc>
        <w:tc>
          <w:tcPr>
            <w:tcW w:w="1251" w:type="pct"/>
            <w:gridSpan w:val="3"/>
            <w:tcBorders>
              <w:top w:val="single" w:color="auto" w:sz="12" w:space="0"/>
            </w:tcBorders>
            <w:vAlign w:val="center"/>
          </w:tcPr>
          <w:p w14:paraId="27AC4872">
            <w:pPr>
              <w:pStyle w:val="179"/>
              <w:rPr>
                <w:b/>
              </w:rPr>
            </w:pPr>
            <w:r>
              <w:rPr>
                <w:b/>
                <w:szCs w:val="21"/>
              </w:rPr>
              <w:t>矩形面源</w:t>
            </w:r>
          </w:p>
        </w:tc>
        <w:tc>
          <w:tcPr>
            <w:tcW w:w="417" w:type="pct"/>
            <w:vMerge w:val="restart"/>
            <w:tcBorders>
              <w:top w:val="single" w:color="auto" w:sz="12" w:space="0"/>
              <w:bottom w:val="nil"/>
            </w:tcBorders>
            <w:vAlign w:val="center"/>
          </w:tcPr>
          <w:p w14:paraId="62FA6874">
            <w:pPr>
              <w:pStyle w:val="179"/>
              <w:rPr>
                <w:b/>
              </w:rPr>
            </w:pPr>
            <w:r>
              <w:rPr>
                <w:b/>
              </w:rPr>
              <w:t>年排放小时数（h）</w:t>
            </w:r>
          </w:p>
        </w:tc>
        <w:tc>
          <w:tcPr>
            <w:tcW w:w="256" w:type="pct"/>
            <w:vMerge w:val="restart"/>
            <w:tcBorders>
              <w:top w:val="single" w:color="auto" w:sz="12" w:space="0"/>
              <w:bottom w:val="nil"/>
            </w:tcBorders>
            <w:vAlign w:val="center"/>
          </w:tcPr>
          <w:p w14:paraId="412AA270">
            <w:pPr>
              <w:pStyle w:val="179"/>
              <w:rPr>
                <w:b/>
              </w:rPr>
            </w:pPr>
            <w:r>
              <w:rPr>
                <w:b/>
              </w:rPr>
              <w:t>排放工况</w:t>
            </w:r>
          </w:p>
        </w:tc>
        <w:tc>
          <w:tcPr>
            <w:tcW w:w="785" w:type="pct"/>
            <w:tcBorders>
              <w:top w:val="single" w:color="auto" w:sz="12" w:space="0"/>
              <w:right w:val="single" w:color="auto" w:sz="12" w:space="0"/>
            </w:tcBorders>
            <w:vAlign w:val="center"/>
          </w:tcPr>
          <w:p w14:paraId="2C0254DB">
            <w:pPr>
              <w:pStyle w:val="179"/>
              <w:rPr>
                <w:b/>
              </w:rPr>
            </w:pPr>
            <w:r>
              <w:rPr>
                <w:b/>
              </w:rPr>
              <w:t>排放速率/（kg/h）</w:t>
            </w:r>
          </w:p>
        </w:tc>
      </w:tr>
      <w:tr w14:paraId="703D34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57" w:type="dxa"/>
            <w:bottom w:w="0" w:type="dxa"/>
            <w:right w:w="57" w:type="dxa"/>
          </w:tblCellMar>
        </w:tblPrEx>
        <w:trPr>
          <w:trHeight w:val="340" w:hRule="atLeast"/>
          <w:jc w:val="center"/>
        </w:trPr>
        <w:tc>
          <w:tcPr>
            <w:tcW w:w="240" w:type="pct"/>
            <w:vMerge w:val="continue"/>
            <w:tcBorders>
              <w:top w:val="nil"/>
              <w:left w:val="single" w:color="auto" w:sz="12" w:space="0"/>
            </w:tcBorders>
            <w:vAlign w:val="center"/>
          </w:tcPr>
          <w:p w14:paraId="76440BC4">
            <w:pPr>
              <w:pStyle w:val="179"/>
              <w:rPr>
                <w:b/>
              </w:rPr>
            </w:pPr>
          </w:p>
        </w:tc>
        <w:tc>
          <w:tcPr>
            <w:tcW w:w="549" w:type="pct"/>
            <w:vMerge w:val="continue"/>
            <w:tcBorders>
              <w:top w:val="nil"/>
            </w:tcBorders>
            <w:vAlign w:val="center"/>
          </w:tcPr>
          <w:p w14:paraId="75863883">
            <w:pPr>
              <w:pStyle w:val="179"/>
              <w:rPr>
                <w:b/>
              </w:rPr>
            </w:pPr>
          </w:p>
        </w:tc>
        <w:tc>
          <w:tcPr>
            <w:tcW w:w="556" w:type="pct"/>
            <w:vAlign w:val="center"/>
          </w:tcPr>
          <w:p w14:paraId="38EAA51C">
            <w:pPr>
              <w:pStyle w:val="179"/>
              <w:rPr>
                <w:b/>
              </w:rPr>
            </w:pPr>
            <w:r>
              <w:rPr>
                <w:b/>
              </w:rPr>
              <w:t>X</w:t>
            </w:r>
          </w:p>
        </w:tc>
        <w:tc>
          <w:tcPr>
            <w:tcW w:w="556" w:type="pct"/>
            <w:vAlign w:val="center"/>
          </w:tcPr>
          <w:p w14:paraId="631C1D83">
            <w:pPr>
              <w:pStyle w:val="179"/>
              <w:rPr>
                <w:b/>
              </w:rPr>
            </w:pPr>
            <w:r>
              <w:rPr>
                <w:b/>
              </w:rPr>
              <w:t>Y</w:t>
            </w:r>
          </w:p>
        </w:tc>
        <w:tc>
          <w:tcPr>
            <w:tcW w:w="390" w:type="pct"/>
            <w:vMerge w:val="continue"/>
            <w:tcBorders>
              <w:top w:val="nil"/>
            </w:tcBorders>
            <w:vAlign w:val="center"/>
          </w:tcPr>
          <w:p w14:paraId="3B46A88C">
            <w:pPr>
              <w:pStyle w:val="179"/>
              <w:rPr>
                <w:b/>
              </w:rPr>
            </w:pPr>
          </w:p>
        </w:tc>
        <w:tc>
          <w:tcPr>
            <w:tcW w:w="417" w:type="pct"/>
            <w:tcBorders>
              <w:top w:val="single" w:color="auto" w:sz="4" w:space="0"/>
            </w:tcBorders>
            <w:vAlign w:val="center"/>
          </w:tcPr>
          <w:p w14:paraId="15EEC585">
            <w:pPr>
              <w:pStyle w:val="179"/>
              <w:rPr>
                <w:b/>
              </w:rPr>
            </w:pPr>
            <w:r>
              <w:rPr>
                <w:b/>
                <w:szCs w:val="21"/>
              </w:rPr>
              <w:t>矩形面源</w:t>
            </w:r>
          </w:p>
        </w:tc>
        <w:tc>
          <w:tcPr>
            <w:tcW w:w="417" w:type="pct"/>
            <w:tcBorders>
              <w:top w:val="single" w:color="auto" w:sz="4" w:space="0"/>
            </w:tcBorders>
            <w:vAlign w:val="center"/>
          </w:tcPr>
          <w:p w14:paraId="2154A3D8">
            <w:pPr>
              <w:pStyle w:val="179"/>
              <w:rPr>
                <w:b/>
              </w:rPr>
            </w:pPr>
            <w:r>
              <w:rPr>
                <w:b/>
              </w:rPr>
              <w:t>宽度(m)</w:t>
            </w:r>
          </w:p>
        </w:tc>
        <w:tc>
          <w:tcPr>
            <w:tcW w:w="417" w:type="pct"/>
            <w:tcBorders>
              <w:top w:val="single" w:color="auto" w:sz="4" w:space="0"/>
            </w:tcBorders>
            <w:vAlign w:val="center"/>
          </w:tcPr>
          <w:p w14:paraId="7099DD9E">
            <w:pPr>
              <w:pStyle w:val="179"/>
              <w:rPr>
                <w:b/>
              </w:rPr>
            </w:pPr>
            <w:r>
              <w:rPr>
                <w:b/>
              </w:rPr>
              <w:t>有效高度(m)</w:t>
            </w:r>
          </w:p>
        </w:tc>
        <w:tc>
          <w:tcPr>
            <w:tcW w:w="417" w:type="pct"/>
            <w:vMerge w:val="continue"/>
            <w:tcBorders>
              <w:top w:val="nil"/>
            </w:tcBorders>
            <w:vAlign w:val="center"/>
          </w:tcPr>
          <w:p w14:paraId="26EBDE81">
            <w:pPr>
              <w:pStyle w:val="179"/>
              <w:rPr>
                <w:b/>
              </w:rPr>
            </w:pPr>
          </w:p>
        </w:tc>
        <w:tc>
          <w:tcPr>
            <w:tcW w:w="256" w:type="pct"/>
            <w:vMerge w:val="continue"/>
            <w:tcBorders>
              <w:top w:val="nil"/>
            </w:tcBorders>
            <w:vAlign w:val="center"/>
          </w:tcPr>
          <w:p w14:paraId="2E960E99">
            <w:pPr>
              <w:pStyle w:val="179"/>
              <w:rPr>
                <w:b/>
              </w:rPr>
            </w:pPr>
          </w:p>
        </w:tc>
        <w:tc>
          <w:tcPr>
            <w:tcW w:w="785" w:type="pct"/>
            <w:tcBorders>
              <w:right w:val="single" w:color="auto" w:sz="12" w:space="0"/>
            </w:tcBorders>
            <w:vAlign w:val="center"/>
          </w:tcPr>
          <w:p w14:paraId="4CA20255">
            <w:pPr>
              <w:pStyle w:val="179"/>
              <w:rPr>
                <w:b/>
              </w:rPr>
            </w:pPr>
            <w:r>
              <w:rPr>
                <w:b/>
              </w:rPr>
              <w:t>TSP</w:t>
            </w:r>
          </w:p>
        </w:tc>
      </w:tr>
      <w:tr w14:paraId="41FB0C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57" w:type="dxa"/>
            <w:bottom w:w="0" w:type="dxa"/>
            <w:right w:w="57" w:type="dxa"/>
          </w:tblCellMar>
        </w:tblPrEx>
        <w:trPr>
          <w:trHeight w:val="340" w:hRule="atLeast"/>
          <w:jc w:val="center"/>
        </w:trPr>
        <w:tc>
          <w:tcPr>
            <w:tcW w:w="240" w:type="pct"/>
            <w:tcBorders>
              <w:left w:val="single" w:color="auto" w:sz="12" w:space="0"/>
            </w:tcBorders>
            <w:vAlign w:val="center"/>
          </w:tcPr>
          <w:p w14:paraId="2938A933">
            <w:pPr>
              <w:pStyle w:val="179"/>
            </w:pPr>
            <w:r>
              <w:t>1</w:t>
            </w:r>
          </w:p>
        </w:tc>
        <w:tc>
          <w:tcPr>
            <w:tcW w:w="549" w:type="pct"/>
            <w:vAlign w:val="center"/>
          </w:tcPr>
          <w:p w14:paraId="35C63324">
            <w:pPr>
              <w:pStyle w:val="179"/>
              <w:rPr>
                <w:rFonts w:ascii="宋体" w:hAnsi="宋体"/>
              </w:rPr>
            </w:pPr>
            <w:r>
              <w:rPr>
                <w:rFonts w:hint="eastAsia"/>
              </w:rPr>
              <w:t>作业区</w:t>
            </w:r>
          </w:p>
        </w:tc>
        <w:tc>
          <w:tcPr>
            <w:tcW w:w="556" w:type="pct"/>
            <w:vAlign w:val="center"/>
          </w:tcPr>
          <w:p w14:paraId="5AE38D71">
            <w:pPr>
              <w:pStyle w:val="179"/>
            </w:pPr>
            <w:r>
              <w:rPr>
                <w:rFonts w:hint="eastAsia"/>
              </w:rPr>
              <w:t>243</w:t>
            </w:r>
          </w:p>
        </w:tc>
        <w:tc>
          <w:tcPr>
            <w:tcW w:w="556" w:type="pct"/>
            <w:vAlign w:val="center"/>
          </w:tcPr>
          <w:p w14:paraId="3ED8E21D">
            <w:pPr>
              <w:pStyle w:val="179"/>
            </w:pPr>
            <w:r>
              <w:rPr>
                <w:rFonts w:hint="eastAsia"/>
              </w:rPr>
              <w:t>-90</w:t>
            </w:r>
          </w:p>
        </w:tc>
        <w:tc>
          <w:tcPr>
            <w:tcW w:w="390" w:type="pct"/>
            <w:vAlign w:val="center"/>
          </w:tcPr>
          <w:p w14:paraId="5415AC7F">
            <w:pPr>
              <w:pStyle w:val="179"/>
            </w:pPr>
            <w:r>
              <w:rPr>
                <w:rFonts w:hint="eastAsia"/>
              </w:rPr>
              <w:t>507</w:t>
            </w:r>
          </w:p>
        </w:tc>
        <w:tc>
          <w:tcPr>
            <w:tcW w:w="417" w:type="pct"/>
            <w:vAlign w:val="center"/>
          </w:tcPr>
          <w:p w14:paraId="31B8E822">
            <w:pPr>
              <w:pStyle w:val="179"/>
            </w:pPr>
            <w:r>
              <w:rPr>
                <w:rFonts w:hint="eastAsia"/>
              </w:rPr>
              <w:t>200</w:t>
            </w:r>
          </w:p>
        </w:tc>
        <w:tc>
          <w:tcPr>
            <w:tcW w:w="417" w:type="pct"/>
            <w:vAlign w:val="center"/>
          </w:tcPr>
          <w:p w14:paraId="5C7E7C96">
            <w:pPr>
              <w:pStyle w:val="179"/>
            </w:pPr>
            <w:r>
              <w:rPr>
                <w:rFonts w:hint="eastAsia"/>
              </w:rPr>
              <w:t>150</w:t>
            </w:r>
          </w:p>
        </w:tc>
        <w:tc>
          <w:tcPr>
            <w:tcW w:w="417" w:type="pct"/>
            <w:vAlign w:val="center"/>
          </w:tcPr>
          <w:p w14:paraId="0FC6AEA6">
            <w:pPr>
              <w:pStyle w:val="179"/>
            </w:pPr>
            <w:r>
              <w:rPr>
                <w:rFonts w:hint="eastAsia"/>
              </w:rPr>
              <w:t>2</w:t>
            </w:r>
          </w:p>
        </w:tc>
        <w:tc>
          <w:tcPr>
            <w:tcW w:w="417" w:type="pct"/>
            <w:vAlign w:val="center"/>
          </w:tcPr>
          <w:p w14:paraId="7452C559">
            <w:pPr>
              <w:pStyle w:val="179"/>
            </w:pPr>
            <w:r>
              <w:rPr>
                <w:rFonts w:hint="eastAsia"/>
              </w:rPr>
              <w:t>1440</w:t>
            </w:r>
          </w:p>
        </w:tc>
        <w:tc>
          <w:tcPr>
            <w:tcW w:w="256" w:type="pct"/>
            <w:vAlign w:val="center"/>
          </w:tcPr>
          <w:p w14:paraId="06F45C89">
            <w:pPr>
              <w:pStyle w:val="179"/>
            </w:pPr>
            <w:r>
              <w:t>正常</w:t>
            </w:r>
          </w:p>
        </w:tc>
        <w:tc>
          <w:tcPr>
            <w:tcW w:w="785" w:type="pct"/>
            <w:tcBorders>
              <w:right w:val="single" w:color="auto" w:sz="12" w:space="0"/>
            </w:tcBorders>
            <w:vAlign w:val="center"/>
          </w:tcPr>
          <w:p w14:paraId="605BA92F">
            <w:pPr>
              <w:pStyle w:val="179"/>
              <w:rPr>
                <w:rFonts w:ascii="宋体" w:hAnsi="宋体"/>
              </w:rPr>
            </w:pPr>
            <w:r>
              <w:rPr>
                <w:rFonts w:hint="eastAsia"/>
              </w:rPr>
              <w:t>0.328</w:t>
            </w:r>
          </w:p>
        </w:tc>
      </w:tr>
      <w:tr w14:paraId="5B6A6A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57" w:type="dxa"/>
            <w:bottom w:w="0" w:type="dxa"/>
            <w:right w:w="57" w:type="dxa"/>
          </w:tblCellMar>
        </w:tblPrEx>
        <w:trPr>
          <w:trHeight w:val="340" w:hRule="atLeast"/>
          <w:jc w:val="center"/>
        </w:trPr>
        <w:tc>
          <w:tcPr>
            <w:tcW w:w="240" w:type="pct"/>
            <w:tcBorders>
              <w:left w:val="single" w:color="auto" w:sz="12" w:space="0"/>
            </w:tcBorders>
            <w:vAlign w:val="center"/>
          </w:tcPr>
          <w:p w14:paraId="4D84117E">
            <w:pPr>
              <w:pStyle w:val="179"/>
            </w:pPr>
            <w:r>
              <w:rPr>
                <w:rFonts w:hint="eastAsia"/>
              </w:rPr>
              <w:t>2</w:t>
            </w:r>
          </w:p>
        </w:tc>
        <w:tc>
          <w:tcPr>
            <w:tcW w:w="549" w:type="pct"/>
            <w:vAlign w:val="center"/>
          </w:tcPr>
          <w:p w14:paraId="7AD271B9">
            <w:pPr>
              <w:pStyle w:val="179"/>
              <w:rPr>
                <w:rFonts w:ascii="宋体" w:hAnsi="宋体"/>
              </w:rPr>
            </w:pPr>
            <w:r>
              <w:rPr>
                <w:rFonts w:hint="eastAsia"/>
              </w:rPr>
              <w:t>运输道路</w:t>
            </w:r>
          </w:p>
        </w:tc>
        <w:tc>
          <w:tcPr>
            <w:tcW w:w="556" w:type="pct"/>
            <w:vAlign w:val="center"/>
          </w:tcPr>
          <w:p w14:paraId="14B52F57">
            <w:pPr>
              <w:pStyle w:val="179"/>
            </w:pPr>
            <w:r>
              <w:rPr>
                <w:rFonts w:hint="eastAsia"/>
              </w:rPr>
              <w:t>257</w:t>
            </w:r>
          </w:p>
        </w:tc>
        <w:tc>
          <w:tcPr>
            <w:tcW w:w="556" w:type="pct"/>
            <w:vAlign w:val="center"/>
          </w:tcPr>
          <w:p w14:paraId="2BC93D20">
            <w:pPr>
              <w:pStyle w:val="179"/>
            </w:pPr>
            <w:r>
              <w:rPr>
                <w:rFonts w:hint="eastAsia"/>
              </w:rPr>
              <w:t>-80</w:t>
            </w:r>
          </w:p>
        </w:tc>
        <w:tc>
          <w:tcPr>
            <w:tcW w:w="390" w:type="pct"/>
            <w:vAlign w:val="center"/>
          </w:tcPr>
          <w:p w14:paraId="6683EFC3">
            <w:pPr>
              <w:pStyle w:val="179"/>
            </w:pPr>
            <w:r>
              <w:rPr>
                <w:rFonts w:hint="eastAsia"/>
              </w:rPr>
              <w:t>490</w:t>
            </w:r>
          </w:p>
        </w:tc>
        <w:tc>
          <w:tcPr>
            <w:tcW w:w="417" w:type="pct"/>
            <w:vAlign w:val="center"/>
          </w:tcPr>
          <w:p w14:paraId="3D9A90D5">
            <w:pPr>
              <w:pStyle w:val="179"/>
            </w:pPr>
            <w:r>
              <w:rPr>
                <w:rFonts w:hint="eastAsia"/>
              </w:rPr>
              <w:t>500</w:t>
            </w:r>
          </w:p>
        </w:tc>
        <w:tc>
          <w:tcPr>
            <w:tcW w:w="417" w:type="pct"/>
            <w:vAlign w:val="center"/>
          </w:tcPr>
          <w:p w14:paraId="1C3AA858">
            <w:pPr>
              <w:pStyle w:val="179"/>
            </w:pPr>
            <w:r>
              <w:rPr>
                <w:rFonts w:hint="eastAsia"/>
              </w:rPr>
              <w:t>6</w:t>
            </w:r>
          </w:p>
        </w:tc>
        <w:tc>
          <w:tcPr>
            <w:tcW w:w="417" w:type="pct"/>
            <w:vAlign w:val="center"/>
          </w:tcPr>
          <w:p w14:paraId="03538539">
            <w:pPr>
              <w:pStyle w:val="179"/>
            </w:pPr>
            <w:r>
              <w:rPr>
                <w:rFonts w:hint="eastAsia"/>
              </w:rPr>
              <w:t>1</w:t>
            </w:r>
          </w:p>
        </w:tc>
        <w:tc>
          <w:tcPr>
            <w:tcW w:w="417" w:type="pct"/>
            <w:vAlign w:val="center"/>
          </w:tcPr>
          <w:p w14:paraId="66E5FDFD">
            <w:pPr>
              <w:pStyle w:val="179"/>
            </w:pPr>
            <w:r>
              <w:rPr>
                <w:rFonts w:hint="eastAsia"/>
              </w:rPr>
              <w:t>1440</w:t>
            </w:r>
          </w:p>
        </w:tc>
        <w:tc>
          <w:tcPr>
            <w:tcW w:w="256" w:type="pct"/>
            <w:vAlign w:val="center"/>
          </w:tcPr>
          <w:p w14:paraId="38BADA3E">
            <w:pPr>
              <w:pStyle w:val="179"/>
            </w:pPr>
            <w:r>
              <w:t>正常</w:t>
            </w:r>
          </w:p>
        </w:tc>
        <w:tc>
          <w:tcPr>
            <w:tcW w:w="785" w:type="pct"/>
            <w:tcBorders>
              <w:right w:val="single" w:color="auto" w:sz="12" w:space="0"/>
            </w:tcBorders>
            <w:vAlign w:val="center"/>
          </w:tcPr>
          <w:p w14:paraId="4D93049D">
            <w:pPr>
              <w:pStyle w:val="179"/>
              <w:rPr>
                <w:rFonts w:ascii="宋体" w:hAnsi="宋体"/>
              </w:rPr>
            </w:pPr>
            <w:r>
              <w:rPr>
                <w:rFonts w:hint="eastAsia"/>
              </w:rPr>
              <w:t xml:space="preserve">0.148 </w:t>
            </w:r>
          </w:p>
        </w:tc>
      </w:tr>
      <w:tr w14:paraId="4208522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57" w:type="dxa"/>
            <w:bottom w:w="0" w:type="dxa"/>
            <w:right w:w="57" w:type="dxa"/>
          </w:tblCellMar>
        </w:tblPrEx>
        <w:trPr>
          <w:trHeight w:val="340" w:hRule="atLeast"/>
          <w:jc w:val="center"/>
        </w:trPr>
        <w:tc>
          <w:tcPr>
            <w:tcW w:w="240" w:type="pct"/>
            <w:tcBorders>
              <w:left w:val="single" w:color="auto" w:sz="12" w:space="0"/>
              <w:bottom w:val="single" w:color="auto" w:sz="12" w:space="0"/>
            </w:tcBorders>
            <w:vAlign w:val="center"/>
          </w:tcPr>
          <w:p w14:paraId="7CBB93AC">
            <w:pPr>
              <w:pStyle w:val="179"/>
            </w:pPr>
            <w:r>
              <w:rPr>
                <w:rFonts w:hint="eastAsia"/>
              </w:rPr>
              <w:t>3</w:t>
            </w:r>
          </w:p>
        </w:tc>
        <w:tc>
          <w:tcPr>
            <w:tcW w:w="549" w:type="pct"/>
            <w:tcBorders>
              <w:bottom w:val="single" w:color="auto" w:sz="12" w:space="0"/>
            </w:tcBorders>
            <w:vAlign w:val="center"/>
          </w:tcPr>
          <w:p w14:paraId="3E34E9CA">
            <w:pPr>
              <w:pStyle w:val="179"/>
              <w:rPr>
                <w:rFonts w:ascii="宋体" w:hAnsi="宋体"/>
              </w:rPr>
            </w:pPr>
            <w:r>
              <w:rPr>
                <w:rFonts w:hint="eastAsia"/>
              </w:rPr>
              <w:t>堆土场</w:t>
            </w:r>
          </w:p>
        </w:tc>
        <w:tc>
          <w:tcPr>
            <w:tcW w:w="556" w:type="pct"/>
            <w:tcBorders>
              <w:bottom w:val="single" w:color="auto" w:sz="12" w:space="0"/>
            </w:tcBorders>
            <w:vAlign w:val="center"/>
          </w:tcPr>
          <w:p w14:paraId="3E346379">
            <w:pPr>
              <w:pStyle w:val="179"/>
            </w:pPr>
            <w:r>
              <w:rPr>
                <w:rFonts w:hint="eastAsia"/>
              </w:rPr>
              <w:t>131</w:t>
            </w:r>
          </w:p>
        </w:tc>
        <w:tc>
          <w:tcPr>
            <w:tcW w:w="556" w:type="pct"/>
            <w:tcBorders>
              <w:bottom w:val="single" w:color="auto" w:sz="12" w:space="0"/>
            </w:tcBorders>
            <w:vAlign w:val="center"/>
          </w:tcPr>
          <w:p w14:paraId="6E3BFE42">
            <w:pPr>
              <w:pStyle w:val="179"/>
            </w:pPr>
            <w:r>
              <w:rPr>
                <w:rFonts w:hint="eastAsia"/>
              </w:rPr>
              <w:t>48</w:t>
            </w:r>
          </w:p>
        </w:tc>
        <w:tc>
          <w:tcPr>
            <w:tcW w:w="390" w:type="pct"/>
            <w:tcBorders>
              <w:bottom w:val="single" w:color="auto" w:sz="12" w:space="0"/>
            </w:tcBorders>
            <w:vAlign w:val="center"/>
          </w:tcPr>
          <w:p w14:paraId="42627A17">
            <w:pPr>
              <w:pStyle w:val="179"/>
            </w:pPr>
            <w:r>
              <w:rPr>
                <w:rFonts w:hint="eastAsia"/>
              </w:rPr>
              <w:t>480</w:t>
            </w:r>
          </w:p>
        </w:tc>
        <w:tc>
          <w:tcPr>
            <w:tcW w:w="417" w:type="pct"/>
            <w:tcBorders>
              <w:bottom w:val="single" w:color="auto" w:sz="12" w:space="0"/>
            </w:tcBorders>
            <w:vAlign w:val="center"/>
          </w:tcPr>
          <w:p w14:paraId="7F1DB8C6">
            <w:pPr>
              <w:pStyle w:val="179"/>
            </w:pPr>
            <w:r>
              <w:rPr>
                <w:rFonts w:hint="eastAsia"/>
              </w:rPr>
              <w:t>50</w:t>
            </w:r>
          </w:p>
        </w:tc>
        <w:tc>
          <w:tcPr>
            <w:tcW w:w="417" w:type="pct"/>
            <w:tcBorders>
              <w:bottom w:val="single" w:color="auto" w:sz="12" w:space="0"/>
            </w:tcBorders>
            <w:vAlign w:val="center"/>
          </w:tcPr>
          <w:p w14:paraId="360046DC">
            <w:pPr>
              <w:pStyle w:val="179"/>
            </w:pPr>
            <w:r>
              <w:rPr>
                <w:rFonts w:hint="eastAsia"/>
              </w:rPr>
              <w:t>40</w:t>
            </w:r>
          </w:p>
        </w:tc>
        <w:tc>
          <w:tcPr>
            <w:tcW w:w="417" w:type="pct"/>
            <w:tcBorders>
              <w:bottom w:val="single" w:color="auto" w:sz="12" w:space="0"/>
            </w:tcBorders>
            <w:vAlign w:val="center"/>
          </w:tcPr>
          <w:p w14:paraId="7B695A42">
            <w:pPr>
              <w:pStyle w:val="179"/>
            </w:pPr>
            <w:r>
              <w:rPr>
                <w:rFonts w:hint="eastAsia"/>
              </w:rPr>
              <w:t>2</w:t>
            </w:r>
          </w:p>
        </w:tc>
        <w:tc>
          <w:tcPr>
            <w:tcW w:w="417" w:type="pct"/>
            <w:tcBorders>
              <w:bottom w:val="single" w:color="auto" w:sz="12" w:space="0"/>
            </w:tcBorders>
            <w:vAlign w:val="center"/>
          </w:tcPr>
          <w:p w14:paraId="37BE66E5">
            <w:pPr>
              <w:pStyle w:val="179"/>
            </w:pPr>
            <w:r>
              <w:rPr>
                <w:rFonts w:hint="eastAsia"/>
              </w:rPr>
              <w:t>1440</w:t>
            </w:r>
          </w:p>
        </w:tc>
        <w:tc>
          <w:tcPr>
            <w:tcW w:w="256" w:type="pct"/>
            <w:tcBorders>
              <w:bottom w:val="single" w:color="auto" w:sz="12" w:space="0"/>
            </w:tcBorders>
            <w:vAlign w:val="center"/>
          </w:tcPr>
          <w:p w14:paraId="79D4DA91">
            <w:pPr>
              <w:pStyle w:val="179"/>
            </w:pPr>
            <w:r>
              <w:t>正常</w:t>
            </w:r>
          </w:p>
        </w:tc>
        <w:tc>
          <w:tcPr>
            <w:tcW w:w="785" w:type="pct"/>
            <w:tcBorders>
              <w:bottom w:val="single" w:color="auto" w:sz="12" w:space="0"/>
              <w:right w:val="single" w:color="auto" w:sz="12" w:space="0"/>
            </w:tcBorders>
            <w:vAlign w:val="center"/>
          </w:tcPr>
          <w:p w14:paraId="4BCDABD1">
            <w:pPr>
              <w:pStyle w:val="179"/>
              <w:rPr>
                <w:rFonts w:ascii="宋体" w:hAnsi="宋体"/>
              </w:rPr>
            </w:pPr>
            <w:r>
              <w:rPr>
                <w:rFonts w:hint="eastAsia"/>
              </w:rPr>
              <w:t xml:space="preserve">0.188 </w:t>
            </w:r>
          </w:p>
        </w:tc>
      </w:tr>
    </w:tbl>
    <w:p w14:paraId="283C9D61">
      <w:pPr>
        <w:pStyle w:val="178"/>
        <w:rPr>
          <w:rFonts w:ascii="Times New Roman" w:hAnsi="Times New Roman"/>
        </w:rPr>
      </w:pPr>
      <w:r>
        <w:t>表2.</w:t>
      </w:r>
      <w:r>
        <w:rPr>
          <w:rFonts w:hint="eastAsia"/>
        </w:rPr>
        <w:t>5</w:t>
      </w:r>
      <w:r>
        <w:t>-</w:t>
      </w:r>
      <w:r>
        <w:rPr>
          <w:rFonts w:hint="eastAsia"/>
        </w:rPr>
        <w:t>4</w:t>
      </w:r>
      <w:r>
        <w:t xml:space="preserve">  大气评价等级计算结果表</w:t>
      </w:r>
      <w:r>
        <w:rPr>
          <w:rFonts w:ascii="Times New Roman" w:hAnsi="Times New Roman"/>
        </w:rPr>
        <w:t>（面源）</w:t>
      </w:r>
    </w:p>
    <w:p w14:paraId="62F0946B">
      <w:pPr>
        <w:topLinePunct/>
        <w:spacing w:line="14" w:lineRule="exact"/>
        <w:ind w:firstLine="480"/>
        <w:rPr>
          <w:rFonts w:hAnsi="Times New Roman" w:cs="Times New Roman"/>
        </w:rPr>
      </w:pPr>
    </w:p>
    <w:tbl>
      <w:tblPr>
        <w:tblStyle w:val="36"/>
        <w:tblW w:w="8529"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100"/>
        <w:gridCol w:w="1332"/>
        <w:gridCol w:w="1131"/>
        <w:gridCol w:w="1445"/>
        <w:gridCol w:w="1151"/>
        <w:gridCol w:w="1221"/>
        <w:gridCol w:w="1149"/>
      </w:tblGrid>
      <w:tr w14:paraId="67BBE26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25" w:hRule="atLeast"/>
          <w:jc w:val="center"/>
        </w:trPr>
        <w:tc>
          <w:tcPr>
            <w:tcW w:w="645" w:type="pct"/>
            <w:vMerge w:val="restart"/>
            <w:vAlign w:val="center"/>
          </w:tcPr>
          <w:p w14:paraId="6A78FD67">
            <w:pPr>
              <w:pStyle w:val="179"/>
              <w:rPr>
                <w:rFonts w:cs="Times New Roman"/>
                <w:b/>
              </w:rPr>
            </w:pPr>
            <w:r>
              <w:rPr>
                <w:rFonts w:cs="Times New Roman"/>
                <w:b/>
              </w:rPr>
              <w:t>离源距离（m）</w:t>
            </w:r>
          </w:p>
        </w:tc>
        <w:tc>
          <w:tcPr>
            <w:tcW w:w="1444" w:type="pct"/>
            <w:gridSpan w:val="2"/>
            <w:vAlign w:val="center"/>
          </w:tcPr>
          <w:p w14:paraId="7B8D42FF">
            <w:pPr>
              <w:pStyle w:val="179"/>
              <w:rPr>
                <w:rFonts w:cs="Times New Roman"/>
                <w:b/>
              </w:rPr>
            </w:pPr>
            <w:r>
              <w:rPr>
                <w:rFonts w:hint="eastAsia"/>
                <w:b/>
              </w:rPr>
              <w:t>作业区</w:t>
            </w:r>
            <w:r>
              <w:rPr>
                <w:rFonts w:cs="Times New Roman"/>
                <w:b/>
              </w:rPr>
              <w:t>TSP</w:t>
            </w:r>
          </w:p>
        </w:tc>
        <w:tc>
          <w:tcPr>
            <w:tcW w:w="1522" w:type="pct"/>
            <w:gridSpan w:val="2"/>
            <w:vAlign w:val="center"/>
          </w:tcPr>
          <w:p w14:paraId="6BD746A4">
            <w:pPr>
              <w:pStyle w:val="179"/>
              <w:rPr>
                <w:rFonts w:cs="Times New Roman"/>
                <w:b/>
              </w:rPr>
            </w:pPr>
            <w:r>
              <w:rPr>
                <w:rFonts w:hint="eastAsia"/>
                <w:b/>
              </w:rPr>
              <w:t>运输道路</w:t>
            </w:r>
            <w:r>
              <w:rPr>
                <w:rFonts w:cs="Times New Roman"/>
                <w:b/>
              </w:rPr>
              <w:t>TSP</w:t>
            </w:r>
          </w:p>
        </w:tc>
        <w:tc>
          <w:tcPr>
            <w:tcW w:w="1389" w:type="pct"/>
            <w:gridSpan w:val="2"/>
            <w:vAlign w:val="center"/>
          </w:tcPr>
          <w:p w14:paraId="32357C18">
            <w:pPr>
              <w:pStyle w:val="179"/>
              <w:rPr>
                <w:b/>
              </w:rPr>
            </w:pPr>
            <w:r>
              <w:rPr>
                <w:rFonts w:hint="eastAsia" w:cs="Times New Roman"/>
                <w:b/>
              </w:rPr>
              <w:t>堆土场</w:t>
            </w:r>
            <w:r>
              <w:rPr>
                <w:rFonts w:cs="Times New Roman"/>
                <w:b/>
              </w:rPr>
              <w:t>TSP</w:t>
            </w:r>
          </w:p>
        </w:tc>
      </w:tr>
      <w:tr w14:paraId="6D50EDF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21" w:hRule="atLeast"/>
          <w:jc w:val="center"/>
        </w:trPr>
        <w:tc>
          <w:tcPr>
            <w:tcW w:w="645" w:type="pct"/>
            <w:vMerge w:val="continue"/>
            <w:vAlign w:val="center"/>
          </w:tcPr>
          <w:p w14:paraId="759D1261">
            <w:pPr>
              <w:pStyle w:val="179"/>
              <w:rPr>
                <w:rFonts w:cs="Times New Roman"/>
                <w:b/>
              </w:rPr>
            </w:pPr>
          </w:p>
        </w:tc>
        <w:tc>
          <w:tcPr>
            <w:tcW w:w="781" w:type="pct"/>
            <w:vAlign w:val="center"/>
          </w:tcPr>
          <w:p w14:paraId="468C14F7">
            <w:pPr>
              <w:pStyle w:val="179"/>
              <w:rPr>
                <w:rFonts w:cs="Times New Roman"/>
                <w:b/>
              </w:rPr>
            </w:pPr>
            <w:r>
              <w:rPr>
                <w:rFonts w:cs="Times New Roman"/>
                <w:b/>
              </w:rPr>
              <w:t>预测浓度（mg/m</w:t>
            </w:r>
            <w:r>
              <w:rPr>
                <w:rFonts w:cs="Times New Roman"/>
                <w:b/>
                <w:vertAlign w:val="superscript"/>
              </w:rPr>
              <w:t>3</w:t>
            </w:r>
            <w:r>
              <w:rPr>
                <w:rFonts w:cs="Times New Roman"/>
                <w:b/>
              </w:rPr>
              <w:t>）</w:t>
            </w:r>
          </w:p>
        </w:tc>
        <w:tc>
          <w:tcPr>
            <w:tcW w:w="663" w:type="pct"/>
            <w:vAlign w:val="center"/>
          </w:tcPr>
          <w:p w14:paraId="759E7BFA">
            <w:pPr>
              <w:pStyle w:val="179"/>
              <w:rPr>
                <w:rFonts w:cs="Times New Roman"/>
                <w:b/>
              </w:rPr>
            </w:pPr>
            <w:r>
              <w:rPr>
                <w:rFonts w:cs="Times New Roman"/>
                <w:b/>
              </w:rPr>
              <w:t>占标率（%）</w:t>
            </w:r>
          </w:p>
        </w:tc>
        <w:tc>
          <w:tcPr>
            <w:tcW w:w="847" w:type="pct"/>
            <w:vAlign w:val="center"/>
          </w:tcPr>
          <w:p w14:paraId="42A0DDAB">
            <w:pPr>
              <w:pStyle w:val="179"/>
              <w:rPr>
                <w:rFonts w:cs="Times New Roman"/>
                <w:b/>
              </w:rPr>
            </w:pPr>
            <w:r>
              <w:rPr>
                <w:rFonts w:cs="Times New Roman"/>
                <w:b/>
              </w:rPr>
              <w:t>预测浓度（mg/m</w:t>
            </w:r>
            <w:r>
              <w:rPr>
                <w:rFonts w:cs="Times New Roman"/>
                <w:b/>
                <w:vertAlign w:val="superscript"/>
              </w:rPr>
              <w:t>3</w:t>
            </w:r>
            <w:r>
              <w:rPr>
                <w:rFonts w:cs="Times New Roman"/>
                <w:b/>
              </w:rPr>
              <w:t>）</w:t>
            </w:r>
          </w:p>
        </w:tc>
        <w:tc>
          <w:tcPr>
            <w:tcW w:w="675" w:type="pct"/>
            <w:vAlign w:val="center"/>
          </w:tcPr>
          <w:p w14:paraId="2608DC24">
            <w:pPr>
              <w:pStyle w:val="179"/>
              <w:rPr>
                <w:rFonts w:cs="Times New Roman"/>
                <w:b/>
              </w:rPr>
            </w:pPr>
            <w:r>
              <w:rPr>
                <w:rFonts w:cs="Times New Roman"/>
                <w:b/>
              </w:rPr>
              <w:t>占标率（%）</w:t>
            </w:r>
          </w:p>
        </w:tc>
        <w:tc>
          <w:tcPr>
            <w:tcW w:w="716" w:type="pct"/>
            <w:vAlign w:val="center"/>
          </w:tcPr>
          <w:p w14:paraId="2753546C">
            <w:pPr>
              <w:pStyle w:val="179"/>
              <w:rPr>
                <w:rFonts w:cs="Times New Roman"/>
                <w:b/>
              </w:rPr>
            </w:pPr>
            <w:r>
              <w:rPr>
                <w:rFonts w:cs="Times New Roman"/>
                <w:b/>
              </w:rPr>
              <w:t>预测浓度（mg/m</w:t>
            </w:r>
            <w:r>
              <w:rPr>
                <w:rFonts w:cs="Times New Roman"/>
                <w:b/>
                <w:vertAlign w:val="superscript"/>
              </w:rPr>
              <w:t>3</w:t>
            </w:r>
            <w:r>
              <w:rPr>
                <w:rFonts w:cs="Times New Roman"/>
                <w:b/>
              </w:rPr>
              <w:t>）</w:t>
            </w:r>
          </w:p>
        </w:tc>
        <w:tc>
          <w:tcPr>
            <w:tcW w:w="673" w:type="pct"/>
            <w:vAlign w:val="center"/>
          </w:tcPr>
          <w:p w14:paraId="2D59F19D">
            <w:pPr>
              <w:pStyle w:val="179"/>
              <w:rPr>
                <w:rFonts w:cs="Times New Roman"/>
                <w:b/>
              </w:rPr>
            </w:pPr>
            <w:r>
              <w:rPr>
                <w:rFonts w:cs="Times New Roman"/>
                <w:b/>
              </w:rPr>
              <w:t>占标率（%）</w:t>
            </w:r>
          </w:p>
        </w:tc>
      </w:tr>
      <w:tr w14:paraId="3B82FCB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7" w:hRule="atLeast"/>
          <w:jc w:val="center"/>
        </w:trPr>
        <w:tc>
          <w:tcPr>
            <w:tcW w:w="645" w:type="pct"/>
            <w:vAlign w:val="center"/>
          </w:tcPr>
          <w:p w14:paraId="2A02CDE6">
            <w:pPr>
              <w:pStyle w:val="179"/>
            </w:pPr>
            <w:r>
              <w:t>10</w:t>
            </w:r>
          </w:p>
        </w:tc>
        <w:tc>
          <w:tcPr>
            <w:tcW w:w="781" w:type="pct"/>
            <w:vAlign w:val="center"/>
          </w:tcPr>
          <w:p w14:paraId="5D43DE8D">
            <w:pPr>
              <w:pStyle w:val="179"/>
            </w:pPr>
            <w:r>
              <w:t>0.039125</w:t>
            </w:r>
          </w:p>
        </w:tc>
        <w:tc>
          <w:tcPr>
            <w:tcW w:w="663" w:type="pct"/>
            <w:vAlign w:val="center"/>
          </w:tcPr>
          <w:p w14:paraId="593543FC">
            <w:pPr>
              <w:pStyle w:val="179"/>
            </w:pPr>
            <w:r>
              <w:t>4.35</w:t>
            </w:r>
          </w:p>
        </w:tc>
        <w:tc>
          <w:tcPr>
            <w:tcW w:w="847" w:type="pct"/>
            <w:vAlign w:val="center"/>
          </w:tcPr>
          <w:p w14:paraId="455E6A78">
            <w:pPr>
              <w:pStyle w:val="179"/>
              <w:rPr>
                <w:sz w:val="22"/>
                <w:szCs w:val="22"/>
              </w:rPr>
            </w:pPr>
            <w:r>
              <w:rPr>
                <w:sz w:val="22"/>
                <w:szCs w:val="22"/>
              </w:rPr>
              <w:t>0.052605</w:t>
            </w:r>
          </w:p>
        </w:tc>
        <w:tc>
          <w:tcPr>
            <w:tcW w:w="675" w:type="pct"/>
            <w:vAlign w:val="center"/>
          </w:tcPr>
          <w:p w14:paraId="18AEAA75">
            <w:pPr>
              <w:pStyle w:val="179"/>
              <w:rPr>
                <w:sz w:val="22"/>
                <w:szCs w:val="22"/>
              </w:rPr>
            </w:pPr>
            <w:r>
              <w:rPr>
                <w:sz w:val="22"/>
                <w:szCs w:val="22"/>
              </w:rPr>
              <w:t>5.85</w:t>
            </w:r>
          </w:p>
        </w:tc>
        <w:tc>
          <w:tcPr>
            <w:tcW w:w="716" w:type="pct"/>
            <w:vAlign w:val="center"/>
          </w:tcPr>
          <w:p w14:paraId="7F37077E">
            <w:pPr>
              <w:pStyle w:val="179"/>
              <w:rPr>
                <w:sz w:val="22"/>
                <w:szCs w:val="22"/>
              </w:rPr>
            </w:pPr>
            <w:r>
              <w:rPr>
                <w:sz w:val="22"/>
                <w:szCs w:val="22"/>
              </w:rPr>
              <w:t>0.032214</w:t>
            </w:r>
          </w:p>
        </w:tc>
        <w:tc>
          <w:tcPr>
            <w:tcW w:w="673" w:type="pct"/>
            <w:vAlign w:val="center"/>
          </w:tcPr>
          <w:p w14:paraId="31AA0EF8">
            <w:pPr>
              <w:pStyle w:val="179"/>
              <w:rPr>
                <w:sz w:val="22"/>
                <w:szCs w:val="22"/>
              </w:rPr>
            </w:pPr>
            <w:r>
              <w:rPr>
                <w:sz w:val="22"/>
                <w:szCs w:val="22"/>
              </w:rPr>
              <w:t>3.58</w:t>
            </w:r>
          </w:p>
        </w:tc>
      </w:tr>
      <w:tr w14:paraId="69C4190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645" w:type="pct"/>
            <w:vAlign w:val="center"/>
          </w:tcPr>
          <w:p w14:paraId="038327E6">
            <w:pPr>
              <w:pStyle w:val="179"/>
              <w:rPr>
                <w:sz w:val="22"/>
                <w:szCs w:val="22"/>
              </w:rPr>
            </w:pPr>
            <w:r>
              <w:rPr>
                <w:sz w:val="22"/>
                <w:szCs w:val="22"/>
              </w:rPr>
              <w:t>43</w:t>
            </w:r>
          </w:p>
        </w:tc>
        <w:tc>
          <w:tcPr>
            <w:tcW w:w="781" w:type="pct"/>
            <w:vAlign w:val="center"/>
          </w:tcPr>
          <w:p w14:paraId="059D0C99">
            <w:pPr>
              <w:pStyle w:val="179"/>
            </w:pPr>
            <w:r>
              <w:rPr>
                <w:rFonts w:hint="eastAsia"/>
              </w:rPr>
              <w:t>-</w:t>
            </w:r>
          </w:p>
        </w:tc>
        <w:tc>
          <w:tcPr>
            <w:tcW w:w="663" w:type="pct"/>
            <w:vAlign w:val="center"/>
          </w:tcPr>
          <w:p w14:paraId="0277A9DE">
            <w:pPr>
              <w:pStyle w:val="179"/>
            </w:pPr>
            <w:r>
              <w:rPr>
                <w:rFonts w:hint="eastAsia"/>
              </w:rPr>
              <w:t>-</w:t>
            </w:r>
          </w:p>
        </w:tc>
        <w:tc>
          <w:tcPr>
            <w:tcW w:w="847" w:type="pct"/>
            <w:vAlign w:val="center"/>
          </w:tcPr>
          <w:p w14:paraId="1F8A429E">
            <w:pPr>
              <w:pStyle w:val="179"/>
              <w:rPr>
                <w:sz w:val="22"/>
                <w:szCs w:val="22"/>
              </w:rPr>
            </w:pPr>
            <w:r>
              <w:rPr>
                <w:rFonts w:hint="eastAsia"/>
                <w:sz w:val="22"/>
                <w:szCs w:val="22"/>
              </w:rPr>
              <w:t>-</w:t>
            </w:r>
          </w:p>
        </w:tc>
        <w:tc>
          <w:tcPr>
            <w:tcW w:w="675" w:type="pct"/>
            <w:vAlign w:val="center"/>
          </w:tcPr>
          <w:p w14:paraId="053411D4">
            <w:pPr>
              <w:pStyle w:val="179"/>
              <w:rPr>
                <w:sz w:val="22"/>
                <w:szCs w:val="22"/>
              </w:rPr>
            </w:pPr>
            <w:r>
              <w:rPr>
                <w:rFonts w:hint="eastAsia"/>
                <w:sz w:val="22"/>
                <w:szCs w:val="22"/>
              </w:rPr>
              <w:t>-</w:t>
            </w:r>
          </w:p>
        </w:tc>
        <w:tc>
          <w:tcPr>
            <w:tcW w:w="716" w:type="pct"/>
            <w:vAlign w:val="center"/>
          </w:tcPr>
          <w:p w14:paraId="2AF78AFC">
            <w:pPr>
              <w:pStyle w:val="179"/>
              <w:rPr>
                <w:sz w:val="22"/>
                <w:szCs w:val="22"/>
              </w:rPr>
            </w:pPr>
            <w:r>
              <w:rPr>
                <w:sz w:val="22"/>
                <w:szCs w:val="22"/>
              </w:rPr>
              <w:t>0.055231</w:t>
            </w:r>
          </w:p>
        </w:tc>
        <w:tc>
          <w:tcPr>
            <w:tcW w:w="673" w:type="pct"/>
            <w:vAlign w:val="center"/>
          </w:tcPr>
          <w:p w14:paraId="0FC69166">
            <w:pPr>
              <w:pStyle w:val="179"/>
              <w:rPr>
                <w:sz w:val="22"/>
                <w:szCs w:val="22"/>
              </w:rPr>
            </w:pPr>
            <w:r>
              <w:rPr>
                <w:sz w:val="22"/>
                <w:szCs w:val="22"/>
              </w:rPr>
              <w:t>6.14</w:t>
            </w:r>
          </w:p>
        </w:tc>
      </w:tr>
      <w:tr w14:paraId="3C35B71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7" w:hRule="atLeast"/>
          <w:jc w:val="center"/>
        </w:trPr>
        <w:tc>
          <w:tcPr>
            <w:tcW w:w="645" w:type="pct"/>
            <w:vAlign w:val="center"/>
          </w:tcPr>
          <w:p w14:paraId="3DBD032A">
            <w:pPr>
              <w:pStyle w:val="179"/>
            </w:pPr>
            <w:r>
              <w:t>50</w:t>
            </w:r>
          </w:p>
        </w:tc>
        <w:tc>
          <w:tcPr>
            <w:tcW w:w="781" w:type="pct"/>
            <w:vAlign w:val="center"/>
          </w:tcPr>
          <w:p w14:paraId="53AE5E78">
            <w:pPr>
              <w:pStyle w:val="179"/>
            </w:pPr>
            <w:r>
              <w:t>0.047792</w:t>
            </w:r>
          </w:p>
        </w:tc>
        <w:tc>
          <w:tcPr>
            <w:tcW w:w="663" w:type="pct"/>
            <w:vAlign w:val="center"/>
          </w:tcPr>
          <w:p w14:paraId="732A210A">
            <w:pPr>
              <w:pStyle w:val="179"/>
            </w:pPr>
            <w:r>
              <w:t>5.31</w:t>
            </w:r>
          </w:p>
        </w:tc>
        <w:tc>
          <w:tcPr>
            <w:tcW w:w="847" w:type="pct"/>
            <w:vAlign w:val="center"/>
          </w:tcPr>
          <w:p w14:paraId="60C46AED">
            <w:pPr>
              <w:pStyle w:val="179"/>
              <w:rPr>
                <w:sz w:val="22"/>
                <w:szCs w:val="22"/>
              </w:rPr>
            </w:pPr>
            <w:r>
              <w:rPr>
                <w:sz w:val="22"/>
                <w:szCs w:val="22"/>
              </w:rPr>
              <w:t>0.054004</w:t>
            </w:r>
          </w:p>
        </w:tc>
        <w:tc>
          <w:tcPr>
            <w:tcW w:w="675" w:type="pct"/>
            <w:vAlign w:val="center"/>
          </w:tcPr>
          <w:p w14:paraId="6CEA00DE">
            <w:pPr>
              <w:pStyle w:val="179"/>
              <w:rPr>
                <w:sz w:val="22"/>
                <w:szCs w:val="22"/>
              </w:rPr>
            </w:pPr>
            <w:r>
              <w:rPr>
                <w:sz w:val="22"/>
                <w:szCs w:val="22"/>
              </w:rPr>
              <w:t>6</w:t>
            </w:r>
          </w:p>
        </w:tc>
        <w:tc>
          <w:tcPr>
            <w:tcW w:w="716" w:type="pct"/>
            <w:vAlign w:val="center"/>
          </w:tcPr>
          <w:p w14:paraId="24BC8A16">
            <w:pPr>
              <w:pStyle w:val="179"/>
              <w:rPr>
                <w:sz w:val="22"/>
                <w:szCs w:val="22"/>
              </w:rPr>
            </w:pPr>
            <w:r>
              <w:rPr>
                <w:sz w:val="22"/>
                <w:szCs w:val="22"/>
              </w:rPr>
              <w:t>0.054011</w:t>
            </w:r>
          </w:p>
        </w:tc>
        <w:tc>
          <w:tcPr>
            <w:tcW w:w="673" w:type="pct"/>
            <w:vAlign w:val="center"/>
          </w:tcPr>
          <w:p w14:paraId="2D63C734">
            <w:pPr>
              <w:pStyle w:val="179"/>
              <w:rPr>
                <w:sz w:val="22"/>
                <w:szCs w:val="22"/>
              </w:rPr>
            </w:pPr>
            <w:r>
              <w:rPr>
                <w:sz w:val="22"/>
                <w:szCs w:val="22"/>
              </w:rPr>
              <w:t>6</w:t>
            </w:r>
          </w:p>
        </w:tc>
      </w:tr>
      <w:tr w14:paraId="7778895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7" w:hRule="atLeast"/>
          <w:jc w:val="center"/>
        </w:trPr>
        <w:tc>
          <w:tcPr>
            <w:tcW w:w="645" w:type="pct"/>
            <w:vAlign w:val="center"/>
          </w:tcPr>
          <w:p w14:paraId="23229AC7">
            <w:pPr>
              <w:pStyle w:val="179"/>
              <w:rPr>
                <w:sz w:val="22"/>
                <w:szCs w:val="22"/>
              </w:rPr>
            </w:pPr>
            <w:r>
              <w:rPr>
                <w:sz w:val="22"/>
                <w:szCs w:val="22"/>
              </w:rPr>
              <w:t>100</w:t>
            </w:r>
          </w:p>
        </w:tc>
        <w:tc>
          <w:tcPr>
            <w:tcW w:w="781" w:type="pct"/>
            <w:vAlign w:val="center"/>
          </w:tcPr>
          <w:p w14:paraId="7EF1E98C">
            <w:pPr>
              <w:pStyle w:val="179"/>
              <w:rPr>
                <w:sz w:val="22"/>
                <w:szCs w:val="22"/>
              </w:rPr>
            </w:pPr>
            <w:r>
              <w:rPr>
                <w:sz w:val="22"/>
                <w:szCs w:val="22"/>
              </w:rPr>
              <w:t>0.057173</w:t>
            </w:r>
          </w:p>
        </w:tc>
        <w:tc>
          <w:tcPr>
            <w:tcW w:w="663" w:type="pct"/>
            <w:vAlign w:val="center"/>
          </w:tcPr>
          <w:p w14:paraId="52B22972">
            <w:pPr>
              <w:pStyle w:val="179"/>
              <w:rPr>
                <w:sz w:val="22"/>
                <w:szCs w:val="22"/>
              </w:rPr>
            </w:pPr>
            <w:r>
              <w:rPr>
                <w:sz w:val="22"/>
                <w:szCs w:val="22"/>
              </w:rPr>
              <w:t>6.35</w:t>
            </w:r>
          </w:p>
        </w:tc>
        <w:tc>
          <w:tcPr>
            <w:tcW w:w="847" w:type="pct"/>
            <w:vAlign w:val="center"/>
          </w:tcPr>
          <w:p w14:paraId="51C47F65">
            <w:pPr>
              <w:pStyle w:val="179"/>
              <w:rPr>
                <w:sz w:val="22"/>
                <w:szCs w:val="22"/>
              </w:rPr>
            </w:pPr>
            <w:r>
              <w:rPr>
                <w:sz w:val="22"/>
                <w:szCs w:val="22"/>
              </w:rPr>
              <w:t>0.055221</w:t>
            </w:r>
          </w:p>
        </w:tc>
        <w:tc>
          <w:tcPr>
            <w:tcW w:w="675" w:type="pct"/>
            <w:vAlign w:val="center"/>
          </w:tcPr>
          <w:p w14:paraId="7C3C77F4">
            <w:pPr>
              <w:pStyle w:val="179"/>
              <w:rPr>
                <w:sz w:val="22"/>
                <w:szCs w:val="22"/>
              </w:rPr>
            </w:pPr>
            <w:r>
              <w:rPr>
                <w:sz w:val="22"/>
                <w:szCs w:val="22"/>
              </w:rPr>
              <w:t>6.14</w:t>
            </w:r>
          </w:p>
        </w:tc>
        <w:tc>
          <w:tcPr>
            <w:tcW w:w="716" w:type="pct"/>
            <w:vAlign w:val="center"/>
          </w:tcPr>
          <w:p w14:paraId="10CDA85D">
            <w:pPr>
              <w:pStyle w:val="179"/>
              <w:rPr>
                <w:sz w:val="22"/>
                <w:szCs w:val="22"/>
              </w:rPr>
            </w:pPr>
            <w:r>
              <w:rPr>
                <w:sz w:val="22"/>
                <w:szCs w:val="22"/>
              </w:rPr>
              <w:t>0.039737</w:t>
            </w:r>
          </w:p>
        </w:tc>
        <w:tc>
          <w:tcPr>
            <w:tcW w:w="673" w:type="pct"/>
            <w:vAlign w:val="center"/>
          </w:tcPr>
          <w:p w14:paraId="62A1E085">
            <w:pPr>
              <w:pStyle w:val="179"/>
              <w:rPr>
                <w:sz w:val="22"/>
                <w:szCs w:val="22"/>
              </w:rPr>
            </w:pPr>
            <w:r>
              <w:rPr>
                <w:sz w:val="22"/>
                <w:szCs w:val="22"/>
              </w:rPr>
              <w:t>4.42</w:t>
            </w:r>
          </w:p>
        </w:tc>
      </w:tr>
      <w:tr w14:paraId="6154F26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7" w:hRule="atLeast"/>
          <w:jc w:val="center"/>
        </w:trPr>
        <w:tc>
          <w:tcPr>
            <w:tcW w:w="645" w:type="pct"/>
            <w:vAlign w:val="center"/>
          </w:tcPr>
          <w:p w14:paraId="68A43E01">
            <w:pPr>
              <w:pStyle w:val="179"/>
              <w:rPr>
                <w:sz w:val="22"/>
                <w:szCs w:val="22"/>
              </w:rPr>
            </w:pPr>
            <w:r>
              <w:rPr>
                <w:sz w:val="22"/>
                <w:szCs w:val="22"/>
              </w:rPr>
              <w:t>126</w:t>
            </w:r>
          </w:p>
        </w:tc>
        <w:tc>
          <w:tcPr>
            <w:tcW w:w="781" w:type="pct"/>
            <w:vAlign w:val="center"/>
          </w:tcPr>
          <w:p w14:paraId="0BFA90E4">
            <w:pPr>
              <w:pStyle w:val="179"/>
              <w:rPr>
                <w:sz w:val="22"/>
                <w:szCs w:val="22"/>
              </w:rPr>
            </w:pPr>
            <w:r>
              <w:rPr>
                <w:sz w:val="22"/>
                <w:szCs w:val="22"/>
              </w:rPr>
              <w:t>0.06064</w:t>
            </w:r>
          </w:p>
        </w:tc>
        <w:tc>
          <w:tcPr>
            <w:tcW w:w="663" w:type="pct"/>
            <w:vAlign w:val="center"/>
          </w:tcPr>
          <w:p w14:paraId="5BFF6566">
            <w:pPr>
              <w:pStyle w:val="179"/>
              <w:rPr>
                <w:sz w:val="22"/>
                <w:szCs w:val="22"/>
              </w:rPr>
            </w:pPr>
            <w:r>
              <w:rPr>
                <w:sz w:val="22"/>
                <w:szCs w:val="22"/>
              </w:rPr>
              <w:t>6.74</w:t>
            </w:r>
          </w:p>
        </w:tc>
        <w:tc>
          <w:tcPr>
            <w:tcW w:w="847" w:type="pct"/>
            <w:vAlign w:val="center"/>
          </w:tcPr>
          <w:p w14:paraId="2C8050CA">
            <w:pPr>
              <w:pStyle w:val="179"/>
              <w:rPr>
                <w:sz w:val="22"/>
                <w:szCs w:val="22"/>
              </w:rPr>
            </w:pPr>
            <w:r>
              <w:rPr>
                <w:rFonts w:hint="eastAsia"/>
                <w:sz w:val="22"/>
                <w:szCs w:val="22"/>
              </w:rPr>
              <w:t>-</w:t>
            </w:r>
          </w:p>
        </w:tc>
        <w:tc>
          <w:tcPr>
            <w:tcW w:w="675" w:type="pct"/>
            <w:vAlign w:val="center"/>
          </w:tcPr>
          <w:p w14:paraId="57048F81">
            <w:pPr>
              <w:pStyle w:val="179"/>
              <w:rPr>
                <w:sz w:val="22"/>
                <w:szCs w:val="22"/>
              </w:rPr>
            </w:pPr>
            <w:r>
              <w:rPr>
                <w:rFonts w:hint="eastAsia"/>
                <w:sz w:val="22"/>
                <w:szCs w:val="22"/>
              </w:rPr>
              <w:t>-</w:t>
            </w:r>
          </w:p>
        </w:tc>
        <w:tc>
          <w:tcPr>
            <w:tcW w:w="716" w:type="pct"/>
            <w:vAlign w:val="center"/>
          </w:tcPr>
          <w:p w14:paraId="05FCCD45">
            <w:pPr>
              <w:pStyle w:val="179"/>
              <w:rPr>
                <w:sz w:val="22"/>
                <w:szCs w:val="22"/>
              </w:rPr>
            </w:pPr>
            <w:r>
              <w:rPr>
                <w:rFonts w:hint="eastAsia"/>
                <w:sz w:val="22"/>
                <w:szCs w:val="22"/>
              </w:rPr>
              <w:t>-</w:t>
            </w:r>
          </w:p>
        </w:tc>
        <w:tc>
          <w:tcPr>
            <w:tcW w:w="673" w:type="pct"/>
            <w:vAlign w:val="center"/>
          </w:tcPr>
          <w:p w14:paraId="1CB92E0C">
            <w:pPr>
              <w:pStyle w:val="179"/>
              <w:rPr>
                <w:sz w:val="22"/>
                <w:szCs w:val="22"/>
              </w:rPr>
            </w:pPr>
            <w:r>
              <w:rPr>
                <w:rFonts w:hint="eastAsia"/>
                <w:sz w:val="22"/>
                <w:szCs w:val="22"/>
              </w:rPr>
              <w:t>-</w:t>
            </w:r>
          </w:p>
        </w:tc>
      </w:tr>
      <w:tr w14:paraId="2E3E5A7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7" w:hRule="atLeast"/>
          <w:jc w:val="center"/>
        </w:trPr>
        <w:tc>
          <w:tcPr>
            <w:tcW w:w="645" w:type="pct"/>
            <w:vAlign w:val="center"/>
          </w:tcPr>
          <w:p w14:paraId="4E4FCB7F">
            <w:pPr>
              <w:pStyle w:val="179"/>
              <w:rPr>
                <w:sz w:val="22"/>
                <w:szCs w:val="22"/>
              </w:rPr>
            </w:pPr>
            <w:r>
              <w:rPr>
                <w:sz w:val="22"/>
                <w:szCs w:val="22"/>
              </w:rPr>
              <w:t>150</w:t>
            </w:r>
          </w:p>
        </w:tc>
        <w:tc>
          <w:tcPr>
            <w:tcW w:w="781" w:type="pct"/>
            <w:vAlign w:val="center"/>
          </w:tcPr>
          <w:p w14:paraId="0E5055B6">
            <w:pPr>
              <w:pStyle w:val="179"/>
              <w:rPr>
                <w:sz w:val="22"/>
                <w:szCs w:val="22"/>
              </w:rPr>
            </w:pPr>
            <w:r>
              <w:rPr>
                <w:sz w:val="22"/>
                <w:szCs w:val="22"/>
              </w:rPr>
              <w:t>0.053818</w:t>
            </w:r>
          </w:p>
        </w:tc>
        <w:tc>
          <w:tcPr>
            <w:tcW w:w="663" w:type="pct"/>
            <w:vAlign w:val="center"/>
          </w:tcPr>
          <w:p w14:paraId="4C50DBE3">
            <w:pPr>
              <w:pStyle w:val="179"/>
              <w:rPr>
                <w:sz w:val="22"/>
                <w:szCs w:val="22"/>
              </w:rPr>
            </w:pPr>
            <w:r>
              <w:rPr>
                <w:sz w:val="22"/>
                <w:szCs w:val="22"/>
              </w:rPr>
              <w:t>5.98</w:t>
            </w:r>
          </w:p>
        </w:tc>
        <w:tc>
          <w:tcPr>
            <w:tcW w:w="847" w:type="pct"/>
            <w:vAlign w:val="center"/>
          </w:tcPr>
          <w:p w14:paraId="5DEDABE6">
            <w:pPr>
              <w:pStyle w:val="179"/>
              <w:rPr>
                <w:sz w:val="22"/>
                <w:szCs w:val="22"/>
              </w:rPr>
            </w:pPr>
            <w:r>
              <w:rPr>
                <w:sz w:val="22"/>
                <w:szCs w:val="22"/>
              </w:rPr>
              <w:t>0.056839</w:t>
            </w:r>
          </w:p>
        </w:tc>
        <w:tc>
          <w:tcPr>
            <w:tcW w:w="675" w:type="pct"/>
            <w:vAlign w:val="center"/>
          </w:tcPr>
          <w:p w14:paraId="296E7738">
            <w:pPr>
              <w:pStyle w:val="179"/>
              <w:rPr>
                <w:sz w:val="22"/>
                <w:szCs w:val="22"/>
              </w:rPr>
            </w:pPr>
            <w:r>
              <w:rPr>
                <w:sz w:val="22"/>
                <w:szCs w:val="22"/>
              </w:rPr>
              <w:t>6.32</w:t>
            </w:r>
          </w:p>
        </w:tc>
        <w:tc>
          <w:tcPr>
            <w:tcW w:w="716" w:type="pct"/>
            <w:vAlign w:val="center"/>
          </w:tcPr>
          <w:p w14:paraId="25187B83">
            <w:pPr>
              <w:pStyle w:val="179"/>
              <w:rPr>
                <w:sz w:val="22"/>
                <w:szCs w:val="22"/>
              </w:rPr>
            </w:pPr>
            <w:r>
              <w:rPr>
                <w:sz w:val="22"/>
                <w:szCs w:val="22"/>
              </w:rPr>
              <w:t>0.028749</w:t>
            </w:r>
          </w:p>
        </w:tc>
        <w:tc>
          <w:tcPr>
            <w:tcW w:w="673" w:type="pct"/>
            <w:vAlign w:val="center"/>
          </w:tcPr>
          <w:p w14:paraId="74CA5AF6">
            <w:pPr>
              <w:pStyle w:val="179"/>
              <w:rPr>
                <w:sz w:val="22"/>
                <w:szCs w:val="22"/>
              </w:rPr>
            </w:pPr>
            <w:r>
              <w:rPr>
                <w:sz w:val="22"/>
                <w:szCs w:val="22"/>
              </w:rPr>
              <w:t>3.19</w:t>
            </w:r>
          </w:p>
        </w:tc>
      </w:tr>
      <w:tr w14:paraId="502635B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7" w:hRule="atLeast"/>
          <w:jc w:val="center"/>
        </w:trPr>
        <w:tc>
          <w:tcPr>
            <w:tcW w:w="645" w:type="pct"/>
            <w:vAlign w:val="center"/>
          </w:tcPr>
          <w:p w14:paraId="6624563C">
            <w:pPr>
              <w:pStyle w:val="179"/>
              <w:rPr>
                <w:sz w:val="22"/>
                <w:szCs w:val="22"/>
              </w:rPr>
            </w:pPr>
            <w:r>
              <w:rPr>
                <w:sz w:val="22"/>
                <w:szCs w:val="22"/>
              </w:rPr>
              <w:t>200</w:t>
            </w:r>
          </w:p>
        </w:tc>
        <w:tc>
          <w:tcPr>
            <w:tcW w:w="781" w:type="pct"/>
            <w:vAlign w:val="center"/>
          </w:tcPr>
          <w:p w14:paraId="0B1C41A9">
            <w:pPr>
              <w:pStyle w:val="179"/>
              <w:rPr>
                <w:sz w:val="22"/>
                <w:szCs w:val="22"/>
              </w:rPr>
            </w:pPr>
            <w:r>
              <w:rPr>
                <w:sz w:val="22"/>
                <w:szCs w:val="22"/>
              </w:rPr>
              <w:t>0.041205</w:t>
            </w:r>
          </w:p>
        </w:tc>
        <w:tc>
          <w:tcPr>
            <w:tcW w:w="663" w:type="pct"/>
            <w:vAlign w:val="center"/>
          </w:tcPr>
          <w:p w14:paraId="010B345C">
            <w:pPr>
              <w:pStyle w:val="179"/>
              <w:rPr>
                <w:sz w:val="22"/>
                <w:szCs w:val="22"/>
              </w:rPr>
            </w:pPr>
            <w:r>
              <w:rPr>
                <w:sz w:val="22"/>
                <w:szCs w:val="22"/>
              </w:rPr>
              <w:t>4.58</w:t>
            </w:r>
          </w:p>
        </w:tc>
        <w:tc>
          <w:tcPr>
            <w:tcW w:w="847" w:type="pct"/>
            <w:vAlign w:val="center"/>
          </w:tcPr>
          <w:p w14:paraId="2470730D">
            <w:pPr>
              <w:pStyle w:val="179"/>
              <w:rPr>
                <w:sz w:val="22"/>
                <w:szCs w:val="22"/>
              </w:rPr>
            </w:pPr>
            <w:r>
              <w:rPr>
                <w:sz w:val="22"/>
                <w:szCs w:val="22"/>
              </w:rPr>
              <w:t>0.058429</w:t>
            </w:r>
          </w:p>
        </w:tc>
        <w:tc>
          <w:tcPr>
            <w:tcW w:w="675" w:type="pct"/>
            <w:vAlign w:val="center"/>
          </w:tcPr>
          <w:p w14:paraId="42E70BD5">
            <w:pPr>
              <w:pStyle w:val="179"/>
              <w:rPr>
                <w:sz w:val="22"/>
                <w:szCs w:val="22"/>
              </w:rPr>
            </w:pPr>
            <w:r>
              <w:rPr>
                <w:sz w:val="22"/>
                <w:szCs w:val="22"/>
              </w:rPr>
              <w:t>6.49</w:t>
            </w:r>
          </w:p>
        </w:tc>
        <w:tc>
          <w:tcPr>
            <w:tcW w:w="716" w:type="pct"/>
            <w:vAlign w:val="center"/>
          </w:tcPr>
          <w:p w14:paraId="6574877B">
            <w:pPr>
              <w:pStyle w:val="179"/>
              <w:rPr>
                <w:sz w:val="22"/>
                <w:szCs w:val="22"/>
              </w:rPr>
            </w:pPr>
            <w:r>
              <w:rPr>
                <w:sz w:val="22"/>
                <w:szCs w:val="22"/>
              </w:rPr>
              <w:t>0.021672</w:t>
            </w:r>
          </w:p>
        </w:tc>
        <w:tc>
          <w:tcPr>
            <w:tcW w:w="673" w:type="pct"/>
            <w:vAlign w:val="center"/>
          </w:tcPr>
          <w:p w14:paraId="5B4A195F">
            <w:pPr>
              <w:pStyle w:val="179"/>
              <w:rPr>
                <w:sz w:val="22"/>
                <w:szCs w:val="22"/>
              </w:rPr>
            </w:pPr>
            <w:r>
              <w:rPr>
                <w:sz w:val="22"/>
                <w:szCs w:val="22"/>
              </w:rPr>
              <w:t>2.41</w:t>
            </w:r>
          </w:p>
        </w:tc>
      </w:tr>
      <w:tr w14:paraId="0E30EA9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7" w:hRule="atLeast"/>
          <w:jc w:val="center"/>
        </w:trPr>
        <w:tc>
          <w:tcPr>
            <w:tcW w:w="645" w:type="pct"/>
            <w:vAlign w:val="center"/>
          </w:tcPr>
          <w:p w14:paraId="2B3C9091">
            <w:pPr>
              <w:pStyle w:val="179"/>
              <w:rPr>
                <w:sz w:val="22"/>
                <w:szCs w:val="22"/>
              </w:rPr>
            </w:pPr>
            <w:r>
              <w:rPr>
                <w:sz w:val="22"/>
                <w:szCs w:val="22"/>
              </w:rPr>
              <w:t>250</w:t>
            </w:r>
          </w:p>
        </w:tc>
        <w:tc>
          <w:tcPr>
            <w:tcW w:w="781" w:type="pct"/>
            <w:vAlign w:val="center"/>
          </w:tcPr>
          <w:p w14:paraId="069F71DE">
            <w:pPr>
              <w:pStyle w:val="179"/>
              <w:rPr>
                <w:sz w:val="22"/>
                <w:szCs w:val="22"/>
              </w:rPr>
            </w:pPr>
            <w:r>
              <w:rPr>
                <w:sz w:val="22"/>
                <w:szCs w:val="22"/>
              </w:rPr>
              <w:t>0.032893</w:t>
            </w:r>
          </w:p>
        </w:tc>
        <w:tc>
          <w:tcPr>
            <w:tcW w:w="663" w:type="pct"/>
            <w:vAlign w:val="center"/>
          </w:tcPr>
          <w:p w14:paraId="0056AA49">
            <w:pPr>
              <w:pStyle w:val="179"/>
              <w:rPr>
                <w:sz w:val="22"/>
                <w:szCs w:val="22"/>
              </w:rPr>
            </w:pPr>
            <w:r>
              <w:rPr>
                <w:sz w:val="22"/>
                <w:szCs w:val="22"/>
              </w:rPr>
              <w:t>3.65</w:t>
            </w:r>
          </w:p>
        </w:tc>
        <w:tc>
          <w:tcPr>
            <w:tcW w:w="847" w:type="pct"/>
            <w:vAlign w:val="center"/>
          </w:tcPr>
          <w:p w14:paraId="7BAF315B">
            <w:pPr>
              <w:pStyle w:val="179"/>
              <w:rPr>
                <w:sz w:val="22"/>
                <w:szCs w:val="22"/>
              </w:rPr>
            </w:pPr>
            <w:r>
              <w:rPr>
                <w:sz w:val="22"/>
                <w:szCs w:val="22"/>
              </w:rPr>
              <w:t>0.059336</w:t>
            </w:r>
          </w:p>
        </w:tc>
        <w:tc>
          <w:tcPr>
            <w:tcW w:w="675" w:type="pct"/>
            <w:vAlign w:val="center"/>
          </w:tcPr>
          <w:p w14:paraId="43352602">
            <w:pPr>
              <w:pStyle w:val="179"/>
              <w:rPr>
                <w:sz w:val="22"/>
                <w:szCs w:val="22"/>
              </w:rPr>
            </w:pPr>
            <w:r>
              <w:rPr>
                <w:sz w:val="22"/>
                <w:szCs w:val="22"/>
              </w:rPr>
              <w:t>6.59</w:t>
            </w:r>
          </w:p>
        </w:tc>
        <w:tc>
          <w:tcPr>
            <w:tcW w:w="716" w:type="pct"/>
            <w:vAlign w:val="center"/>
          </w:tcPr>
          <w:p w14:paraId="5E44E9A3">
            <w:pPr>
              <w:pStyle w:val="179"/>
              <w:rPr>
                <w:sz w:val="22"/>
                <w:szCs w:val="22"/>
              </w:rPr>
            </w:pPr>
            <w:r>
              <w:rPr>
                <w:sz w:val="22"/>
                <w:szCs w:val="22"/>
              </w:rPr>
              <w:t>0.017032</w:t>
            </w:r>
          </w:p>
        </w:tc>
        <w:tc>
          <w:tcPr>
            <w:tcW w:w="673" w:type="pct"/>
            <w:vAlign w:val="center"/>
          </w:tcPr>
          <w:p w14:paraId="48CF5AAF">
            <w:pPr>
              <w:pStyle w:val="179"/>
              <w:rPr>
                <w:sz w:val="22"/>
                <w:szCs w:val="22"/>
              </w:rPr>
            </w:pPr>
            <w:r>
              <w:rPr>
                <w:sz w:val="22"/>
                <w:szCs w:val="22"/>
              </w:rPr>
              <w:t>1.89</w:t>
            </w:r>
          </w:p>
        </w:tc>
      </w:tr>
      <w:tr w14:paraId="3D62DA6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7" w:hRule="atLeast"/>
          <w:jc w:val="center"/>
        </w:trPr>
        <w:tc>
          <w:tcPr>
            <w:tcW w:w="645" w:type="pct"/>
            <w:vAlign w:val="center"/>
          </w:tcPr>
          <w:p w14:paraId="6575BEA1">
            <w:pPr>
              <w:pStyle w:val="179"/>
              <w:rPr>
                <w:sz w:val="22"/>
                <w:szCs w:val="22"/>
              </w:rPr>
            </w:pPr>
            <w:r>
              <w:rPr>
                <w:sz w:val="22"/>
                <w:szCs w:val="22"/>
              </w:rPr>
              <w:t>251</w:t>
            </w:r>
          </w:p>
        </w:tc>
        <w:tc>
          <w:tcPr>
            <w:tcW w:w="781" w:type="pct"/>
            <w:vAlign w:val="center"/>
          </w:tcPr>
          <w:p w14:paraId="430A67D7">
            <w:pPr>
              <w:pStyle w:val="179"/>
              <w:rPr>
                <w:sz w:val="22"/>
                <w:szCs w:val="22"/>
              </w:rPr>
            </w:pPr>
            <w:r>
              <w:rPr>
                <w:rFonts w:hint="eastAsia"/>
                <w:sz w:val="22"/>
                <w:szCs w:val="22"/>
              </w:rPr>
              <w:t>-</w:t>
            </w:r>
          </w:p>
        </w:tc>
        <w:tc>
          <w:tcPr>
            <w:tcW w:w="663" w:type="pct"/>
            <w:vAlign w:val="center"/>
          </w:tcPr>
          <w:p w14:paraId="08D3ED35">
            <w:pPr>
              <w:pStyle w:val="179"/>
              <w:rPr>
                <w:sz w:val="22"/>
                <w:szCs w:val="22"/>
              </w:rPr>
            </w:pPr>
            <w:r>
              <w:rPr>
                <w:rFonts w:hint="eastAsia"/>
                <w:sz w:val="22"/>
                <w:szCs w:val="22"/>
              </w:rPr>
              <w:t>-</w:t>
            </w:r>
          </w:p>
        </w:tc>
        <w:tc>
          <w:tcPr>
            <w:tcW w:w="847" w:type="pct"/>
            <w:vAlign w:val="center"/>
          </w:tcPr>
          <w:p w14:paraId="7E2E1298">
            <w:pPr>
              <w:pStyle w:val="179"/>
              <w:rPr>
                <w:sz w:val="22"/>
                <w:szCs w:val="22"/>
              </w:rPr>
            </w:pPr>
            <w:r>
              <w:rPr>
                <w:sz w:val="22"/>
                <w:szCs w:val="22"/>
              </w:rPr>
              <w:t>0.059353</w:t>
            </w:r>
          </w:p>
        </w:tc>
        <w:tc>
          <w:tcPr>
            <w:tcW w:w="675" w:type="pct"/>
            <w:vAlign w:val="center"/>
          </w:tcPr>
          <w:p w14:paraId="7044A1A5">
            <w:pPr>
              <w:pStyle w:val="179"/>
              <w:rPr>
                <w:sz w:val="22"/>
                <w:szCs w:val="22"/>
              </w:rPr>
            </w:pPr>
            <w:r>
              <w:rPr>
                <w:sz w:val="22"/>
                <w:szCs w:val="22"/>
              </w:rPr>
              <w:t>6.59</w:t>
            </w:r>
          </w:p>
        </w:tc>
        <w:tc>
          <w:tcPr>
            <w:tcW w:w="716" w:type="pct"/>
            <w:vAlign w:val="center"/>
          </w:tcPr>
          <w:p w14:paraId="58F1ED5D">
            <w:pPr>
              <w:pStyle w:val="179"/>
              <w:rPr>
                <w:sz w:val="22"/>
                <w:szCs w:val="22"/>
              </w:rPr>
            </w:pPr>
            <w:r>
              <w:rPr>
                <w:rFonts w:hint="eastAsia"/>
                <w:sz w:val="22"/>
                <w:szCs w:val="22"/>
              </w:rPr>
              <w:t>-</w:t>
            </w:r>
          </w:p>
        </w:tc>
        <w:tc>
          <w:tcPr>
            <w:tcW w:w="673" w:type="pct"/>
            <w:vAlign w:val="center"/>
          </w:tcPr>
          <w:p w14:paraId="614CDCD5">
            <w:pPr>
              <w:pStyle w:val="179"/>
              <w:rPr>
                <w:sz w:val="22"/>
                <w:szCs w:val="22"/>
              </w:rPr>
            </w:pPr>
            <w:r>
              <w:rPr>
                <w:rFonts w:hint="eastAsia"/>
                <w:sz w:val="22"/>
                <w:szCs w:val="22"/>
              </w:rPr>
              <w:t>-</w:t>
            </w:r>
          </w:p>
        </w:tc>
      </w:tr>
      <w:tr w14:paraId="0E2E920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7" w:hRule="atLeast"/>
          <w:jc w:val="center"/>
        </w:trPr>
        <w:tc>
          <w:tcPr>
            <w:tcW w:w="645" w:type="pct"/>
            <w:vAlign w:val="center"/>
          </w:tcPr>
          <w:p w14:paraId="6017A407">
            <w:pPr>
              <w:pStyle w:val="179"/>
              <w:rPr>
                <w:sz w:val="22"/>
                <w:szCs w:val="22"/>
              </w:rPr>
            </w:pPr>
            <w:r>
              <w:rPr>
                <w:sz w:val="22"/>
                <w:szCs w:val="22"/>
              </w:rPr>
              <w:t>300</w:t>
            </w:r>
          </w:p>
        </w:tc>
        <w:tc>
          <w:tcPr>
            <w:tcW w:w="781" w:type="pct"/>
            <w:vAlign w:val="center"/>
          </w:tcPr>
          <w:p w14:paraId="0BE936F5">
            <w:pPr>
              <w:pStyle w:val="179"/>
              <w:rPr>
                <w:sz w:val="22"/>
                <w:szCs w:val="22"/>
              </w:rPr>
            </w:pPr>
            <w:r>
              <w:rPr>
                <w:sz w:val="22"/>
                <w:szCs w:val="22"/>
              </w:rPr>
              <w:t>0.027465</w:t>
            </w:r>
          </w:p>
        </w:tc>
        <w:tc>
          <w:tcPr>
            <w:tcW w:w="663" w:type="pct"/>
            <w:vAlign w:val="center"/>
          </w:tcPr>
          <w:p w14:paraId="300A77C3">
            <w:pPr>
              <w:pStyle w:val="179"/>
              <w:rPr>
                <w:sz w:val="22"/>
                <w:szCs w:val="22"/>
              </w:rPr>
            </w:pPr>
            <w:r>
              <w:rPr>
                <w:sz w:val="22"/>
                <w:szCs w:val="22"/>
              </w:rPr>
              <w:t>3.05</w:t>
            </w:r>
          </w:p>
        </w:tc>
        <w:tc>
          <w:tcPr>
            <w:tcW w:w="847" w:type="pct"/>
            <w:vAlign w:val="center"/>
          </w:tcPr>
          <w:p w14:paraId="38AA6725">
            <w:pPr>
              <w:pStyle w:val="179"/>
              <w:rPr>
                <w:sz w:val="22"/>
                <w:szCs w:val="22"/>
              </w:rPr>
            </w:pPr>
            <w:r>
              <w:rPr>
                <w:sz w:val="22"/>
                <w:szCs w:val="22"/>
              </w:rPr>
              <w:t>0.031435</w:t>
            </w:r>
          </w:p>
        </w:tc>
        <w:tc>
          <w:tcPr>
            <w:tcW w:w="675" w:type="pct"/>
            <w:vAlign w:val="center"/>
          </w:tcPr>
          <w:p w14:paraId="6B61470C">
            <w:pPr>
              <w:pStyle w:val="179"/>
              <w:rPr>
                <w:sz w:val="22"/>
                <w:szCs w:val="22"/>
              </w:rPr>
            </w:pPr>
            <w:r>
              <w:rPr>
                <w:sz w:val="22"/>
                <w:szCs w:val="22"/>
              </w:rPr>
              <w:t>3.49</w:t>
            </w:r>
          </w:p>
        </w:tc>
        <w:tc>
          <w:tcPr>
            <w:tcW w:w="716" w:type="pct"/>
            <w:vAlign w:val="center"/>
          </w:tcPr>
          <w:p w14:paraId="533AF407">
            <w:pPr>
              <w:pStyle w:val="179"/>
              <w:rPr>
                <w:sz w:val="22"/>
                <w:szCs w:val="22"/>
              </w:rPr>
            </w:pPr>
            <w:r>
              <w:rPr>
                <w:sz w:val="22"/>
                <w:szCs w:val="22"/>
              </w:rPr>
              <w:t>0.01383</w:t>
            </w:r>
          </w:p>
        </w:tc>
        <w:tc>
          <w:tcPr>
            <w:tcW w:w="673" w:type="pct"/>
            <w:vAlign w:val="center"/>
          </w:tcPr>
          <w:p w14:paraId="5483C6DE">
            <w:pPr>
              <w:pStyle w:val="179"/>
              <w:rPr>
                <w:sz w:val="22"/>
                <w:szCs w:val="22"/>
              </w:rPr>
            </w:pPr>
            <w:r>
              <w:rPr>
                <w:sz w:val="22"/>
                <w:szCs w:val="22"/>
              </w:rPr>
              <w:t>1.54</w:t>
            </w:r>
          </w:p>
        </w:tc>
      </w:tr>
      <w:tr w14:paraId="36675BB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7" w:hRule="atLeast"/>
          <w:jc w:val="center"/>
        </w:trPr>
        <w:tc>
          <w:tcPr>
            <w:tcW w:w="645" w:type="pct"/>
            <w:vAlign w:val="center"/>
          </w:tcPr>
          <w:p w14:paraId="14769325">
            <w:pPr>
              <w:pStyle w:val="179"/>
              <w:rPr>
                <w:sz w:val="22"/>
                <w:szCs w:val="22"/>
              </w:rPr>
            </w:pPr>
            <w:r>
              <w:rPr>
                <w:sz w:val="22"/>
                <w:szCs w:val="22"/>
              </w:rPr>
              <w:t>400</w:t>
            </w:r>
          </w:p>
        </w:tc>
        <w:tc>
          <w:tcPr>
            <w:tcW w:w="781" w:type="pct"/>
            <w:vAlign w:val="center"/>
          </w:tcPr>
          <w:p w14:paraId="5D14132A">
            <w:pPr>
              <w:pStyle w:val="179"/>
              <w:rPr>
                <w:sz w:val="22"/>
                <w:szCs w:val="22"/>
              </w:rPr>
            </w:pPr>
            <w:r>
              <w:rPr>
                <w:sz w:val="22"/>
                <w:szCs w:val="22"/>
              </w:rPr>
              <w:t>0.020825</w:t>
            </w:r>
          </w:p>
        </w:tc>
        <w:tc>
          <w:tcPr>
            <w:tcW w:w="663" w:type="pct"/>
            <w:vAlign w:val="center"/>
          </w:tcPr>
          <w:p w14:paraId="780ED77D">
            <w:pPr>
              <w:pStyle w:val="179"/>
              <w:rPr>
                <w:sz w:val="22"/>
                <w:szCs w:val="22"/>
              </w:rPr>
            </w:pPr>
            <w:r>
              <w:rPr>
                <w:sz w:val="22"/>
                <w:szCs w:val="22"/>
              </w:rPr>
              <w:t>2.31</w:t>
            </w:r>
          </w:p>
        </w:tc>
        <w:tc>
          <w:tcPr>
            <w:tcW w:w="847" w:type="pct"/>
            <w:vAlign w:val="center"/>
          </w:tcPr>
          <w:p w14:paraId="32E7F662">
            <w:pPr>
              <w:pStyle w:val="179"/>
              <w:rPr>
                <w:sz w:val="22"/>
                <w:szCs w:val="22"/>
              </w:rPr>
            </w:pPr>
            <w:r>
              <w:rPr>
                <w:sz w:val="22"/>
                <w:szCs w:val="22"/>
              </w:rPr>
              <w:t>0.015292</w:t>
            </w:r>
          </w:p>
        </w:tc>
        <w:tc>
          <w:tcPr>
            <w:tcW w:w="675" w:type="pct"/>
            <w:vAlign w:val="center"/>
          </w:tcPr>
          <w:p w14:paraId="61336C4B">
            <w:pPr>
              <w:pStyle w:val="179"/>
              <w:rPr>
                <w:sz w:val="22"/>
                <w:szCs w:val="22"/>
              </w:rPr>
            </w:pPr>
            <w:r>
              <w:rPr>
                <w:sz w:val="22"/>
                <w:szCs w:val="22"/>
              </w:rPr>
              <w:t>1.7</w:t>
            </w:r>
          </w:p>
        </w:tc>
        <w:tc>
          <w:tcPr>
            <w:tcW w:w="716" w:type="pct"/>
            <w:vAlign w:val="center"/>
          </w:tcPr>
          <w:p w14:paraId="391B5704">
            <w:pPr>
              <w:pStyle w:val="179"/>
              <w:rPr>
                <w:sz w:val="22"/>
                <w:szCs w:val="22"/>
              </w:rPr>
            </w:pPr>
            <w:r>
              <w:rPr>
                <w:sz w:val="22"/>
                <w:szCs w:val="22"/>
              </w:rPr>
              <w:t>0.00981</w:t>
            </w:r>
          </w:p>
        </w:tc>
        <w:tc>
          <w:tcPr>
            <w:tcW w:w="673" w:type="pct"/>
            <w:vAlign w:val="center"/>
          </w:tcPr>
          <w:p w14:paraId="1B33AEA2">
            <w:pPr>
              <w:pStyle w:val="179"/>
              <w:rPr>
                <w:sz w:val="22"/>
                <w:szCs w:val="22"/>
              </w:rPr>
            </w:pPr>
            <w:r>
              <w:rPr>
                <w:sz w:val="22"/>
                <w:szCs w:val="22"/>
              </w:rPr>
              <w:t>1.09</w:t>
            </w:r>
          </w:p>
        </w:tc>
      </w:tr>
      <w:tr w14:paraId="2730DF2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7" w:hRule="atLeast"/>
          <w:jc w:val="center"/>
        </w:trPr>
        <w:tc>
          <w:tcPr>
            <w:tcW w:w="645" w:type="pct"/>
            <w:vAlign w:val="center"/>
          </w:tcPr>
          <w:p w14:paraId="5904D368">
            <w:pPr>
              <w:pStyle w:val="179"/>
              <w:rPr>
                <w:sz w:val="22"/>
                <w:szCs w:val="22"/>
              </w:rPr>
            </w:pPr>
            <w:r>
              <w:rPr>
                <w:sz w:val="22"/>
                <w:szCs w:val="22"/>
              </w:rPr>
              <w:t>500</w:t>
            </w:r>
          </w:p>
        </w:tc>
        <w:tc>
          <w:tcPr>
            <w:tcW w:w="781" w:type="pct"/>
            <w:vAlign w:val="center"/>
          </w:tcPr>
          <w:p w14:paraId="57BC2BCE">
            <w:pPr>
              <w:pStyle w:val="179"/>
              <w:rPr>
                <w:sz w:val="22"/>
                <w:szCs w:val="22"/>
              </w:rPr>
            </w:pPr>
            <w:r>
              <w:rPr>
                <w:sz w:val="22"/>
                <w:szCs w:val="22"/>
              </w:rPr>
              <w:t>0.016499</w:t>
            </w:r>
          </w:p>
        </w:tc>
        <w:tc>
          <w:tcPr>
            <w:tcW w:w="663" w:type="pct"/>
            <w:vAlign w:val="center"/>
          </w:tcPr>
          <w:p w14:paraId="0DF4202E">
            <w:pPr>
              <w:pStyle w:val="179"/>
              <w:rPr>
                <w:sz w:val="22"/>
                <w:szCs w:val="22"/>
              </w:rPr>
            </w:pPr>
            <w:r>
              <w:rPr>
                <w:sz w:val="22"/>
                <w:szCs w:val="22"/>
              </w:rPr>
              <w:t>1.83</w:t>
            </w:r>
          </w:p>
        </w:tc>
        <w:tc>
          <w:tcPr>
            <w:tcW w:w="847" w:type="pct"/>
            <w:vAlign w:val="center"/>
          </w:tcPr>
          <w:p w14:paraId="16C08B2E">
            <w:pPr>
              <w:pStyle w:val="179"/>
              <w:rPr>
                <w:sz w:val="22"/>
                <w:szCs w:val="22"/>
              </w:rPr>
            </w:pPr>
            <w:r>
              <w:rPr>
                <w:sz w:val="22"/>
                <w:szCs w:val="22"/>
              </w:rPr>
              <w:t>0.010474</w:t>
            </w:r>
          </w:p>
        </w:tc>
        <w:tc>
          <w:tcPr>
            <w:tcW w:w="675" w:type="pct"/>
            <w:vAlign w:val="center"/>
          </w:tcPr>
          <w:p w14:paraId="665D83D4">
            <w:pPr>
              <w:pStyle w:val="179"/>
              <w:rPr>
                <w:sz w:val="22"/>
                <w:szCs w:val="22"/>
              </w:rPr>
            </w:pPr>
            <w:r>
              <w:rPr>
                <w:sz w:val="22"/>
                <w:szCs w:val="22"/>
              </w:rPr>
              <w:t>1.16</w:t>
            </w:r>
          </w:p>
        </w:tc>
        <w:tc>
          <w:tcPr>
            <w:tcW w:w="716" w:type="pct"/>
            <w:vAlign w:val="center"/>
          </w:tcPr>
          <w:p w14:paraId="3AFDDB82">
            <w:pPr>
              <w:pStyle w:val="179"/>
              <w:rPr>
                <w:sz w:val="22"/>
                <w:szCs w:val="22"/>
              </w:rPr>
            </w:pPr>
            <w:r>
              <w:rPr>
                <w:sz w:val="22"/>
                <w:szCs w:val="22"/>
              </w:rPr>
              <w:t>0.007441</w:t>
            </w:r>
          </w:p>
        </w:tc>
        <w:tc>
          <w:tcPr>
            <w:tcW w:w="673" w:type="pct"/>
            <w:vAlign w:val="center"/>
          </w:tcPr>
          <w:p w14:paraId="1F19453C">
            <w:pPr>
              <w:pStyle w:val="179"/>
              <w:rPr>
                <w:sz w:val="22"/>
                <w:szCs w:val="22"/>
              </w:rPr>
            </w:pPr>
            <w:r>
              <w:rPr>
                <w:sz w:val="22"/>
                <w:szCs w:val="22"/>
              </w:rPr>
              <w:t>0.83</w:t>
            </w:r>
          </w:p>
        </w:tc>
      </w:tr>
      <w:tr w14:paraId="0ED18BB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7" w:hRule="atLeast"/>
          <w:jc w:val="center"/>
        </w:trPr>
        <w:tc>
          <w:tcPr>
            <w:tcW w:w="645" w:type="pct"/>
            <w:vAlign w:val="center"/>
          </w:tcPr>
          <w:p w14:paraId="7EC679EE">
            <w:pPr>
              <w:pStyle w:val="179"/>
              <w:rPr>
                <w:sz w:val="22"/>
                <w:szCs w:val="22"/>
              </w:rPr>
            </w:pPr>
            <w:r>
              <w:rPr>
                <w:sz w:val="22"/>
                <w:szCs w:val="22"/>
              </w:rPr>
              <w:t>600</w:t>
            </w:r>
          </w:p>
        </w:tc>
        <w:tc>
          <w:tcPr>
            <w:tcW w:w="781" w:type="pct"/>
            <w:vAlign w:val="center"/>
          </w:tcPr>
          <w:p w14:paraId="6424A6AE">
            <w:pPr>
              <w:pStyle w:val="179"/>
              <w:rPr>
                <w:sz w:val="22"/>
                <w:szCs w:val="22"/>
              </w:rPr>
            </w:pPr>
            <w:r>
              <w:rPr>
                <w:sz w:val="22"/>
                <w:szCs w:val="22"/>
              </w:rPr>
              <w:t>0.01348</w:t>
            </w:r>
          </w:p>
        </w:tc>
        <w:tc>
          <w:tcPr>
            <w:tcW w:w="663" w:type="pct"/>
            <w:vAlign w:val="center"/>
          </w:tcPr>
          <w:p w14:paraId="23C919E8">
            <w:pPr>
              <w:pStyle w:val="179"/>
              <w:rPr>
                <w:sz w:val="22"/>
                <w:szCs w:val="22"/>
              </w:rPr>
            </w:pPr>
            <w:r>
              <w:rPr>
                <w:sz w:val="22"/>
                <w:szCs w:val="22"/>
              </w:rPr>
              <w:t>1.5</w:t>
            </w:r>
          </w:p>
        </w:tc>
        <w:tc>
          <w:tcPr>
            <w:tcW w:w="847" w:type="pct"/>
            <w:vAlign w:val="center"/>
          </w:tcPr>
          <w:p w14:paraId="3F817E47">
            <w:pPr>
              <w:pStyle w:val="179"/>
              <w:rPr>
                <w:sz w:val="22"/>
                <w:szCs w:val="22"/>
              </w:rPr>
            </w:pPr>
            <w:r>
              <w:rPr>
                <w:sz w:val="22"/>
                <w:szCs w:val="22"/>
              </w:rPr>
              <w:t>0.007856</w:t>
            </w:r>
          </w:p>
        </w:tc>
        <w:tc>
          <w:tcPr>
            <w:tcW w:w="675" w:type="pct"/>
            <w:vAlign w:val="center"/>
          </w:tcPr>
          <w:p w14:paraId="40680772">
            <w:pPr>
              <w:pStyle w:val="179"/>
              <w:rPr>
                <w:sz w:val="22"/>
                <w:szCs w:val="22"/>
              </w:rPr>
            </w:pPr>
            <w:r>
              <w:rPr>
                <w:sz w:val="22"/>
                <w:szCs w:val="22"/>
              </w:rPr>
              <w:t>0.87</w:t>
            </w:r>
          </w:p>
        </w:tc>
        <w:tc>
          <w:tcPr>
            <w:tcW w:w="716" w:type="pct"/>
            <w:vAlign w:val="center"/>
          </w:tcPr>
          <w:p w14:paraId="243FF12A">
            <w:pPr>
              <w:pStyle w:val="179"/>
              <w:rPr>
                <w:sz w:val="22"/>
                <w:szCs w:val="22"/>
              </w:rPr>
            </w:pPr>
            <w:r>
              <w:rPr>
                <w:sz w:val="22"/>
                <w:szCs w:val="22"/>
              </w:rPr>
              <w:t>0.005908</w:t>
            </w:r>
          </w:p>
        </w:tc>
        <w:tc>
          <w:tcPr>
            <w:tcW w:w="673" w:type="pct"/>
            <w:vAlign w:val="center"/>
          </w:tcPr>
          <w:p w14:paraId="6457C5EB">
            <w:pPr>
              <w:pStyle w:val="179"/>
              <w:rPr>
                <w:sz w:val="22"/>
                <w:szCs w:val="22"/>
              </w:rPr>
            </w:pPr>
            <w:r>
              <w:rPr>
                <w:sz w:val="22"/>
                <w:szCs w:val="22"/>
              </w:rPr>
              <w:t>0.66</w:t>
            </w:r>
          </w:p>
        </w:tc>
      </w:tr>
      <w:tr w14:paraId="17F5B18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7" w:hRule="atLeast"/>
          <w:jc w:val="center"/>
        </w:trPr>
        <w:tc>
          <w:tcPr>
            <w:tcW w:w="645" w:type="pct"/>
            <w:vAlign w:val="center"/>
          </w:tcPr>
          <w:p w14:paraId="5C0CD739">
            <w:pPr>
              <w:pStyle w:val="179"/>
              <w:rPr>
                <w:sz w:val="22"/>
                <w:szCs w:val="22"/>
              </w:rPr>
            </w:pPr>
            <w:r>
              <w:rPr>
                <w:sz w:val="22"/>
                <w:szCs w:val="22"/>
              </w:rPr>
              <w:t>700</w:t>
            </w:r>
          </w:p>
        </w:tc>
        <w:tc>
          <w:tcPr>
            <w:tcW w:w="781" w:type="pct"/>
            <w:vAlign w:val="center"/>
          </w:tcPr>
          <w:p w14:paraId="12248798">
            <w:pPr>
              <w:pStyle w:val="179"/>
              <w:rPr>
                <w:sz w:val="22"/>
                <w:szCs w:val="22"/>
              </w:rPr>
            </w:pPr>
            <w:r>
              <w:rPr>
                <w:sz w:val="22"/>
                <w:szCs w:val="22"/>
              </w:rPr>
              <w:t>0.011282</w:t>
            </w:r>
          </w:p>
        </w:tc>
        <w:tc>
          <w:tcPr>
            <w:tcW w:w="663" w:type="pct"/>
            <w:vAlign w:val="center"/>
          </w:tcPr>
          <w:p w14:paraId="142B828B">
            <w:pPr>
              <w:pStyle w:val="179"/>
              <w:rPr>
                <w:sz w:val="22"/>
                <w:szCs w:val="22"/>
              </w:rPr>
            </w:pPr>
            <w:r>
              <w:rPr>
                <w:sz w:val="22"/>
                <w:szCs w:val="22"/>
              </w:rPr>
              <w:t>1.25</w:t>
            </w:r>
          </w:p>
        </w:tc>
        <w:tc>
          <w:tcPr>
            <w:tcW w:w="847" w:type="pct"/>
            <w:vAlign w:val="center"/>
          </w:tcPr>
          <w:p w14:paraId="2D72E0C3">
            <w:pPr>
              <w:pStyle w:val="179"/>
              <w:rPr>
                <w:sz w:val="22"/>
                <w:szCs w:val="22"/>
              </w:rPr>
            </w:pPr>
            <w:r>
              <w:rPr>
                <w:sz w:val="22"/>
                <w:szCs w:val="22"/>
              </w:rPr>
              <w:t>0.006222</w:t>
            </w:r>
          </w:p>
        </w:tc>
        <w:tc>
          <w:tcPr>
            <w:tcW w:w="675" w:type="pct"/>
            <w:vAlign w:val="center"/>
          </w:tcPr>
          <w:p w14:paraId="2796CE1C">
            <w:pPr>
              <w:pStyle w:val="179"/>
              <w:rPr>
                <w:sz w:val="22"/>
                <w:szCs w:val="22"/>
              </w:rPr>
            </w:pPr>
            <w:r>
              <w:rPr>
                <w:sz w:val="22"/>
                <w:szCs w:val="22"/>
              </w:rPr>
              <w:t>0.69</w:t>
            </w:r>
          </w:p>
        </w:tc>
        <w:tc>
          <w:tcPr>
            <w:tcW w:w="716" w:type="pct"/>
            <w:vAlign w:val="center"/>
          </w:tcPr>
          <w:p w14:paraId="754B3277">
            <w:pPr>
              <w:pStyle w:val="179"/>
              <w:rPr>
                <w:sz w:val="22"/>
                <w:szCs w:val="22"/>
              </w:rPr>
            </w:pPr>
            <w:r>
              <w:rPr>
                <w:sz w:val="22"/>
                <w:szCs w:val="22"/>
              </w:rPr>
              <w:t>0.004851</w:t>
            </w:r>
          </w:p>
        </w:tc>
        <w:tc>
          <w:tcPr>
            <w:tcW w:w="673" w:type="pct"/>
            <w:vAlign w:val="center"/>
          </w:tcPr>
          <w:p w14:paraId="28BF4663">
            <w:pPr>
              <w:pStyle w:val="179"/>
              <w:rPr>
                <w:sz w:val="22"/>
                <w:szCs w:val="22"/>
              </w:rPr>
            </w:pPr>
            <w:r>
              <w:rPr>
                <w:sz w:val="22"/>
                <w:szCs w:val="22"/>
              </w:rPr>
              <w:t>0.54</w:t>
            </w:r>
          </w:p>
        </w:tc>
      </w:tr>
      <w:tr w14:paraId="7276282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9" w:hRule="atLeast"/>
          <w:jc w:val="center"/>
        </w:trPr>
        <w:tc>
          <w:tcPr>
            <w:tcW w:w="645" w:type="pct"/>
            <w:vAlign w:val="center"/>
          </w:tcPr>
          <w:p w14:paraId="5E34C836">
            <w:pPr>
              <w:pStyle w:val="179"/>
              <w:rPr>
                <w:sz w:val="22"/>
                <w:szCs w:val="22"/>
              </w:rPr>
            </w:pPr>
            <w:r>
              <w:rPr>
                <w:sz w:val="22"/>
                <w:szCs w:val="22"/>
              </w:rPr>
              <w:t>800</w:t>
            </w:r>
          </w:p>
        </w:tc>
        <w:tc>
          <w:tcPr>
            <w:tcW w:w="781" w:type="pct"/>
            <w:vAlign w:val="center"/>
          </w:tcPr>
          <w:p w14:paraId="3D49CF75">
            <w:pPr>
              <w:pStyle w:val="179"/>
              <w:rPr>
                <w:sz w:val="22"/>
                <w:szCs w:val="22"/>
              </w:rPr>
            </w:pPr>
            <w:r>
              <w:rPr>
                <w:sz w:val="22"/>
                <w:szCs w:val="22"/>
              </w:rPr>
              <w:t>0.009623</w:t>
            </w:r>
          </w:p>
        </w:tc>
        <w:tc>
          <w:tcPr>
            <w:tcW w:w="663" w:type="pct"/>
            <w:vAlign w:val="center"/>
          </w:tcPr>
          <w:p w14:paraId="7E3600C8">
            <w:pPr>
              <w:pStyle w:val="179"/>
              <w:rPr>
                <w:sz w:val="22"/>
                <w:szCs w:val="22"/>
              </w:rPr>
            </w:pPr>
            <w:r>
              <w:rPr>
                <w:sz w:val="22"/>
                <w:szCs w:val="22"/>
              </w:rPr>
              <w:t>1.07</w:t>
            </w:r>
          </w:p>
        </w:tc>
        <w:tc>
          <w:tcPr>
            <w:tcW w:w="847" w:type="pct"/>
            <w:vAlign w:val="center"/>
          </w:tcPr>
          <w:p w14:paraId="6DEA198C">
            <w:pPr>
              <w:pStyle w:val="179"/>
              <w:rPr>
                <w:sz w:val="22"/>
                <w:szCs w:val="22"/>
              </w:rPr>
            </w:pPr>
            <w:r>
              <w:rPr>
                <w:sz w:val="22"/>
                <w:szCs w:val="22"/>
              </w:rPr>
              <w:t>0.005111</w:t>
            </w:r>
          </w:p>
        </w:tc>
        <w:tc>
          <w:tcPr>
            <w:tcW w:w="675" w:type="pct"/>
            <w:vAlign w:val="center"/>
          </w:tcPr>
          <w:p w14:paraId="42CDAC10">
            <w:pPr>
              <w:pStyle w:val="179"/>
              <w:rPr>
                <w:sz w:val="22"/>
                <w:szCs w:val="22"/>
              </w:rPr>
            </w:pPr>
            <w:r>
              <w:rPr>
                <w:sz w:val="22"/>
                <w:szCs w:val="22"/>
              </w:rPr>
              <w:t>0.57</w:t>
            </w:r>
          </w:p>
        </w:tc>
        <w:tc>
          <w:tcPr>
            <w:tcW w:w="716" w:type="pct"/>
            <w:vAlign w:val="center"/>
          </w:tcPr>
          <w:p w14:paraId="2A28A684">
            <w:pPr>
              <w:pStyle w:val="179"/>
              <w:rPr>
                <w:sz w:val="22"/>
                <w:szCs w:val="22"/>
              </w:rPr>
            </w:pPr>
            <w:r>
              <w:rPr>
                <w:sz w:val="22"/>
                <w:szCs w:val="22"/>
              </w:rPr>
              <w:t>0.00408</w:t>
            </w:r>
          </w:p>
        </w:tc>
        <w:tc>
          <w:tcPr>
            <w:tcW w:w="673" w:type="pct"/>
            <w:vAlign w:val="center"/>
          </w:tcPr>
          <w:p w14:paraId="2C574449">
            <w:pPr>
              <w:pStyle w:val="179"/>
              <w:rPr>
                <w:sz w:val="22"/>
                <w:szCs w:val="22"/>
              </w:rPr>
            </w:pPr>
            <w:r>
              <w:rPr>
                <w:sz w:val="22"/>
                <w:szCs w:val="22"/>
              </w:rPr>
              <w:t>0.45</w:t>
            </w:r>
          </w:p>
        </w:tc>
      </w:tr>
      <w:tr w14:paraId="4E3C690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81" w:hRule="atLeast"/>
          <w:jc w:val="center"/>
        </w:trPr>
        <w:tc>
          <w:tcPr>
            <w:tcW w:w="645" w:type="pct"/>
            <w:vAlign w:val="center"/>
          </w:tcPr>
          <w:p w14:paraId="5B4CCFDC">
            <w:pPr>
              <w:pStyle w:val="179"/>
              <w:rPr>
                <w:rFonts w:cs="Times New Roman"/>
              </w:rPr>
            </w:pPr>
            <w:r>
              <w:rPr>
                <w:rFonts w:cs="Times New Roman"/>
              </w:rPr>
              <w:t>最大浓度及占标率</w:t>
            </w:r>
          </w:p>
        </w:tc>
        <w:tc>
          <w:tcPr>
            <w:tcW w:w="781" w:type="pct"/>
            <w:vAlign w:val="center"/>
          </w:tcPr>
          <w:p w14:paraId="53B71B6E">
            <w:pPr>
              <w:pStyle w:val="179"/>
              <w:rPr>
                <w:sz w:val="22"/>
                <w:szCs w:val="22"/>
              </w:rPr>
            </w:pPr>
            <w:r>
              <w:rPr>
                <w:sz w:val="22"/>
                <w:szCs w:val="22"/>
              </w:rPr>
              <w:t>0.06064</w:t>
            </w:r>
          </w:p>
        </w:tc>
        <w:tc>
          <w:tcPr>
            <w:tcW w:w="663" w:type="pct"/>
            <w:vAlign w:val="center"/>
          </w:tcPr>
          <w:p w14:paraId="54AE4F5C">
            <w:pPr>
              <w:pStyle w:val="179"/>
              <w:rPr>
                <w:sz w:val="22"/>
                <w:szCs w:val="22"/>
              </w:rPr>
            </w:pPr>
            <w:r>
              <w:rPr>
                <w:sz w:val="22"/>
                <w:szCs w:val="22"/>
              </w:rPr>
              <w:t>6.74</w:t>
            </w:r>
          </w:p>
        </w:tc>
        <w:tc>
          <w:tcPr>
            <w:tcW w:w="847" w:type="pct"/>
            <w:vAlign w:val="center"/>
          </w:tcPr>
          <w:p w14:paraId="5A4A7DF2">
            <w:pPr>
              <w:pStyle w:val="179"/>
              <w:rPr>
                <w:sz w:val="22"/>
                <w:szCs w:val="22"/>
              </w:rPr>
            </w:pPr>
            <w:r>
              <w:rPr>
                <w:sz w:val="22"/>
                <w:szCs w:val="22"/>
              </w:rPr>
              <w:t>0.059353</w:t>
            </w:r>
          </w:p>
        </w:tc>
        <w:tc>
          <w:tcPr>
            <w:tcW w:w="675" w:type="pct"/>
            <w:vAlign w:val="center"/>
          </w:tcPr>
          <w:p w14:paraId="4D2178EE">
            <w:pPr>
              <w:pStyle w:val="179"/>
              <w:rPr>
                <w:sz w:val="22"/>
                <w:szCs w:val="22"/>
              </w:rPr>
            </w:pPr>
            <w:r>
              <w:rPr>
                <w:sz w:val="22"/>
                <w:szCs w:val="22"/>
              </w:rPr>
              <w:t>6.59</w:t>
            </w:r>
          </w:p>
        </w:tc>
        <w:tc>
          <w:tcPr>
            <w:tcW w:w="716" w:type="pct"/>
            <w:vAlign w:val="center"/>
          </w:tcPr>
          <w:p w14:paraId="7A3EC56C">
            <w:pPr>
              <w:pStyle w:val="179"/>
              <w:rPr>
                <w:sz w:val="22"/>
                <w:szCs w:val="22"/>
              </w:rPr>
            </w:pPr>
            <w:r>
              <w:rPr>
                <w:sz w:val="22"/>
                <w:szCs w:val="22"/>
              </w:rPr>
              <w:t>0.055231</w:t>
            </w:r>
          </w:p>
        </w:tc>
        <w:tc>
          <w:tcPr>
            <w:tcW w:w="673" w:type="pct"/>
            <w:vAlign w:val="center"/>
          </w:tcPr>
          <w:p w14:paraId="62C27F38">
            <w:pPr>
              <w:pStyle w:val="179"/>
              <w:rPr>
                <w:sz w:val="22"/>
                <w:szCs w:val="22"/>
              </w:rPr>
            </w:pPr>
            <w:r>
              <w:rPr>
                <w:sz w:val="22"/>
                <w:szCs w:val="22"/>
              </w:rPr>
              <w:t>6.14</w:t>
            </w:r>
          </w:p>
        </w:tc>
      </w:tr>
      <w:tr w14:paraId="7D01BC4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81" w:hRule="atLeast"/>
          <w:jc w:val="center"/>
        </w:trPr>
        <w:tc>
          <w:tcPr>
            <w:tcW w:w="645" w:type="pct"/>
            <w:vAlign w:val="center"/>
          </w:tcPr>
          <w:p w14:paraId="051DB44B">
            <w:pPr>
              <w:pStyle w:val="179"/>
              <w:rPr>
                <w:rFonts w:cs="Times New Roman"/>
              </w:rPr>
            </w:pPr>
            <w:r>
              <w:rPr>
                <w:rFonts w:cs="Times New Roman"/>
              </w:rPr>
              <w:t>最大浓度出现距离m</w:t>
            </w:r>
          </w:p>
        </w:tc>
        <w:tc>
          <w:tcPr>
            <w:tcW w:w="1444" w:type="pct"/>
            <w:gridSpan w:val="2"/>
            <w:vAlign w:val="center"/>
          </w:tcPr>
          <w:p w14:paraId="21C1A142">
            <w:pPr>
              <w:pStyle w:val="179"/>
              <w:rPr>
                <w:rFonts w:cs="Times New Roman"/>
              </w:rPr>
            </w:pPr>
            <w:r>
              <w:rPr>
                <w:rFonts w:hint="eastAsia" w:cs="Times New Roman"/>
              </w:rPr>
              <w:t>126</w:t>
            </w:r>
          </w:p>
        </w:tc>
        <w:tc>
          <w:tcPr>
            <w:tcW w:w="1522" w:type="pct"/>
            <w:gridSpan w:val="2"/>
            <w:vAlign w:val="center"/>
          </w:tcPr>
          <w:p w14:paraId="39D8120F">
            <w:pPr>
              <w:pStyle w:val="179"/>
              <w:rPr>
                <w:rFonts w:cs="Times New Roman"/>
              </w:rPr>
            </w:pPr>
            <w:r>
              <w:rPr>
                <w:rFonts w:hint="eastAsia" w:cs="Times New Roman"/>
              </w:rPr>
              <w:t>251</w:t>
            </w:r>
          </w:p>
        </w:tc>
        <w:tc>
          <w:tcPr>
            <w:tcW w:w="1389" w:type="pct"/>
            <w:gridSpan w:val="2"/>
            <w:vAlign w:val="center"/>
          </w:tcPr>
          <w:p w14:paraId="78FC691F">
            <w:pPr>
              <w:pStyle w:val="179"/>
              <w:rPr>
                <w:rFonts w:cs="Times New Roman"/>
              </w:rPr>
            </w:pPr>
            <w:r>
              <w:rPr>
                <w:rFonts w:hint="eastAsia" w:cs="Times New Roman"/>
              </w:rPr>
              <w:t>43</w:t>
            </w:r>
          </w:p>
        </w:tc>
      </w:tr>
    </w:tbl>
    <w:p w14:paraId="46134675">
      <w:pPr>
        <w:pStyle w:val="178"/>
      </w:pPr>
      <w:r>
        <w:t>表2.</w:t>
      </w:r>
      <w:r>
        <w:rPr>
          <w:rFonts w:hint="eastAsia"/>
        </w:rPr>
        <w:t>5-6</w:t>
      </w:r>
      <w:r>
        <w:t xml:space="preserve">  本项目评价工作级别确定表</w:t>
      </w:r>
    </w:p>
    <w:tbl>
      <w:tblPr>
        <w:tblStyle w:val="37"/>
        <w:tblW w:w="8505"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
      <w:tblGrid>
        <w:gridCol w:w="1418"/>
        <w:gridCol w:w="906"/>
        <w:gridCol w:w="1157"/>
        <w:gridCol w:w="1296"/>
        <w:gridCol w:w="1299"/>
        <w:gridCol w:w="1115"/>
        <w:gridCol w:w="1314"/>
      </w:tblGrid>
      <w:tr w14:paraId="7F44AD6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1418" w:type="dxa"/>
            <w:noWrap/>
            <w:vAlign w:val="center"/>
          </w:tcPr>
          <w:p w14:paraId="4C5D3AE1">
            <w:pPr>
              <w:pStyle w:val="179"/>
              <w:widowControl w:val="0"/>
              <w:rPr>
                <w:rFonts w:cs="Times New Roman"/>
                <w:b/>
              </w:rPr>
            </w:pPr>
            <w:r>
              <w:rPr>
                <w:rFonts w:cs="Times New Roman"/>
                <w:b/>
              </w:rPr>
              <w:t>污染源名称</w:t>
            </w:r>
          </w:p>
        </w:tc>
        <w:tc>
          <w:tcPr>
            <w:tcW w:w="906" w:type="dxa"/>
            <w:noWrap/>
            <w:vAlign w:val="center"/>
          </w:tcPr>
          <w:p w14:paraId="1A85E9F5">
            <w:pPr>
              <w:pStyle w:val="179"/>
              <w:widowControl w:val="0"/>
              <w:rPr>
                <w:rFonts w:cs="Times New Roman"/>
                <w:b/>
              </w:rPr>
            </w:pPr>
            <w:r>
              <w:rPr>
                <w:rFonts w:cs="Times New Roman"/>
                <w:b/>
              </w:rPr>
              <w:t>评价因子</w:t>
            </w:r>
          </w:p>
        </w:tc>
        <w:tc>
          <w:tcPr>
            <w:tcW w:w="1157" w:type="dxa"/>
            <w:noWrap/>
            <w:vAlign w:val="center"/>
          </w:tcPr>
          <w:p w14:paraId="041D10C3">
            <w:pPr>
              <w:pStyle w:val="179"/>
              <w:widowControl w:val="0"/>
              <w:rPr>
                <w:rFonts w:cs="Times New Roman"/>
                <w:b/>
              </w:rPr>
            </w:pPr>
            <w:r>
              <w:rPr>
                <w:rFonts w:cs="Times New Roman"/>
                <w:b/>
              </w:rPr>
              <w:t>评价标准(μg/m</w:t>
            </w:r>
            <w:r>
              <w:rPr>
                <w:rFonts w:cs="Times New Roman"/>
                <w:b/>
                <w:vertAlign w:val="superscript"/>
              </w:rPr>
              <w:t>3</w:t>
            </w:r>
            <w:r>
              <w:rPr>
                <w:rFonts w:cs="Times New Roman"/>
                <w:b/>
              </w:rPr>
              <w:t>)</w:t>
            </w:r>
          </w:p>
        </w:tc>
        <w:tc>
          <w:tcPr>
            <w:tcW w:w="1296" w:type="dxa"/>
            <w:noWrap/>
            <w:vAlign w:val="center"/>
          </w:tcPr>
          <w:p w14:paraId="4D07C4CA">
            <w:pPr>
              <w:pStyle w:val="179"/>
              <w:widowControl w:val="0"/>
              <w:rPr>
                <w:rFonts w:cs="Times New Roman"/>
                <w:b/>
              </w:rPr>
            </w:pPr>
            <w:r>
              <w:rPr>
                <w:rFonts w:cs="Times New Roman"/>
                <w:b/>
              </w:rPr>
              <w:t>C</w:t>
            </w:r>
            <w:r>
              <w:rPr>
                <w:rFonts w:cs="Times New Roman"/>
                <w:b/>
                <w:vertAlign w:val="subscript"/>
              </w:rPr>
              <w:t>max</w:t>
            </w:r>
            <w:r>
              <w:rPr>
                <w:rFonts w:cs="Times New Roman"/>
                <w:b/>
              </w:rPr>
              <w:t>(</w:t>
            </w:r>
            <w:r>
              <w:rPr>
                <w:rFonts w:hint="eastAsia" w:cs="Times New Roman"/>
                <w:b/>
              </w:rPr>
              <w:t>m</w:t>
            </w:r>
            <w:r>
              <w:rPr>
                <w:rFonts w:cs="Times New Roman"/>
                <w:b/>
              </w:rPr>
              <w:t>g/m</w:t>
            </w:r>
            <w:r>
              <w:rPr>
                <w:rFonts w:cs="Times New Roman"/>
                <w:b/>
                <w:vertAlign w:val="superscript"/>
              </w:rPr>
              <w:t>3</w:t>
            </w:r>
            <w:r>
              <w:rPr>
                <w:rFonts w:cs="Times New Roman"/>
                <w:b/>
              </w:rPr>
              <w:t>)</w:t>
            </w:r>
          </w:p>
        </w:tc>
        <w:tc>
          <w:tcPr>
            <w:tcW w:w="1299" w:type="dxa"/>
            <w:noWrap/>
            <w:vAlign w:val="center"/>
          </w:tcPr>
          <w:p w14:paraId="3BF473B8">
            <w:pPr>
              <w:pStyle w:val="179"/>
              <w:widowControl w:val="0"/>
              <w:rPr>
                <w:rFonts w:cs="Times New Roman"/>
                <w:b/>
              </w:rPr>
            </w:pPr>
            <w:r>
              <w:rPr>
                <w:rFonts w:cs="Times New Roman"/>
                <w:b/>
              </w:rPr>
              <w:t>P</w:t>
            </w:r>
            <w:r>
              <w:rPr>
                <w:rFonts w:cs="Times New Roman"/>
                <w:b/>
                <w:vertAlign w:val="subscript"/>
              </w:rPr>
              <w:t>max</w:t>
            </w:r>
            <w:r>
              <w:rPr>
                <w:rFonts w:cs="Times New Roman"/>
                <w:b/>
              </w:rPr>
              <w:t>(%)</w:t>
            </w:r>
          </w:p>
        </w:tc>
        <w:tc>
          <w:tcPr>
            <w:tcW w:w="1115" w:type="dxa"/>
            <w:noWrap/>
            <w:vAlign w:val="center"/>
          </w:tcPr>
          <w:p w14:paraId="126D3D58">
            <w:pPr>
              <w:pStyle w:val="179"/>
              <w:widowControl w:val="0"/>
              <w:rPr>
                <w:rFonts w:cs="Times New Roman"/>
                <w:b/>
              </w:rPr>
            </w:pPr>
            <w:r>
              <w:rPr>
                <w:rFonts w:cs="Times New Roman"/>
                <w:b/>
              </w:rPr>
              <w:t>D</w:t>
            </w:r>
            <w:r>
              <w:rPr>
                <w:rFonts w:cs="Times New Roman"/>
                <w:b/>
                <w:vertAlign w:val="subscript"/>
              </w:rPr>
              <w:t>10%</w:t>
            </w:r>
          </w:p>
          <w:p w14:paraId="670F9C85">
            <w:pPr>
              <w:pStyle w:val="179"/>
              <w:widowControl w:val="0"/>
              <w:rPr>
                <w:rFonts w:cs="Times New Roman"/>
                <w:b/>
              </w:rPr>
            </w:pPr>
            <w:r>
              <w:rPr>
                <w:rFonts w:cs="Times New Roman"/>
                <w:b/>
              </w:rPr>
              <w:t>(m)</w:t>
            </w:r>
          </w:p>
        </w:tc>
        <w:tc>
          <w:tcPr>
            <w:tcW w:w="1314" w:type="dxa"/>
            <w:noWrap/>
            <w:vAlign w:val="center"/>
          </w:tcPr>
          <w:p w14:paraId="59EB081E">
            <w:pPr>
              <w:pStyle w:val="179"/>
              <w:widowControl w:val="0"/>
              <w:rPr>
                <w:rFonts w:cs="Times New Roman"/>
                <w:b/>
              </w:rPr>
            </w:pPr>
            <w:r>
              <w:rPr>
                <w:rFonts w:cs="Times New Roman"/>
                <w:b/>
              </w:rPr>
              <w:t>评价等级</w:t>
            </w:r>
          </w:p>
        </w:tc>
      </w:tr>
      <w:tr w14:paraId="7758DBA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1418" w:type="dxa"/>
            <w:noWrap/>
            <w:vAlign w:val="center"/>
          </w:tcPr>
          <w:p w14:paraId="0841E4C0">
            <w:pPr>
              <w:pStyle w:val="179"/>
              <w:widowControl w:val="0"/>
              <w:rPr>
                <w:rFonts w:ascii="宋体" w:hAnsi="宋体"/>
              </w:rPr>
            </w:pPr>
            <w:r>
              <w:rPr>
                <w:rFonts w:hint="eastAsia"/>
              </w:rPr>
              <w:t>作业区</w:t>
            </w:r>
          </w:p>
        </w:tc>
        <w:tc>
          <w:tcPr>
            <w:tcW w:w="906" w:type="dxa"/>
            <w:noWrap/>
            <w:vAlign w:val="center"/>
          </w:tcPr>
          <w:p w14:paraId="477A8792">
            <w:pPr>
              <w:pStyle w:val="179"/>
              <w:widowControl w:val="0"/>
              <w:rPr>
                <w:rFonts w:cs="Times New Roman"/>
              </w:rPr>
            </w:pPr>
            <w:r>
              <w:rPr>
                <w:rFonts w:cs="Times New Roman"/>
              </w:rPr>
              <w:t>TSP</w:t>
            </w:r>
          </w:p>
        </w:tc>
        <w:tc>
          <w:tcPr>
            <w:tcW w:w="1157" w:type="dxa"/>
            <w:noWrap/>
            <w:vAlign w:val="center"/>
          </w:tcPr>
          <w:p w14:paraId="5897047F">
            <w:pPr>
              <w:pStyle w:val="179"/>
              <w:widowControl w:val="0"/>
              <w:rPr>
                <w:rFonts w:cs="Times New Roman"/>
              </w:rPr>
            </w:pPr>
            <w:r>
              <w:rPr>
                <w:rFonts w:cs="Times New Roman"/>
              </w:rPr>
              <w:t>900.0</w:t>
            </w:r>
          </w:p>
        </w:tc>
        <w:tc>
          <w:tcPr>
            <w:tcW w:w="1296" w:type="dxa"/>
            <w:noWrap/>
            <w:vAlign w:val="center"/>
          </w:tcPr>
          <w:p w14:paraId="66E1C006">
            <w:pPr>
              <w:pStyle w:val="179"/>
              <w:widowControl w:val="0"/>
              <w:rPr>
                <w:sz w:val="22"/>
                <w:szCs w:val="22"/>
              </w:rPr>
            </w:pPr>
            <w:r>
              <w:rPr>
                <w:sz w:val="22"/>
                <w:szCs w:val="22"/>
              </w:rPr>
              <w:t>0.06064</w:t>
            </w:r>
          </w:p>
        </w:tc>
        <w:tc>
          <w:tcPr>
            <w:tcW w:w="1299" w:type="dxa"/>
            <w:noWrap/>
            <w:vAlign w:val="center"/>
          </w:tcPr>
          <w:p w14:paraId="01405FE3">
            <w:pPr>
              <w:pStyle w:val="179"/>
              <w:widowControl w:val="0"/>
              <w:rPr>
                <w:sz w:val="22"/>
                <w:szCs w:val="22"/>
              </w:rPr>
            </w:pPr>
            <w:r>
              <w:rPr>
                <w:sz w:val="22"/>
                <w:szCs w:val="22"/>
              </w:rPr>
              <w:t>6.74</w:t>
            </w:r>
          </w:p>
        </w:tc>
        <w:tc>
          <w:tcPr>
            <w:tcW w:w="1115" w:type="dxa"/>
            <w:noWrap/>
            <w:vAlign w:val="center"/>
          </w:tcPr>
          <w:p w14:paraId="59CE13A2">
            <w:pPr>
              <w:pStyle w:val="179"/>
              <w:widowControl w:val="0"/>
              <w:rPr>
                <w:rFonts w:cs="Times New Roman"/>
              </w:rPr>
            </w:pPr>
            <w:r>
              <w:rPr>
                <w:rFonts w:cs="Times New Roman"/>
              </w:rPr>
              <w:t>/</w:t>
            </w:r>
          </w:p>
        </w:tc>
        <w:tc>
          <w:tcPr>
            <w:tcW w:w="1314" w:type="dxa"/>
            <w:noWrap/>
            <w:vAlign w:val="center"/>
          </w:tcPr>
          <w:p w14:paraId="25C3DD92">
            <w:pPr>
              <w:pStyle w:val="179"/>
              <w:widowControl w:val="0"/>
              <w:rPr>
                <w:rFonts w:cs="Times New Roman"/>
              </w:rPr>
            </w:pPr>
            <w:r>
              <w:rPr>
                <w:rFonts w:cs="Times New Roman"/>
              </w:rPr>
              <w:t>二级</w:t>
            </w:r>
          </w:p>
        </w:tc>
      </w:tr>
      <w:tr w14:paraId="5053AFA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1418" w:type="dxa"/>
            <w:noWrap/>
            <w:vAlign w:val="center"/>
          </w:tcPr>
          <w:p w14:paraId="1447DDAE">
            <w:pPr>
              <w:pStyle w:val="179"/>
              <w:widowControl w:val="0"/>
              <w:rPr>
                <w:rFonts w:ascii="宋体" w:hAnsi="宋体"/>
              </w:rPr>
            </w:pPr>
            <w:r>
              <w:rPr>
                <w:rFonts w:hint="eastAsia"/>
              </w:rPr>
              <w:t>运输道路</w:t>
            </w:r>
          </w:p>
        </w:tc>
        <w:tc>
          <w:tcPr>
            <w:tcW w:w="906" w:type="dxa"/>
            <w:noWrap/>
            <w:vAlign w:val="center"/>
          </w:tcPr>
          <w:p w14:paraId="21AF997B">
            <w:pPr>
              <w:pStyle w:val="179"/>
              <w:widowControl w:val="0"/>
              <w:rPr>
                <w:rFonts w:cs="Times New Roman"/>
              </w:rPr>
            </w:pPr>
            <w:r>
              <w:rPr>
                <w:rFonts w:cs="Times New Roman"/>
              </w:rPr>
              <w:t>TSP</w:t>
            </w:r>
          </w:p>
        </w:tc>
        <w:tc>
          <w:tcPr>
            <w:tcW w:w="1157" w:type="dxa"/>
            <w:noWrap/>
            <w:vAlign w:val="center"/>
          </w:tcPr>
          <w:p w14:paraId="04F0C4B1">
            <w:pPr>
              <w:pStyle w:val="179"/>
              <w:widowControl w:val="0"/>
              <w:rPr>
                <w:rFonts w:cs="Times New Roman"/>
              </w:rPr>
            </w:pPr>
            <w:r>
              <w:rPr>
                <w:rFonts w:cs="Times New Roman"/>
              </w:rPr>
              <w:t>900.0</w:t>
            </w:r>
          </w:p>
        </w:tc>
        <w:tc>
          <w:tcPr>
            <w:tcW w:w="1296" w:type="dxa"/>
            <w:noWrap/>
            <w:vAlign w:val="center"/>
          </w:tcPr>
          <w:p w14:paraId="52336874">
            <w:pPr>
              <w:pStyle w:val="179"/>
              <w:widowControl w:val="0"/>
              <w:rPr>
                <w:sz w:val="22"/>
                <w:szCs w:val="22"/>
              </w:rPr>
            </w:pPr>
            <w:r>
              <w:rPr>
                <w:sz w:val="22"/>
                <w:szCs w:val="22"/>
              </w:rPr>
              <w:t>0.059353</w:t>
            </w:r>
          </w:p>
        </w:tc>
        <w:tc>
          <w:tcPr>
            <w:tcW w:w="1299" w:type="dxa"/>
            <w:noWrap/>
            <w:vAlign w:val="center"/>
          </w:tcPr>
          <w:p w14:paraId="062BC44B">
            <w:pPr>
              <w:pStyle w:val="179"/>
              <w:widowControl w:val="0"/>
              <w:rPr>
                <w:sz w:val="22"/>
                <w:szCs w:val="22"/>
              </w:rPr>
            </w:pPr>
            <w:r>
              <w:rPr>
                <w:sz w:val="22"/>
                <w:szCs w:val="22"/>
              </w:rPr>
              <w:t>6.59</w:t>
            </w:r>
          </w:p>
        </w:tc>
        <w:tc>
          <w:tcPr>
            <w:tcW w:w="1115" w:type="dxa"/>
            <w:noWrap/>
            <w:vAlign w:val="center"/>
          </w:tcPr>
          <w:p w14:paraId="7B332468">
            <w:pPr>
              <w:pStyle w:val="179"/>
              <w:widowControl w:val="0"/>
              <w:rPr>
                <w:rFonts w:cs="Times New Roman"/>
              </w:rPr>
            </w:pPr>
            <w:r>
              <w:rPr>
                <w:rFonts w:cs="Times New Roman"/>
              </w:rPr>
              <w:t>/</w:t>
            </w:r>
          </w:p>
        </w:tc>
        <w:tc>
          <w:tcPr>
            <w:tcW w:w="1314" w:type="dxa"/>
            <w:noWrap/>
            <w:vAlign w:val="center"/>
          </w:tcPr>
          <w:p w14:paraId="4CD98E95">
            <w:pPr>
              <w:pStyle w:val="179"/>
              <w:widowControl w:val="0"/>
              <w:rPr>
                <w:rFonts w:cs="Times New Roman"/>
              </w:rPr>
            </w:pPr>
            <w:r>
              <w:rPr>
                <w:rFonts w:cs="Times New Roman"/>
              </w:rPr>
              <w:t>二级</w:t>
            </w:r>
          </w:p>
        </w:tc>
      </w:tr>
      <w:tr w14:paraId="73E74E0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1418" w:type="dxa"/>
            <w:noWrap/>
            <w:vAlign w:val="center"/>
          </w:tcPr>
          <w:p w14:paraId="182CD40D">
            <w:pPr>
              <w:pStyle w:val="179"/>
              <w:widowControl w:val="0"/>
              <w:rPr>
                <w:rFonts w:ascii="宋体" w:hAnsi="宋体"/>
              </w:rPr>
            </w:pPr>
            <w:r>
              <w:rPr>
                <w:rFonts w:hint="eastAsia"/>
              </w:rPr>
              <w:t>堆土场</w:t>
            </w:r>
          </w:p>
        </w:tc>
        <w:tc>
          <w:tcPr>
            <w:tcW w:w="906" w:type="dxa"/>
            <w:noWrap/>
            <w:vAlign w:val="center"/>
          </w:tcPr>
          <w:p w14:paraId="223E1D26">
            <w:pPr>
              <w:pStyle w:val="179"/>
              <w:widowControl w:val="0"/>
              <w:rPr>
                <w:rFonts w:cs="Times New Roman"/>
              </w:rPr>
            </w:pPr>
            <w:r>
              <w:rPr>
                <w:rFonts w:cs="Times New Roman"/>
              </w:rPr>
              <w:t>TSP</w:t>
            </w:r>
          </w:p>
        </w:tc>
        <w:tc>
          <w:tcPr>
            <w:tcW w:w="1157" w:type="dxa"/>
            <w:noWrap/>
            <w:vAlign w:val="center"/>
          </w:tcPr>
          <w:p w14:paraId="0ED538D8">
            <w:pPr>
              <w:pStyle w:val="179"/>
              <w:widowControl w:val="0"/>
              <w:rPr>
                <w:rFonts w:cs="Times New Roman"/>
              </w:rPr>
            </w:pPr>
            <w:r>
              <w:rPr>
                <w:rFonts w:cs="Times New Roman"/>
              </w:rPr>
              <w:t>900.0</w:t>
            </w:r>
          </w:p>
        </w:tc>
        <w:tc>
          <w:tcPr>
            <w:tcW w:w="1296" w:type="dxa"/>
            <w:noWrap/>
            <w:vAlign w:val="center"/>
          </w:tcPr>
          <w:p w14:paraId="7FE45CAF">
            <w:pPr>
              <w:pStyle w:val="179"/>
              <w:widowControl w:val="0"/>
              <w:rPr>
                <w:sz w:val="22"/>
                <w:szCs w:val="22"/>
              </w:rPr>
            </w:pPr>
            <w:r>
              <w:rPr>
                <w:sz w:val="22"/>
                <w:szCs w:val="22"/>
              </w:rPr>
              <w:t>0.055231</w:t>
            </w:r>
          </w:p>
        </w:tc>
        <w:tc>
          <w:tcPr>
            <w:tcW w:w="1299" w:type="dxa"/>
            <w:noWrap/>
            <w:vAlign w:val="center"/>
          </w:tcPr>
          <w:p w14:paraId="1F420BAE">
            <w:pPr>
              <w:pStyle w:val="179"/>
              <w:widowControl w:val="0"/>
              <w:rPr>
                <w:sz w:val="22"/>
                <w:szCs w:val="22"/>
              </w:rPr>
            </w:pPr>
            <w:r>
              <w:rPr>
                <w:sz w:val="22"/>
                <w:szCs w:val="22"/>
              </w:rPr>
              <w:t>6.14</w:t>
            </w:r>
          </w:p>
        </w:tc>
        <w:tc>
          <w:tcPr>
            <w:tcW w:w="1115" w:type="dxa"/>
            <w:noWrap/>
            <w:vAlign w:val="center"/>
          </w:tcPr>
          <w:p w14:paraId="53652EFB">
            <w:pPr>
              <w:pStyle w:val="179"/>
              <w:widowControl w:val="0"/>
              <w:rPr>
                <w:rFonts w:cs="Times New Roman"/>
              </w:rPr>
            </w:pPr>
            <w:r>
              <w:rPr>
                <w:rFonts w:cs="Times New Roman"/>
              </w:rPr>
              <w:t>/</w:t>
            </w:r>
          </w:p>
        </w:tc>
        <w:tc>
          <w:tcPr>
            <w:tcW w:w="1314" w:type="dxa"/>
            <w:noWrap/>
            <w:vAlign w:val="center"/>
          </w:tcPr>
          <w:p w14:paraId="5C3AE985">
            <w:pPr>
              <w:pStyle w:val="179"/>
              <w:widowControl w:val="0"/>
              <w:rPr>
                <w:rFonts w:cs="Times New Roman"/>
              </w:rPr>
            </w:pPr>
            <w:r>
              <w:rPr>
                <w:rFonts w:cs="Times New Roman"/>
              </w:rPr>
              <w:t>二级</w:t>
            </w:r>
          </w:p>
        </w:tc>
      </w:tr>
    </w:tbl>
    <w:p w14:paraId="31B40693">
      <w:pPr>
        <w:ind w:firstLine="480"/>
        <w:rPr>
          <w:rFonts w:hAnsi="Times New Roman" w:cs="Times New Roman"/>
        </w:rPr>
      </w:pPr>
    </w:p>
    <w:p w14:paraId="68C45730">
      <w:pPr>
        <w:ind w:firstLine="480"/>
        <w:rPr>
          <w:rFonts w:hAnsi="Times New Roman" w:cs="Times New Roman"/>
        </w:rPr>
      </w:pPr>
      <w:r>
        <w:rPr>
          <w:rFonts w:hAnsi="Times New Roman" w:cs="Times New Roman"/>
        </w:rPr>
        <w:t>本项目P</w:t>
      </w:r>
      <w:r>
        <w:rPr>
          <w:rFonts w:hAnsi="Times New Roman" w:cs="Times New Roman"/>
          <w:vertAlign w:val="subscript"/>
        </w:rPr>
        <w:t>max</w:t>
      </w:r>
      <w:r>
        <w:rPr>
          <w:rFonts w:hAnsi="Times New Roman" w:cs="Times New Roman"/>
        </w:rPr>
        <w:t>最大值出现为运输道路排放的TSP，P</w:t>
      </w:r>
      <w:r>
        <w:rPr>
          <w:rFonts w:hAnsi="Times New Roman" w:cs="Times New Roman"/>
          <w:vertAlign w:val="subscript"/>
        </w:rPr>
        <w:t>max</w:t>
      </w:r>
      <w:r>
        <w:rPr>
          <w:rFonts w:hAnsi="Times New Roman" w:cs="Times New Roman"/>
        </w:rPr>
        <w:t>值为</w:t>
      </w:r>
      <w:r>
        <w:t>6.74</w:t>
      </w:r>
      <w:r>
        <w:rPr>
          <w:rFonts w:hAnsi="Times New Roman" w:cs="Times New Roman"/>
        </w:rPr>
        <w:t>%，Cmax为0.06064</w:t>
      </w:r>
      <w:r>
        <w:rPr>
          <w:rFonts w:hint="eastAsia" w:hAnsi="Times New Roman" w:cs="Times New Roman"/>
        </w:rPr>
        <w:t>m</w:t>
      </w:r>
      <w:r>
        <w:rPr>
          <w:rFonts w:hAnsi="Times New Roman" w:cs="Times New Roman"/>
        </w:rPr>
        <w:t>g/m</w:t>
      </w:r>
      <w:r>
        <w:rPr>
          <w:rFonts w:hAnsi="Times New Roman" w:eastAsia="宋体" w:cs="Times New Roman"/>
        </w:rPr>
        <w:t>³</w:t>
      </w:r>
      <w:r>
        <w:rPr>
          <w:rFonts w:hAnsi="Times New Roman" w:cs="Times New Roman"/>
        </w:rPr>
        <w:t>，根据《环境影响评价技术导则-大气环境》（HJ2.2-2018）中“5.3.3.1同一项目有多个污染源（两个及以上，下同）时，则按各污染源分别确定评价等级，并取评价等级最高者作为项目的评价等级”，本项目废气评价等级为二级评价；根据“5.3.3.2对电力、钢铁、水泥、石化、电力、化工、平板玻璃、有色等高耗能行业多源项目或以使用高污染燃料为主的多源项目，并且编制环境影响报告书的项目评级的等级提高一级”，本项目属于非金属矿开采业，不属于5.3.3.2所列类别，因此大气评价等级确定为二级。</w:t>
      </w:r>
    </w:p>
    <w:p w14:paraId="5EC2C80A">
      <w:pPr>
        <w:ind w:firstLine="480"/>
        <w:rPr>
          <w:rFonts w:hAnsi="Times New Roman" w:cs="Times New Roman"/>
        </w:rPr>
      </w:pPr>
      <w:r>
        <w:rPr>
          <w:rFonts w:hAnsi="Times New Roman" w:cs="Times New Roman"/>
        </w:rPr>
        <w:t>根据计算结果，P</w:t>
      </w:r>
      <w:r>
        <w:rPr>
          <w:rFonts w:hAnsi="Times New Roman" w:cs="Times New Roman"/>
          <w:vertAlign w:val="subscript"/>
        </w:rPr>
        <w:t>max</w:t>
      </w:r>
      <w:r>
        <w:rPr>
          <w:rFonts w:hAnsi="Times New Roman" w:cs="Times New Roman"/>
        </w:rPr>
        <w:t>=</w:t>
      </w:r>
      <w:r>
        <w:t>6.74</w:t>
      </w:r>
      <w:r>
        <w:rPr>
          <w:rFonts w:hAnsi="Times New Roman" w:cs="Times New Roman"/>
        </w:rPr>
        <w:t>%＜10%，根据《环境影响评价技术导则-大气环境》 （HJ2.2-2018），确定本项目大气环境评价工作等级为二级。</w:t>
      </w:r>
    </w:p>
    <w:p w14:paraId="43E071F1">
      <w:pPr>
        <w:pStyle w:val="4"/>
        <w:spacing w:before="180" w:after="120"/>
        <w:rPr>
          <w:rFonts w:hAnsi="Times New Roman" w:cs="Times New Roman"/>
        </w:rPr>
      </w:pPr>
      <w:r>
        <w:rPr>
          <w:rFonts w:hAnsi="Times New Roman" w:cs="Times New Roman"/>
        </w:rPr>
        <w:t>声环境</w:t>
      </w:r>
    </w:p>
    <w:p w14:paraId="5B458D29">
      <w:pPr>
        <w:ind w:firstLine="480"/>
        <w:rPr>
          <w:rFonts w:hAnsi="Times New Roman" w:cs="Times New Roman"/>
        </w:rPr>
      </w:pPr>
      <w:r>
        <w:rPr>
          <w:rFonts w:hAnsi="Times New Roman" w:cs="Times New Roman"/>
        </w:rPr>
        <w:t>根据《环境影响评价技术导则  声环境》（HJ2.4-2021）规定的噪声环境影响评价等级划分的基本原则，项目所在区域为GB3096-2008中</w:t>
      </w:r>
      <w:r>
        <w:rPr>
          <w:rFonts w:hint="eastAsia" w:hAnsi="Times New Roman" w:cs="Times New Roman"/>
        </w:rPr>
        <w:t>1</w:t>
      </w:r>
      <w:r>
        <w:rPr>
          <w:rFonts w:hAnsi="Times New Roman" w:cs="Times New Roman"/>
        </w:rPr>
        <w:t>类区，项目周边无声环境敏感目标，因此确定本项目声环境影响评价工作等级为二级。</w:t>
      </w:r>
    </w:p>
    <w:p w14:paraId="5FF83A8F">
      <w:pPr>
        <w:pStyle w:val="4"/>
        <w:spacing w:before="180" w:after="120"/>
        <w:rPr>
          <w:rFonts w:hAnsi="Times New Roman" w:cs="Times New Roman"/>
        </w:rPr>
      </w:pPr>
      <w:r>
        <w:rPr>
          <w:rFonts w:hAnsi="Times New Roman" w:cs="Times New Roman"/>
        </w:rPr>
        <w:t>地表水环境</w:t>
      </w:r>
    </w:p>
    <w:p w14:paraId="7C98DFA3">
      <w:pPr>
        <w:ind w:firstLine="480"/>
        <w:rPr>
          <w:kern w:val="0"/>
        </w:rPr>
      </w:pPr>
      <w:r>
        <w:t>根据</w:t>
      </w:r>
      <w:r>
        <w:rPr>
          <w:kern w:val="0"/>
        </w:rPr>
        <w:t>《环境影响评价技术导则 地表水环境》（HJ2.3</w:t>
      </w:r>
      <w:r>
        <w:rPr>
          <w:rFonts w:hint="eastAsia"/>
          <w:kern w:val="0"/>
        </w:rPr>
        <w:t>-</w:t>
      </w:r>
      <w:r>
        <w:rPr>
          <w:kern w:val="0"/>
        </w:rPr>
        <w:t>2018），建设项目地下水环境影响评价工作等级划分见表2.</w:t>
      </w:r>
      <w:r>
        <w:rPr>
          <w:rFonts w:hint="eastAsia"/>
          <w:kern w:val="0"/>
        </w:rPr>
        <w:t>5-7</w:t>
      </w:r>
      <w:r>
        <w:rPr>
          <w:kern w:val="0"/>
        </w:rPr>
        <w:t>。</w:t>
      </w:r>
    </w:p>
    <w:p w14:paraId="7D0736B5">
      <w:pPr>
        <w:pStyle w:val="178"/>
      </w:pPr>
      <w:r>
        <w:t>表2</w:t>
      </w:r>
      <w:r>
        <w:rPr>
          <w:rFonts w:hint="eastAsia"/>
        </w:rPr>
        <w:t>.</w:t>
      </w:r>
      <w:r>
        <w:rPr>
          <w:rFonts w:hint="eastAsia"/>
          <w:kern w:val="0"/>
        </w:rPr>
        <w:t xml:space="preserve">5-7  </w:t>
      </w:r>
      <w:r>
        <w:t>水污染影响型建设项目评价等级判定</w:t>
      </w:r>
    </w:p>
    <w:tbl>
      <w:tblPr>
        <w:tblStyle w:val="36"/>
        <w:tblW w:w="8505"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508"/>
        <w:gridCol w:w="1680"/>
        <w:gridCol w:w="5317"/>
      </w:tblGrid>
      <w:tr w14:paraId="5B540A2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26" w:type="dxa"/>
            <w:vMerge w:val="restart"/>
            <w:tcBorders>
              <w:top w:val="single" w:color="auto" w:sz="12" w:space="0"/>
              <w:left w:val="single" w:color="auto" w:sz="12" w:space="0"/>
              <w:bottom w:val="single" w:color="auto" w:sz="4" w:space="0"/>
            </w:tcBorders>
            <w:vAlign w:val="center"/>
          </w:tcPr>
          <w:p w14:paraId="2CEBD6C3">
            <w:pPr>
              <w:pStyle w:val="179"/>
              <w:rPr>
                <w:b/>
              </w:rPr>
            </w:pPr>
            <w:r>
              <w:rPr>
                <w:b/>
              </w:rPr>
              <w:t>评价等级</w:t>
            </w:r>
          </w:p>
        </w:tc>
        <w:tc>
          <w:tcPr>
            <w:tcW w:w="7087" w:type="dxa"/>
            <w:gridSpan w:val="2"/>
            <w:tcBorders>
              <w:top w:val="single" w:color="auto" w:sz="12" w:space="0"/>
              <w:bottom w:val="single" w:color="auto" w:sz="4" w:space="0"/>
              <w:right w:val="single" w:color="auto" w:sz="12" w:space="0"/>
            </w:tcBorders>
            <w:vAlign w:val="center"/>
          </w:tcPr>
          <w:p w14:paraId="61E8243D">
            <w:pPr>
              <w:pStyle w:val="179"/>
              <w:rPr>
                <w:b/>
              </w:rPr>
            </w:pPr>
            <w:r>
              <w:rPr>
                <w:b/>
              </w:rPr>
              <w:t>判定依据</w:t>
            </w:r>
          </w:p>
        </w:tc>
      </w:tr>
      <w:tr w14:paraId="43DD853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26" w:type="dxa"/>
            <w:vMerge w:val="continue"/>
            <w:tcBorders>
              <w:top w:val="single" w:color="auto" w:sz="4" w:space="0"/>
              <w:left w:val="single" w:color="auto" w:sz="12" w:space="0"/>
              <w:bottom w:val="single" w:color="auto" w:sz="4" w:space="0"/>
            </w:tcBorders>
            <w:vAlign w:val="center"/>
          </w:tcPr>
          <w:p w14:paraId="681AB351">
            <w:pPr>
              <w:pStyle w:val="179"/>
              <w:rPr>
                <w:b/>
              </w:rPr>
            </w:pPr>
          </w:p>
        </w:tc>
        <w:tc>
          <w:tcPr>
            <w:tcW w:w="1701" w:type="dxa"/>
            <w:tcBorders>
              <w:top w:val="single" w:color="auto" w:sz="4" w:space="0"/>
              <w:bottom w:val="single" w:color="auto" w:sz="4" w:space="0"/>
            </w:tcBorders>
            <w:vAlign w:val="center"/>
          </w:tcPr>
          <w:p w14:paraId="246CB0E0">
            <w:pPr>
              <w:pStyle w:val="179"/>
              <w:rPr>
                <w:b/>
              </w:rPr>
            </w:pPr>
            <w:r>
              <w:rPr>
                <w:b/>
              </w:rPr>
              <w:t>排放方式</w:t>
            </w:r>
          </w:p>
        </w:tc>
        <w:tc>
          <w:tcPr>
            <w:tcW w:w="5386" w:type="dxa"/>
            <w:tcBorders>
              <w:top w:val="single" w:color="auto" w:sz="4" w:space="0"/>
              <w:bottom w:val="single" w:color="auto" w:sz="4" w:space="0"/>
              <w:right w:val="single" w:color="auto" w:sz="12" w:space="0"/>
            </w:tcBorders>
            <w:vAlign w:val="center"/>
          </w:tcPr>
          <w:p w14:paraId="29833D45">
            <w:pPr>
              <w:pStyle w:val="179"/>
              <w:rPr>
                <w:b/>
              </w:rPr>
            </w:pPr>
            <w:r>
              <w:rPr>
                <w:b/>
              </w:rPr>
              <w:t>废水排放量Q/（m</w:t>
            </w:r>
            <w:r>
              <w:rPr>
                <w:b/>
                <w:vertAlign w:val="superscript"/>
              </w:rPr>
              <w:t>3</w:t>
            </w:r>
            <w:r>
              <w:rPr>
                <w:b/>
              </w:rPr>
              <w:t>/d）；水污染物当量数W/（无量纲）</w:t>
            </w:r>
          </w:p>
        </w:tc>
      </w:tr>
      <w:tr w14:paraId="318D240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26" w:type="dxa"/>
            <w:tcBorders>
              <w:top w:val="single" w:color="auto" w:sz="4" w:space="0"/>
              <w:left w:val="single" w:color="auto" w:sz="12" w:space="0"/>
              <w:bottom w:val="single" w:color="auto" w:sz="4" w:space="0"/>
            </w:tcBorders>
            <w:vAlign w:val="center"/>
          </w:tcPr>
          <w:p w14:paraId="2B0F6AF7">
            <w:pPr>
              <w:pStyle w:val="179"/>
            </w:pPr>
            <w:r>
              <w:t>一级</w:t>
            </w:r>
          </w:p>
        </w:tc>
        <w:tc>
          <w:tcPr>
            <w:tcW w:w="1701" w:type="dxa"/>
            <w:tcBorders>
              <w:top w:val="single" w:color="auto" w:sz="4" w:space="0"/>
              <w:bottom w:val="single" w:color="auto" w:sz="4" w:space="0"/>
            </w:tcBorders>
            <w:vAlign w:val="center"/>
          </w:tcPr>
          <w:p w14:paraId="6045F86F">
            <w:pPr>
              <w:pStyle w:val="179"/>
            </w:pPr>
            <w:r>
              <w:t>直接排放</w:t>
            </w:r>
          </w:p>
        </w:tc>
        <w:tc>
          <w:tcPr>
            <w:tcW w:w="5386" w:type="dxa"/>
            <w:tcBorders>
              <w:top w:val="single" w:color="auto" w:sz="4" w:space="0"/>
              <w:bottom w:val="single" w:color="auto" w:sz="4" w:space="0"/>
              <w:right w:val="single" w:color="auto" w:sz="12" w:space="0"/>
            </w:tcBorders>
            <w:vAlign w:val="center"/>
          </w:tcPr>
          <w:p w14:paraId="79A0D3A0">
            <w:pPr>
              <w:pStyle w:val="179"/>
            </w:pPr>
            <w:r>
              <w:t>Q≥20000或W≥600000</w:t>
            </w:r>
          </w:p>
        </w:tc>
      </w:tr>
      <w:tr w14:paraId="424465E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26" w:type="dxa"/>
            <w:tcBorders>
              <w:top w:val="single" w:color="auto" w:sz="4" w:space="0"/>
              <w:left w:val="single" w:color="auto" w:sz="12" w:space="0"/>
              <w:bottom w:val="single" w:color="auto" w:sz="4" w:space="0"/>
            </w:tcBorders>
            <w:vAlign w:val="center"/>
          </w:tcPr>
          <w:p w14:paraId="14406493">
            <w:pPr>
              <w:pStyle w:val="179"/>
            </w:pPr>
            <w:r>
              <w:t>二级</w:t>
            </w:r>
          </w:p>
        </w:tc>
        <w:tc>
          <w:tcPr>
            <w:tcW w:w="1701" w:type="dxa"/>
            <w:tcBorders>
              <w:top w:val="single" w:color="auto" w:sz="4" w:space="0"/>
              <w:bottom w:val="single" w:color="auto" w:sz="4" w:space="0"/>
            </w:tcBorders>
            <w:vAlign w:val="center"/>
          </w:tcPr>
          <w:p w14:paraId="3B53BC76">
            <w:pPr>
              <w:pStyle w:val="179"/>
            </w:pPr>
            <w:r>
              <w:t>直接排放</w:t>
            </w:r>
          </w:p>
        </w:tc>
        <w:tc>
          <w:tcPr>
            <w:tcW w:w="5386" w:type="dxa"/>
            <w:tcBorders>
              <w:top w:val="single" w:color="auto" w:sz="4" w:space="0"/>
              <w:bottom w:val="single" w:color="auto" w:sz="4" w:space="0"/>
              <w:right w:val="single" w:color="auto" w:sz="12" w:space="0"/>
            </w:tcBorders>
            <w:vAlign w:val="center"/>
          </w:tcPr>
          <w:p w14:paraId="0DB070F4">
            <w:pPr>
              <w:pStyle w:val="179"/>
            </w:pPr>
            <w:r>
              <w:t>其他</w:t>
            </w:r>
          </w:p>
        </w:tc>
      </w:tr>
      <w:tr w14:paraId="2FBE179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26" w:type="dxa"/>
            <w:tcBorders>
              <w:top w:val="single" w:color="auto" w:sz="4" w:space="0"/>
              <w:left w:val="single" w:color="auto" w:sz="12" w:space="0"/>
              <w:bottom w:val="single" w:color="auto" w:sz="4" w:space="0"/>
            </w:tcBorders>
            <w:vAlign w:val="center"/>
          </w:tcPr>
          <w:p w14:paraId="4C743195">
            <w:pPr>
              <w:pStyle w:val="179"/>
            </w:pPr>
            <w:r>
              <w:t>三级A</w:t>
            </w:r>
          </w:p>
        </w:tc>
        <w:tc>
          <w:tcPr>
            <w:tcW w:w="1701" w:type="dxa"/>
            <w:tcBorders>
              <w:top w:val="single" w:color="auto" w:sz="4" w:space="0"/>
              <w:bottom w:val="single" w:color="auto" w:sz="4" w:space="0"/>
            </w:tcBorders>
            <w:vAlign w:val="center"/>
          </w:tcPr>
          <w:p w14:paraId="4F1ADA53">
            <w:pPr>
              <w:pStyle w:val="179"/>
            </w:pPr>
            <w:r>
              <w:t>直接排放</w:t>
            </w:r>
          </w:p>
        </w:tc>
        <w:tc>
          <w:tcPr>
            <w:tcW w:w="5386" w:type="dxa"/>
            <w:tcBorders>
              <w:top w:val="single" w:color="auto" w:sz="4" w:space="0"/>
              <w:bottom w:val="single" w:color="auto" w:sz="4" w:space="0"/>
              <w:right w:val="single" w:color="auto" w:sz="12" w:space="0"/>
            </w:tcBorders>
            <w:vAlign w:val="center"/>
          </w:tcPr>
          <w:p w14:paraId="7129C110">
            <w:pPr>
              <w:pStyle w:val="179"/>
            </w:pPr>
            <w:r>
              <w:t>Q&lt;200且W&lt;6000</w:t>
            </w:r>
          </w:p>
        </w:tc>
      </w:tr>
      <w:tr w14:paraId="16FDA26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26" w:type="dxa"/>
            <w:tcBorders>
              <w:top w:val="single" w:color="auto" w:sz="4" w:space="0"/>
              <w:left w:val="single" w:color="auto" w:sz="12" w:space="0"/>
              <w:bottom w:val="single" w:color="auto" w:sz="4" w:space="0"/>
            </w:tcBorders>
            <w:vAlign w:val="center"/>
          </w:tcPr>
          <w:p w14:paraId="47EE8101">
            <w:pPr>
              <w:pStyle w:val="179"/>
            </w:pPr>
            <w:r>
              <w:t>三级B</w:t>
            </w:r>
          </w:p>
        </w:tc>
        <w:tc>
          <w:tcPr>
            <w:tcW w:w="1701" w:type="dxa"/>
            <w:tcBorders>
              <w:top w:val="single" w:color="auto" w:sz="4" w:space="0"/>
              <w:bottom w:val="single" w:color="auto" w:sz="4" w:space="0"/>
            </w:tcBorders>
            <w:vAlign w:val="center"/>
          </w:tcPr>
          <w:p w14:paraId="3A467A12">
            <w:pPr>
              <w:pStyle w:val="179"/>
            </w:pPr>
            <w:r>
              <w:t>间接排放</w:t>
            </w:r>
          </w:p>
        </w:tc>
        <w:tc>
          <w:tcPr>
            <w:tcW w:w="5386" w:type="dxa"/>
            <w:tcBorders>
              <w:top w:val="single" w:color="auto" w:sz="4" w:space="0"/>
              <w:bottom w:val="single" w:color="auto" w:sz="4" w:space="0"/>
              <w:right w:val="single" w:color="auto" w:sz="12" w:space="0"/>
            </w:tcBorders>
            <w:vAlign w:val="center"/>
          </w:tcPr>
          <w:p w14:paraId="68230DB7">
            <w:pPr>
              <w:pStyle w:val="179"/>
            </w:pPr>
            <w:r>
              <w:t>—</w:t>
            </w:r>
          </w:p>
        </w:tc>
      </w:tr>
      <w:tr w14:paraId="28C89CC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613" w:type="dxa"/>
            <w:gridSpan w:val="3"/>
            <w:tcBorders>
              <w:top w:val="single" w:color="auto" w:sz="4" w:space="0"/>
              <w:left w:val="single" w:color="auto" w:sz="12" w:space="0"/>
              <w:bottom w:val="single" w:color="auto" w:sz="12" w:space="0"/>
              <w:right w:val="single" w:color="auto" w:sz="12" w:space="0"/>
            </w:tcBorders>
            <w:vAlign w:val="center"/>
          </w:tcPr>
          <w:p w14:paraId="76E7998B">
            <w:pPr>
              <w:pStyle w:val="179"/>
              <w:jc w:val="both"/>
            </w:pPr>
            <w:r>
              <w:t>注1：水污染物当量数等于该污染物的年排放量除以该污染物的污染当量值（见附录A）计算排放污染物的污染物当量数，应区分第一类水污染物和其他类水污染物，统计第一类污染物当量数总和，然后与其他类污染物按照污染物当量数从大到小排序，取最大当量数作为建设项目评价等级确定的依据。</w:t>
            </w:r>
          </w:p>
          <w:p w14:paraId="5D7A51E6">
            <w:pPr>
              <w:pStyle w:val="179"/>
              <w:jc w:val="both"/>
            </w:pPr>
            <w:r>
              <w:t>注2：废水排放量按行业排放标准中规定的废水种类统计，没有相关行业排放标准要求的通过工程分析合理确定，应统计含热量大的冷却水的排放量，可不统计间接冷却水、循环水以及其他含污染物极少的清净下水的排放量。</w:t>
            </w:r>
          </w:p>
          <w:p w14:paraId="1748CB8D">
            <w:pPr>
              <w:pStyle w:val="179"/>
              <w:jc w:val="both"/>
            </w:pPr>
            <w:r>
              <w:t>注3：厂区存在堆积物（露天堆放的原料、燃料、废渣等以及垃圾堆放场）、降尘污染的，应将初期雨污水纳入废水排放量，相应的主要污染物纳入水污染当量计算。</w:t>
            </w:r>
          </w:p>
          <w:p w14:paraId="766F95E9">
            <w:pPr>
              <w:pStyle w:val="179"/>
              <w:jc w:val="both"/>
            </w:pPr>
            <w:r>
              <w:t>注4：建设项目直接排放第一类污染物的，其评价等级为一级；建设项目直接排放的污染物为受纳水体超标因子的，评价等级不低于二级。</w:t>
            </w:r>
          </w:p>
          <w:p w14:paraId="47389800">
            <w:pPr>
              <w:pStyle w:val="179"/>
              <w:jc w:val="both"/>
            </w:pPr>
            <w:r>
              <w:t>注5：直接排放受纳水体影响范围涉及饮用水水源保护区、饮用水取水口、重点保护与珍稀水生生物的栖息地、重要水生生物的自然产卵场等保护目标时，评价等级不低于二级。</w:t>
            </w:r>
          </w:p>
          <w:p w14:paraId="386BAFA6">
            <w:pPr>
              <w:pStyle w:val="179"/>
              <w:jc w:val="both"/>
            </w:pPr>
            <w:r>
              <w:t>注6：建设项目向河流、湖库排放温排水引起受纳水体水温变化超过水环境质量标准要求，且评价范围有水温敏感目标时，评价等级为一级。</w:t>
            </w:r>
          </w:p>
          <w:p w14:paraId="07A40473">
            <w:pPr>
              <w:pStyle w:val="179"/>
              <w:jc w:val="both"/>
            </w:pPr>
            <w:r>
              <w:t>注7：建设项目利用海水作为调节温度介质，排水量≥500万m</w:t>
            </w:r>
            <w:r>
              <w:rPr>
                <w:vertAlign w:val="superscript"/>
              </w:rPr>
              <w:t>3</w:t>
            </w:r>
            <w:r>
              <w:t>/d，评价等级为一级；排水量＜500万m</w:t>
            </w:r>
            <w:r>
              <w:rPr>
                <w:vertAlign w:val="superscript"/>
              </w:rPr>
              <w:t>3</w:t>
            </w:r>
            <w:r>
              <w:t>/d，评价等级为二级。</w:t>
            </w:r>
          </w:p>
          <w:p w14:paraId="2D8BDB59">
            <w:pPr>
              <w:pStyle w:val="179"/>
              <w:jc w:val="both"/>
            </w:pPr>
            <w:r>
              <w:t>注8：仅涉及清净下水排放的，如其排放水质满足受纳水体水环境质量标准要求的，评价等级为三级A。</w:t>
            </w:r>
          </w:p>
          <w:p w14:paraId="766D9C86">
            <w:pPr>
              <w:pStyle w:val="179"/>
              <w:jc w:val="both"/>
            </w:pPr>
            <w:r>
              <w:t>注9：依托现有排放口，且对外环境未新增排放污染物的直接排放建设项目，评价等级参照间接排放，定为三级B。</w:t>
            </w:r>
          </w:p>
          <w:p w14:paraId="0B794F92">
            <w:pPr>
              <w:pStyle w:val="179"/>
              <w:jc w:val="both"/>
              <w:rPr>
                <w:b/>
              </w:rPr>
            </w:pPr>
            <w:r>
              <w:rPr>
                <w:b/>
              </w:rPr>
              <w:t>注10：建设项目生产工艺中有废水产生，但作为回水利用，不排放到外环境的，按三级B评价。</w:t>
            </w:r>
          </w:p>
        </w:tc>
      </w:tr>
    </w:tbl>
    <w:p w14:paraId="552D7065">
      <w:pPr>
        <w:ind w:firstLine="480"/>
      </w:pPr>
      <w:r>
        <w:t>本项目生活污水排入防渗旱厕，定期清掏，外运堆肥；矿区</w:t>
      </w:r>
      <w:r>
        <w:rPr>
          <w:rFonts w:hint="eastAsia"/>
        </w:rPr>
        <w:t>径流经</w:t>
      </w:r>
      <w:r>
        <w:t>收集后用于生产过程降尘。因此本项目地表水评价等级为三级B。</w:t>
      </w:r>
    </w:p>
    <w:p w14:paraId="19E09097">
      <w:pPr>
        <w:pStyle w:val="4"/>
        <w:spacing w:before="180" w:after="120"/>
        <w:rPr>
          <w:rFonts w:hAnsi="Times New Roman" w:cs="Times New Roman"/>
        </w:rPr>
      </w:pPr>
      <w:r>
        <w:rPr>
          <w:rFonts w:hAnsi="Times New Roman" w:cs="Times New Roman"/>
        </w:rPr>
        <w:t>地下水环境</w:t>
      </w:r>
    </w:p>
    <w:p w14:paraId="658A3915">
      <w:pPr>
        <w:ind w:firstLine="480"/>
        <w:rPr>
          <w:rFonts w:hAnsi="Times New Roman" w:cs="Times New Roman"/>
        </w:rPr>
      </w:pPr>
      <w:r>
        <w:rPr>
          <w:rFonts w:hAnsi="Times New Roman" w:cs="Times New Roman"/>
        </w:rPr>
        <w:t>根据《环境影响评价技术导则-地下水环境》（HJ610-2016）建设项目对地下水环境影响的程度，结合《建设项目环境影响评价分类管理名录》，将建设项目分为四类，分别为I类，II类，III类，IV类，详见表2</w:t>
      </w:r>
      <w:r>
        <w:rPr>
          <w:rFonts w:hint="eastAsia" w:hAnsi="Times New Roman" w:cs="Times New Roman"/>
        </w:rPr>
        <w:t>.</w:t>
      </w:r>
      <w:r>
        <w:rPr>
          <w:rFonts w:hint="eastAsia"/>
        </w:rPr>
        <w:t>5-8</w:t>
      </w:r>
      <w:r>
        <w:rPr>
          <w:rFonts w:hAnsi="Times New Roman" w:cs="Times New Roman"/>
        </w:rPr>
        <w:t>。</w:t>
      </w:r>
    </w:p>
    <w:p w14:paraId="08477B57">
      <w:pPr>
        <w:pStyle w:val="178"/>
      </w:pPr>
      <w:r>
        <w:t>表2.</w:t>
      </w:r>
      <w:r>
        <w:rPr>
          <w:rFonts w:hint="eastAsia"/>
        </w:rPr>
        <w:t>5-8</w:t>
      </w:r>
      <w:r>
        <w:t xml:space="preserve">  附录A</w:t>
      </w:r>
      <w:r>
        <w:rPr>
          <w:rFonts w:hAnsi="Times New Roman"/>
        </w:rPr>
        <w:t>地下水环境影响评价行业分类表</w:t>
      </w:r>
    </w:p>
    <w:tbl>
      <w:tblPr>
        <w:tblStyle w:val="36"/>
        <w:tblW w:w="8505"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372"/>
        <w:gridCol w:w="3119"/>
        <w:gridCol w:w="851"/>
        <w:gridCol w:w="1581"/>
        <w:gridCol w:w="1582"/>
      </w:tblGrid>
      <w:tr w14:paraId="28928B3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372" w:type="dxa"/>
            <w:vMerge w:val="restart"/>
            <w:vAlign w:val="center"/>
          </w:tcPr>
          <w:p w14:paraId="682A1C10">
            <w:pPr>
              <w:pStyle w:val="179"/>
              <w:rPr>
                <w:rFonts w:cs="Times New Roman"/>
                <w:b/>
              </w:rPr>
            </w:pPr>
            <w:r>
              <w:rPr>
                <w:rFonts w:cs="Times New Roman"/>
                <w:b/>
              </w:rPr>
              <w:t>环评类别项目类别</w:t>
            </w:r>
          </w:p>
        </w:tc>
        <w:tc>
          <w:tcPr>
            <w:tcW w:w="3119" w:type="dxa"/>
            <w:vMerge w:val="restart"/>
            <w:vAlign w:val="center"/>
          </w:tcPr>
          <w:p w14:paraId="0C048B7C">
            <w:pPr>
              <w:pStyle w:val="179"/>
              <w:rPr>
                <w:rFonts w:cs="Times New Roman"/>
                <w:b/>
              </w:rPr>
            </w:pPr>
            <w:r>
              <w:rPr>
                <w:rFonts w:cs="Times New Roman"/>
                <w:b/>
              </w:rPr>
              <w:t>报告书</w:t>
            </w:r>
          </w:p>
        </w:tc>
        <w:tc>
          <w:tcPr>
            <w:tcW w:w="851" w:type="dxa"/>
            <w:vMerge w:val="restart"/>
            <w:vAlign w:val="center"/>
          </w:tcPr>
          <w:p w14:paraId="4E711B12">
            <w:pPr>
              <w:pStyle w:val="179"/>
              <w:rPr>
                <w:rFonts w:cs="Times New Roman"/>
                <w:b/>
              </w:rPr>
            </w:pPr>
            <w:r>
              <w:rPr>
                <w:rFonts w:cs="Times New Roman"/>
                <w:b/>
              </w:rPr>
              <w:t>报告表</w:t>
            </w:r>
          </w:p>
        </w:tc>
        <w:tc>
          <w:tcPr>
            <w:tcW w:w="3163" w:type="dxa"/>
            <w:gridSpan w:val="2"/>
            <w:vAlign w:val="center"/>
          </w:tcPr>
          <w:p w14:paraId="5464C3E9">
            <w:pPr>
              <w:pStyle w:val="179"/>
              <w:rPr>
                <w:rFonts w:cs="Times New Roman"/>
                <w:b/>
              </w:rPr>
            </w:pPr>
            <w:r>
              <w:rPr>
                <w:rFonts w:cs="Times New Roman"/>
                <w:b/>
              </w:rPr>
              <w:t>地下水环境影响评价项目类别</w:t>
            </w:r>
          </w:p>
        </w:tc>
      </w:tr>
      <w:tr w14:paraId="641C590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372" w:type="dxa"/>
            <w:vMerge w:val="continue"/>
            <w:vAlign w:val="center"/>
          </w:tcPr>
          <w:p w14:paraId="1BAED40F">
            <w:pPr>
              <w:pStyle w:val="179"/>
              <w:rPr>
                <w:rFonts w:cs="Times New Roman"/>
                <w:b/>
              </w:rPr>
            </w:pPr>
          </w:p>
        </w:tc>
        <w:tc>
          <w:tcPr>
            <w:tcW w:w="3119" w:type="dxa"/>
            <w:vMerge w:val="continue"/>
            <w:vAlign w:val="center"/>
          </w:tcPr>
          <w:p w14:paraId="3BE7D86C">
            <w:pPr>
              <w:pStyle w:val="179"/>
              <w:rPr>
                <w:rFonts w:cs="Times New Roman"/>
                <w:b/>
              </w:rPr>
            </w:pPr>
          </w:p>
        </w:tc>
        <w:tc>
          <w:tcPr>
            <w:tcW w:w="851" w:type="dxa"/>
            <w:vMerge w:val="continue"/>
            <w:vAlign w:val="center"/>
          </w:tcPr>
          <w:p w14:paraId="13E54F33">
            <w:pPr>
              <w:pStyle w:val="179"/>
              <w:rPr>
                <w:rFonts w:cs="Times New Roman"/>
                <w:b/>
              </w:rPr>
            </w:pPr>
          </w:p>
        </w:tc>
        <w:tc>
          <w:tcPr>
            <w:tcW w:w="1581" w:type="dxa"/>
            <w:vAlign w:val="center"/>
          </w:tcPr>
          <w:p w14:paraId="700CE0E9">
            <w:pPr>
              <w:pStyle w:val="179"/>
              <w:rPr>
                <w:rFonts w:cs="Times New Roman"/>
                <w:b/>
              </w:rPr>
            </w:pPr>
            <w:r>
              <w:rPr>
                <w:rFonts w:cs="Times New Roman"/>
                <w:b/>
              </w:rPr>
              <w:t>报告书</w:t>
            </w:r>
          </w:p>
        </w:tc>
        <w:tc>
          <w:tcPr>
            <w:tcW w:w="1582" w:type="dxa"/>
            <w:vAlign w:val="center"/>
          </w:tcPr>
          <w:p w14:paraId="090EC2AD">
            <w:pPr>
              <w:pStyle w:val="179"/>
              <w:rPr>
                <w:rFonts w:cs="Times New Roman"/>
                <w:b/>
              </w:rPr>
            </w:pPr>
            <w:r>
              <w:rPr>
                <w:rFonts w:cs="Times New Roman"/>
                <w:b/>
              </w:rPr>
              <w:t>报告表</w:t>
            </w:r>
          </w:p>
        </w:tc>
      </w:tr>
      <w:tr w14:paraId="413AE1E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505" w:type="dxa"/>
            <w:gridSpan w:val="5"/>
            <w:vAlign w:val="center"/>
          </w:tcPr>
          <w:p w14:paraId="77FAF589">
            <w:pPr>
              <w:pStyle w:val="179"/>
              <w:jc w:val="left"/>
              <w:rPr>
                <w:rFonts w:cs="Times New Roman"/>
              </w:rPr>
            </w:pPr>
            <w:r>
              <w:rPr>
                <w:rFonts w:cs="Times New Roman"/>
              </w:rPr>
              <w:t>J 非金属矿采选及制品制造</w:t>
            </w:r>
          </w:p>
        </w:tc>
      </w:tr>
      <w:tr w14:paraId="7442E73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72" w:type="dxa"/>
            <w:vAlign w:val="center"/>
          </w:tcPr>
          <w:p w14:paraId="3FC7C902">
            <w:pPr>
              <w:pStyle w:val="179"/>
              <w:rPr>
                <w:rFonts w:cs="Times New Roman"/>
              </w:rPr>
            </w:pPr>
            <w:r>
              <w:rPr>
                <w:rFonts w:cs="Times New Roman"/>
              </w:rPr>
              <w:t>54、土砂石开采</w:t>
            </w:r>
          </w:p>
        </w:tc>
        <w:tc>
          <w:tcPr>
            <w:tcW w:w="3119" w:type="dxa"/>
            <w:vAlign w:val="center"/>
          </w:tcPr>
          <w:p w14:paraId="1C6EC492">
            <w:pPr>
              <w:pStyle w:val="179"/>
              <w:rPr>
                <w:rFonts w:cs="Times New Roman"/>
              </w:rPr>
            </w:pPr>
            <w:r>
              <w:rPr>
                <w:rFonts w:cs="Times New Roman"/>
              </w:rPr>
              <w:t>年采10万立方米及以上；海砂开采工程；涉及环境敏感区的</w:t>
            </w:r>
          </w:p>
        </w:tc>
        <w:tc>
          <w:tcPr>
            <w:tcW w:w="851" w:type="dxa"/>
            <w:vAlign w:val="center"/>
          </w:tcPr>
          <w:p w14:paraId="46F1E607">
            <w:pPr>
              <w:pStyle w:val="179"/>
              <w:rPr>
                <w:rFonts w:cs="Times New Roman"/>
              </w:rPr>
            </w:pPr>
            <w:r>
              <w:rPr>
                <w:rFonts w:cs="Times New Roman"/>
              </w:rPr>
              <w:t>其他</w:t>
            </w:r>
          </w:p>
        </w:tc>
        <w:tc>
          <w:tcPr>
            <w:tcW w:w="1581" w:type="dxa"/>
            <w:shd w:val="clear" w:color="auto" w:fill="FFFF00"/>
            <w:vAlign w:val="center"/>
          </w:tcPr>
          <w:p w14:paraId="0CA648F8">
            <w:pPr>
              <w:pStyle w:val="179"/>
              <w:rPr>
                <w:rFonts w:cs="Times New Roman"/>
              </w:rPr>
            </w:pPr>
            <w:r>
              <w:rPr>
                <w:rFonts w:cs="Times New Roman"/>
              </w:rPr>
              <w:t>Ⅳ类</w:t>
            </w:r>
          </w:p>
        </w:tc>
        <w:tc>
          <w:tcPr>
            <w:tcW w:w="1582" w:type="dxa"/>
            <w:vAlign w:val="center"/>
          </w:tcPr>
          <w:p w14:paraId="14992D13">
            <w:pPr>
              <w:pStyle w:val="179"/>
              <w:rPr>
                <w:rFonts w:cs="Times New Roman"/>
              </w:rPr>
            </w:pPr>
            <w:r>
              <w:rPr>
                <w:rFonts w:cs="Times New Roman"/>
              </w:rPr>
              <w:t>Ⅳ类</w:t>
            </w:r>
          </w:p>
        </w:tc>
      </w:tr>
    </w:tbl>
    <w:p w14:paraId="47AE04EC">
      <w:pPr>
        <w:ind w:firstLine="480"/>
        <w:rPr>
          <w:rFonts w:hAnsi="Times New Roman" w:cs="Times New Roman"/>
        </w:rPr>
      </w:pPr>
      <w:r>
        <w:rPr>
          <w:rFonts w:hAnsi="Times New Roman" w:cs="Times New Roman"/>
        </w:rPr>
        <w:t>根据地下水环境影响评价行业分类表，本项目属于Ⅳ类项目，不开展地下水质量环境影响评价。</w:t>
      </w:r>
    </w:p>
    <w:p w14:paraId="2222472C">
      <w:pPr>
        <w:pStyle w:val="4"/>
        <w:spacing w:before="180" w:after="120"/>
        <w:rPr>
          <w:rFonts w:hAnsi="Times New Roman" w:cs="Times New Roman"/>
        </w:rPr>
      </w:pPr>
      <w:r>
        <w:rPr>
          <w:rFonts w:hAnsi="Times New Roman" w:cs="Times New Roman"/>
        </w:rPr>
        <w:t>环境风险</w:t>
      </w:r>
    </w:p>
    <w:p w14:paraId="7E6FC318">
      <w:pPr>
        <w:ind w:firstLine="482"/>
        <w:rPr>
          <w:rFonts w:hAnsi="Times New Roman" w:cs="Times New Roman"/>
          <w:b/>
        </w:rPr>
      </w:pPr>
      <w:r>
        <w:rPr>
          <w:rFonts w:hAnsi="Times New Roman" w:cs="Times New Roman"/>
          <w:b/>
        </w:rPr>
        <w:t>1、风险评价等级划分依据</w:t>
      </w:r>
    </w:p>
    <w:p w14:paraId="41336ADE">
      <w:pPr>
        <w:ind w:firstLine="480"/>
        <w:rPr>
          <w:rFonts w:hAnsi="Times New Roman" w:cs="Times New Roman"/>
        </w:rPr>
      </w:pPr>
      <w:r>
        <w:rPr>
          <w:rFonts w:hAnsi="Times New Roman" w:cs="Times New Roman"/>
        </w:rPr>
        <w:t>根据《建设项目环境风险评价技术导则》（HJ169-2018），进行环境风险评 价等级的确定。环境风险评价工作等级划分为一级、二级、三级。风险评价等级划分依据见表2.</w:t>
      </w:r>
      <w:r>
        <w:rPr>
          <w:rFonts w:hint="eastAsia" w:hAnsi="Times New Roman" w:cs="Times New Roman"/>
        </w:rPr>
        <w:t>5-9</w:t>
      </w:r>
      <w:r>
        <w:rPr>
          <w:rFonts w:hAnsi="Times New Roman" w:cs="Times New Roman"/>
        </w:rPr>
        <w:t>。</w:t>
      </w:r>
    </w:p>
    <w:p w14:paraId="78C84311">
      <w:pPr>
        <w:pStyle w:val="178"/>
      </w:pPr>
      <w:r>
        <w:t>表2.</w:t>
      </w:r>
      <w:r>
        <w:rPr>
          <w:rFonts w:hint="eastAsia"/>
        </w:rPr>
        <w:t>5-9</w:t>
      </w:r>
      <w:r>
        <w:t xml:space="preserve">  评价工作等级划分</w:t>
      </w:r>
    </w:p>
    <w:p w14:paraId="558A6EEB">
      <w:pPr>
        <w:topLinePunct/>
        <w:spacing w:line="14" w:lineRule="exact"/>
        <w:ind w:firstLine="480"/>
        <w:rPr>
          <w:rFonts w:hAnsi="Times New Roman" w:cs="Times New Roman"/>
        </w:rPr>
      </w:pPr>
    </w:p>
    <w:tbl>
      <w:tblPr>
        <w:tblStyle w:val="36"/>
        <w:tblW w:w="8505"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692"/>
        <w:gridCol w:w="1558"/>
        <w:gridCol w:w="1982"/>
        <w:gridCol w:w="1846"/>
        <w:gridCol w:w="1427"/>
      </w:tblGrid>
      <w:tr w14:paraId="606A0DB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995" w:type="pct"/>
            <w:vAlign w:val="center"/>
          </w:tcPr>
          <w:p w14:paraId="5CF0D46E">
            <w:pPr>
              <w:pStyle w:val="179"/>
              <w:rPr>
                <w:rFonts w:cs="Times New Roman"/>
                <w:b/>
              </w:rPr>
            </w:pPr>
            <w:r>
              <w:rPr>
                <w:rFonts w:cs="Times New Roman"/>
                <w:b/>
              </w:rPr>
              <w:t>环境风险潜势</w:t>
            </w:r>
          </w:p>
        </w:tc>
        <w:tc>
          <w:tcPr>
            <w:tcW w:w="916" w:type="pct"/>
            <w:vAlign w:val="center"/>
          </w:tcPr>
          <w:p w14:paraId="296D7D37">
            <w:pPr>
              <w:pStyle w:val="179"/>
              <w:rPr>
                <w:rFonts w:cs="Times New Roman"/>
                <w:b/>
              </w:rPr>
            </w:pPr>
            <w:r>
              <w:rPr>
                <w:rFonts w:cs="Times New Roman"/>
                <w:b/>
              </w:rPr>
              <w:t>Ⅳ、Ⅳ</w:t>
            </w:r>
            <w:r>
              <w:rPr>
                <w:rFonts w:cs="Times New Roman"/>
                <w:b/>
                <w:vertAlign w:val="superscript"/>
              </w:rPr>
              <w:t>+</w:t>
            </w:r>
          </w:p>
        </w:tc>
        <w:tc>
          <w:tcPr>
            <w:tcW w:w="1165" w:type="pct"/>
            <w:vAlign w:val="center"/>
          </w:tcPr>
          <w:p w14:paraId="5F7B563D">
            <w:pPr>
              <w:pStyle w:val="179"/>
              <w:rPr>
                <w:rFonts w:cs="Times New Roman"/>
                <w:b/>
              </w:rPr>
            </w:pPr>
            <w:r>
              <w:rPr>
                <w:rFonts w:cs="Times New Roman"/>
                <w:b/>
              </w:rPr>
              <w:t>Ⅲ</w:t>
            </w:r>
          </w:p>
        </w:tc>
        <w:tc>
          <w:tcPr>
            <w:tcW w:w="1085" w:type="pct"/>
            <w:vAlign w:val="center"/>
          </w:tcPr>
          <w:p w14:paraId="30B15C2E">
            <w:pPr>
              <w:pStyle w:val="179"/>
              <w:rPr>
                <w:rFonts w:cs="Times New Roman"/>
                <w:b/>
              </w:rPr>
            </w:pPr>
            <w:r>
              <w:rPr>
                <w:rFonts w:cs="Times New Roman"/>
                <w:b/>
              </w:rPr>
              <w:t>Ⅱ</w:t>
            </w:r>
          </w:p>
        </w:tc>
        <w:tc>
          <w:tcPr>
            <w:tcW w:w="835" w:type="pct"/>
            <w:vAlign w:val="center"/>
          </w:tcPr>
          <w:p w14:paraId="53441F5D">
            <w:pPr>
              <w:pStyle w:val="179"/>
              <w:rPr>
                <w:rFonts w:cs="Times New Roman"/>
                <w:b/>
              </w:rPr>
            </w:pPr>
            <w:r>
              <w:rPr>
                <w:rFonts w:cs="Times New Roman"/>
                <w:b/>
              </w:rPr>
              <w:t>Ⅰ</w:t>
            </w:r>
          </w:p>
        </w:tc>
      </w:tr>
      <w:tr w14:paraId="39385F6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995" w:type="pct"/>
            <w:vAlign w:val="center"/>
          </w:tcPr>
          <w:p w14:paraId="6DE7B128">
            <w:pPr>
              <w:pStyle w:val="179"/>
              <w:rPr>
                <w:rFonts w:cs="Times New Roman"/>
              </w:rPr>
            </w:pPr>
            <w:r>
              <w:rPr>
                <w:rFonts w:cs="Times New Roman"/>
              </w:rPr>
              <w:t>评价工作等级</w:t>
            </w:r>
          </w:p>
        </w:tc>
        <w:tc>
          <w:tcPr>
            <w:tcW w:w="916" w:type="pct"/>
            <w:vAlign w:val="center"/>
          </w:tcPr>
          <w:p w14:paraId="4409C919">
            <w:pPr>
              <w:pStyle w:val="179"/>
              <w:rPr>
                <w:rFonts w:cs="Times New Roman"/>
              </w:rPr>
            </w:pPr>
            <w:r>
              <w:rPr>
                <w:rFonts w:cs="Times New Roman"/>
              </w:rPr>
              <w:t>一</w:t>
            </w:r>
          </w:p>
        </w:tc>
        <w:tc>
          <w:tcPr>
            <w:tcW w:w="1165" w:type="pct"/>
            <w:vAlign w:val="center"/>
          </w:tcPr>
          <w:p w14:paraId="383F4905">
            <w:pPr>
              <w:pStyle w:val="179"/>
              <w:rPr>
                <w:rFonts w:cs="Times New Roman"/>
              </w:rPr>
            </w:pPr>
            <w:r>
              <w:rPr>
                <w:rFonts w:cs="Times New Roman"/>
              </w:rPr>
              <w:t>二</w:t>
            </w:r>
          </w:p>
        </w:tc>
        <w:tc>
          <w:tcPr>
            <w:tcW w:w="1085" w:type="pct"/>
            <w:vAlign w:val="center"/>
          </w:tcPr>
          <w:p w14:paraId="65B24AE9">
            <w:pPr>
              <w:pStyle w:val="179"/>
              <w:rPr>
                <w:rFonts w:cs="Times New Roman"/>
              </w:rPr>
            </w:pPr>
            <w:r>
              <w:rPr>
                <w:rFonts w:cs="Times New Roman"/>
              </w:rPr>
              <w:t>三</w:t>
            </w:r>
          </w:p>
        </w:tc>
        <w:tc>
          <w:tcPr>
            <w:tcW w:w="835" w:type="pct"/>
            <w:vAlign w:val="center"/>
          </w:tcPr>
          <w:p w14:paraId="379F76AE">
            <w:pPr>
              <w:pStyle w:val="179"/>
              <w:rPr>
                <w:rFonts w:cs="Times New Roman"/>
              </w:rPr>
            </w:pPr>
            <w:r>
              <w:rPr>
                <w:rFonts w:cs="Times New Roman"/>
              </w:rPr>
              <w:t>简单分析</w:t>
            </w:r>
            <w:r>
              <w:rPr>
                <w:rFonts w:cs="Times New Roman"/>
                <w:vertAlign w:val="superscript"/>
              </w:rPr>
              <w:t>a</w:t>
            </w:r>
          </w:p>
        </w:tc>
      </w:tr>
      <w:tr w14:paraId="5CD6DBF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5000" w:type="pct"/>
            <w:gridSpan w:val="5"/>
            <w:vAlign w:val="center"/>
          </w:tcPr>
          <w:p w14:paraId="7B597C27">
            <w:pPr>
              <w:pStyle w:val="179"/>
              <w:jc w:val="both"/>
              <w:rPr>
                <w:rFonts w:cs="Times New Roman"/>
              </w:rPr>
            </w:pPr>
            <w:r>
              <w:rPr>
                <w:rFonts w:cs="Times New Roman"/>
                <w:vertAlign w:val="superscript"/>
              </w:rPr>
              <w:t>a</w:t>
            </w:r>
            <w:r>
              <w:rPr>
                <w:rFonts w:cs="Times New Roman"/>
              </w:rPr>
              <w:t>是相对于详细评价工作内容而言，在描述危险物质、环境影响途径、环境危害后果、风险防范措施等方面给出定性的说明、见《建设项目环境风险评价技术导则》（HJ 169-2018）附录A。</w:t>
            </w:r>
          </w:p>
        </w:tc>
      </w:tr>
    </w:tbl>
    <w:p w14:paraId="7935B02B">
      <w:pPr>
        <w:ind w:firstLine="482"/>
        <w:rPr>
          <w:b/>
        </w:rPr>
      </w:pPr>
      <w:r>
        <w:rPr>
          <w:rFonts w:hint="eastAsia"/>
          <w:b/>
        </w:rPr>
        <w:t>2、</w:t>
      </w:r>
      <w:r>
        <w:rPr>
          <w:b/>
        </w:rPr>
        <w:t>风险评价等级划分确定</w:t>
      </w:r>
    </w:p>
    <w:p w14:paraId="517899D5">
      <w:pPr>
        <w:ind w:firstLine="480"/>
      </w:pPr>
      <w:r>
        <w:rPr>
          <w:rFonts w:hint="eastAsia"/>
        </w:rPr>
        <w:t>本项目矿区内不存放柴油、车辆及设备外运至塔溪乡的修理厂进行维修养护，不在矿区内进行修理。本项目不涉及《建设项目环境风险评价技术导则》（HJ169-2018）附录B中的的危险物质，因此本项目环境风险潜势为Ⅰ。项目风险评价等级为简单分析。</w:t>
      </w:r>
    </w:p>
    <w:p w14:paraId="7A809C0D">
      <w:pPr>
        <w:pStyle w:val="4"/>
        <w:spacing w:before="180" w:after="120"/>
        <w:rPr>
          <w:rFonts w:hAnsi="Times New Roman" w:cs="Times New Roman"/>
        </w:rPr>
      </w:pPr>
      <w:r>
        <w:rPr>
          <w:rFonts w:hAnsi="Times New Roman" w:cs="Times New Roman"/>
        </w:rPr>
        <w:t>生态环境</w:t>
      </w:r>
    </w:p>
    <w:p w14:paraId="7D9B391E">
      <w:pPr>
        <w:ind w:firstLine="480"/>
        <w:rPr>
          <w:rFonts w:hAnsi="Times New Roman" w:cs="Times New Roman"/>
        </w:rPr>
      </w:pPr>
      <w:r>
        <w:rPr>
          <w:rFonts w:hAnsi="Times New Roman" w:cs="Times New Roman"/>
        </w:rPr>
        <w:t>根据《环境影响评价技术导则 生态影响》（HJ19-2022），依据建设项目影响区域的生态敏感性和影响程度，评价等级划分为一级、二级和三级。</w:t>
      </w:r>
    </w:p>
    <w:p w14:paraId="78C2AAF0">
      <w:pPr>
        <w:ind w:firstLine="482"/>
        <w:rPr>
          <w:rFonts w:hAnsi="Times New Roman" w:cs="Times New Roman"/>
          <w:b/>
        </w:rPr>
      </w:pPr>
      <w:r>
        <w:rPr>
          <w:rFonts w:hint="eastAsia" w:hAnsi="Times New Roman" w:cs="Times New Roman"/>
          <w:b/>
        </w:rPr>
        <w:t>1、</w:t>
      </w:r>
      <w:r>
        <w:rPr>
          <w:rFonts w:hAnsi="Times New Roman" w:cs="Times New Roman"/>
          <w:b/>
        </w:rPr>
        <w:t>按以下原则确定评价等级：</w:t>
      </w:r>
    </w:p>
    <w:p w14:paraId="3FBF1C3B">
      <w:pPr>
        <w:ind w:firstLine="480"/>
        <w:rPr>
          <w:rFonts w:hAnsi="Times New Roman" w:cs="Times New Roman"/>
        </w:rPr>
      </w:pPr>
      <w:r>
        <w:rPr>
          <w:rFonts w:hAnsi="Times New Roman" w:cs="Times New Roman"/>
        </w:rPr>
        <w:t>a）涉及国家公园、自然保护区、世界自然遗产、重要生境时，评价等级为一级；</w:t>
      </w:r>
    </w:p>
    <w:p w14:paraId="06D24510">
      <w:pPr>
        <w:ind w:firstLine="480"/>
        <w:rPr>
          <w:rFonts w:hAnsi="Times New Roman" w:cs="Times New Roman"/>
        </w:rPr>
      </w:pPr>
      <w:r>
        <w:rPr>
          <w:rFonts w:hAnsi="Times New Roman" w:cs="Times New Roman"/>
        </w:rPr>
        <w:t>b）涉及自然公园时，评价等级为二级；</w:t>
      </w:r>
    </w:p>
    <w:p w14:paraId="1CC4D3E2">
      <w:pPr>
        <w:ind w:firstLine="480"/>
        <w:rPr>
          <w:rFonts w:hAnsi="Times New Roman" w:cs="Times New Roman"/>
        </w:rPr>
      </w:pPr>
      <w:r>
        <w:rPr>
          <w:rFonts w:hAnsi="Times New Roman" w:cs="Times New Roman"/>
        </w:rPr>
        <w:t>c）涉及生态保护红线时，评价等级不低于二级；</w:t>
      </w:r>
    </w:p>
    <w:p w14:paraId="1AEC3618">
      <w:pPr>
        <w:ind w:firstLine="480"/>
        <w:rPr>
          <w:rFonts w:hAnsi="Times New Roman" w:cs="Times New Roman"/>
        </w:rPr>
      </w:pPr>
      <w:r>
        <w:rPr>
          <w:rFonts w:hAnsi="Times New Roman" w:cs="Times New Roman"/>
        </w:rPr>
        <w:t>d）根据HJ2.3判断属于水文要素影响型且地表水评价等级不低于二级的建设项目，生态影响评价等级不低于二级；</w:t>
      </w:r>
    </w:p>
    <w:p w14:paraId="63F00CC2">
      <w:pPr>
        <w:ind w:firstLine="480"/>
        <w:rPr>
          <w:rFonts w:hAnsi="Times New Roman" w:cs="Times New Roman"/>
        </w:rPr>
      </w:pPr>
      <w:r>
        <w:rPr>
          <w:rFonts w:hAnsi="Times New Roman" w:cs="Times New Roman"/>
        </w:rPr>
        <w:t>e）根据HJ610、HJ964判断地下水水位或土壤影响范围内分布有天然林、公益林、湿地等生态保护目标的建设项目，生态影响评价等级不低于二级；</w:t>
      </w:r>
    </w:p>
    <w:p w14:paraId="640F284C">
      <w:pPr>
        <w:ind w:firstLine="480"/>
        <w:rPr>
          <w:rFonts w:hAnsi="Times New Roman" w:cs="Times New Roman"/>
        </w:rPr>
      </w:pPr>
      <w:r>
        <w:rPr>
          <w:rFonts w:hAnsi="Times New Roman" w:cs="Times New Roman"/>
        </w:rPr>
        <w:t>f）当工程占地规模大于20km</w:t>
      </w:r>
      <w:r>
        <w:rPr>
          <w:rFonts w:hAnsi="Times New Roman" w:cs="Times New Roman"/>
          <w:vertAlign w:val="superscript"/>
        </w:rPr>
        <w:t>2</w:t>
      </w:r>
      <w:r>
        <w:rPr>
          <w:rFonts w:hAnsi="Times New Roman" w:cs="Times New Roman"/>
        </w:rPr>
        <w:t>时（包括永久和临时占用陆域和水域），评价等级不低于二级；改扩建项目的占地范围以新增占地（包括陆域和水域）确定；</w:t>
      </w:r>
    </w:p>
    <w:p w14:paraId="04861183">
      <w:pPr>
        <w:ind w:firstLine="480"/>
        <w:rPr>
          <w:rFonts w:hAnsi="Times New Roman" w:cs="Times New Roman"/>
        </w:rPr>
      </w:pPr>
      <w:r>
        <w:rPr>
          <w:rFonts w:hAnsi="Times New Roman" w:cs="Times New Roman"/>
        </w:rPr>
        <w:t>g）除本条a）、b）、c）、d）、e）、f）以外的情况，评价等级为三级；</w:t>
      </w:r>
    </w:p>
    <w:p w14:paraId="3D711340">
      <w:pPr>
        <w:ind w:firstLine="480"/>
        <w:rPr>
          <w:rFonts w:hAnsi="Times New Roman" w:cs="Times New Roman"/>
        </w:rPr>
      </w:pPr>
      <w:r>
        <w:rPr>
          <w:rFonts w:hint="eastAsia" w:hAnsi="Times New Roman" w:cs="Times New Roman"/>
        </w:rPr>
        <w:t>2、</w:t>
      </w:r>
      <w:r>
        <w:rPr>
          <w:rFonts w:hAnsi="Times New Roman" w:cs="Times New Roman"/>
        </w:rPr>
        <w:t>建设项目涉及经论证对保护生物多样性具有重要意义的区域时，可适当上调评价等级。</w:t>
      </w:r>
    </w:p>
    <w:p w14:paraId="175465A5">
      <w:pPr>
        <w:ind w:firstLine="480"/>
        <w:rPr>
          <w:rFonts w:hAnsi="Times New Roman" w:cs="Times New Roman"/>
        </w:rPr>
      </w:pPr>
      <w:r>
        <w:rPr>
          <w:rFonts w:hint="eastAsia" w:hAnsi="Times New Roman" w:cs="Times New Roman"/>
        </w:rPr>
        <w:t>3、</w:t>
      </w:r>
      <w:r>
        <w:rPr>
          <w:rFonts w:hAnsi="Times New Roman" w:cs="Times New Roman"/>
        </w:rPr>
        <w:t>建设项目同时涉及陆生、水生生态影响时，可针对陆生生态、水生生态分别判定评价等级。</w:t>
      </w:r>
    </w:p>
    <w:p w14:paraId="0D63AF13">
      <w:pPr>
        <w:ind w:firstLine="480"/>
        <w:rPr>
          <w:rFonts w:hAnsi="Times New Roman" w:cs="Times New Roman"/>
        </w:rPr>
      </w:pPr>
      <w:r>
        <w:rPr>
          <w:rFonts w:hint="eastAsia" w:hAnsi="Times New Roman" w:cs="Times New Roman"/>
        </w:rPr>
        <w:t>4、</w:t>
      </w:r>
      <w:r>
        <w:rPr>
          <w:rFonts w:hAnsi="Times New Roman" w:cs="Times New Roman"/>
        </w:rPr>
        <w:t>在矿山开采可能导致矿区土地利用类型明显改变，或拦河闸坝建设可能明显改变水文情势等情况下，评价等级应上调一级。</w:t>
      </w:r>
    </w:p>
    <w:p w14:paraId="4AEBD47F">
      <w:pPr>
        <w:ind w:firstLine="480"/>
        <w:rPr>
          <w:rFonts w:hAnsi="Times New Roman" w:cs="Times New Roman"/>
        </w:rPr>
      </w:pPr>
      <w:r>
        <w:rPr>
          <w:rFonts w:hint="eastAsia" w:hAnsi="Times New Roman" w:cs="Times New Roman"/>
        </w:rPr>
        <w:t>5、</w:t>
      </w:r>
      <w:r>
        <w:rPr>
          <w:rFonts w:hAnsi="Times New Roman" w:cs="Times New Roman"/>
        </w:rPr>
        <w:t>线性工程可分段确定评价等级。线性工程地下穿越或地表跨越生态敏感区，在生态敏感区范围内无永久、临时占地时，评价等级可下调一级。</w:t>
      </w:r>
    </w:p>
    <w:p w14:paraId="4BCD90CD">
      <w:pPr>
        <w:ind w:firstLine="480"/>
        <w:rPr>
          <w:rFonts w:hAnsi="Times New Roman" w:cs="Times New Roman"/>
        </w:rPr>
      </w:pPr>
      <w:r>
        <w:rPr>
          <w:rFonts w:hint="eastAsia" w:hAnsi="Times New Roman" w:cs="Times New Roman"/>
        </w:rPr>
        <w:t>6、</w:t>
      </w:r>
      <w:r>
        <w:rPr>
          <w:rFonts w:hAnsi="Times New Roman" w:cs="Times New Roman"/>
        </w:rPr>
        <w:t>涉海工程评价等级判定参照GB/T 19485。</w:t>
      </w:r>
    </w:p>
    <w:p w14:paraId="07F9DF8D">
      <w:pPr>
        <w:ind w:firstLine="480"/>
        <w:rPr>
          <w:rFonts w:hAnsi="Times New Roman" w:cs="Times New Roman"/>
        </w:rPr>
      </w:pPr>
      <w:r>
        <w:rPr>
          <w:rFonts w:hint="eastAsia" w:hAnsi="Times New Roman" w:cs="Times New Roman"/>
        </w:rPr>
        <w:t>7</w:t>
      </w:r>
      <w:r>
        <w:rPr>
          <w:rFonts w:hAnsi="Times New Roman" w:cs="Times New Roman"/>
        </w:rPr>
        <w:t>、符合生态环境分区管控要求且位于原厂界（或永久用地）范围内的污染影响类改扩建项目，位于已批准规划环评的产业园区内且符合规划环评要求、不涉及生态敏感区的污染影响类建设项目，可不确定评价等级，直接进行生态影响简单分析。</w:t>
      </w:r>
    </w:p>
    <w:p w14:paraId="401E1AF2">
      <w:pPr>
        <w:ind w:firstLine="480"/>
        <w:rPr>
          <w:rFonts w:hAnsi="Times New Roman" w:cs="Times New Roman"/>
        </w:rPr>
      </w:pPr>
      <w:r>
        <w:rPr>
          <w:rFonts w:hAnsi="Times New Roman" w:cs="Times New Roman"/>
        </w:rPr>
        <w:t>本项目</w:t>
      </w:r>
      <w:r>
        <w:rPr>
          <w:rFonts w:hAnsi="Times New Roman"/>
        </w:rPr>
        <w:t>生态环境评价等级判定</w:t>
      </w:r>
      <w:r>
        <w:rPr>
          <w:rFonts w:hAnsi="Times New Roman" w:cs="Times New Roman"/>
        </w:rPr>
        <w:t>具体见表2.</w:t>
      </w:r>
      <w:r>
        <w:rPr>
          <w:rFonts w:hint="eastAsia" w:hAnsi="Times New Roman" w:cs="Times New Roman"/>
        </w:rPr>
        <w:t>5</w:t>
      </w:r>
      <w:r>
        <w:rPr>
          <w:rFonts w:hAnsi="Times New Roman" w:cs="Times New Roman"/>
        </w:rPr>
        <w:t>-1</w:t>
      </w:r>
      <w:r>
        <w:rPr>
          <w:rFonts w:hint="eastAsia" w:hAnsi="Times New Roman" w:cs="Times New Roman"/>
        </w:rPr>
        <w:t>0</w:t>
      </w:r>
      <w:r>
        <w:rPr>
          <w:rFonts w:hAnsi="Times New Roman" w:cs="Times New Roman"/>
        </w:rPr>
        <w:t>。</w:t>
      </w:r>
    </w:p>
    <w:p w14:paraId="3A732125">
      <w:pPr>
        <w:pStyle w:val="178"/>
      </w:pPr>
      <w:r>
        <w:t>表2.</w:t>
      </w:r>
      <w:r>
        <w:rPr>
          <w:rFonts w:hint="eastAsia"/>
        </w:rPr>
        <w:t>5</w:t>
      </w:r>
      <w:r>
        <w:t>-1</w:t>
      </w:r>
      <w:r>
        <w:rPr>
          <w:rFonts w:hint="eastAsia"/>
        </w:rPr>
        <w:t>0</w:t>
      </w:r>
      <w:r>
        <w:t xml:space="preserve">  生态环境评价等级判定</w:t>
      </w:r>
    </w:p>
    <w:tbl>
      <w:tblPr>
        <w:tblStyle w:val="36"/>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
      <w:tblGrid>
        <w:gridCol w:w="623"/>
        <w:gridCol w:w="5087"/>
        <w:gridCol w:w="1542"/>
        <w:gridCol w:w="1175"/>
      </w:tblGrid>
      <w:tr w14:paraId="44BCFB2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tblHeader/>
          <w:jc w:val="center"/>
        </w:trPr>
        <w:tc>
          <w:tcPr>
            <w:tcW w:w="370" w:type="pct"/>
            <w:vMerge w:val="restart"/>
            <w:noWrap/>
            <w:vAlign w:val="center"/>
          </w:tcPr>
          <w:p w14:paraId="133FB8FB">
            <w:pPr>
              <w:pStyle w:val="179"/>
              <w:rPr>
                <w:b/>
              </w:rPr>
            </w:pPr>
            <w:r>
              <w:rPr>
                <w:b/>
              </w:rPr>
              <w:t>生态类型</w:t>
            </w:r>
          </w:p>
        </w:tc>
        <w:tc>
          <w:tcPr>
            <w:tcW w:w="3018" w:type="pct"/>
            <w:vMerge w:val="restart"/>
            <w:noWrap/>
            <w:vAlign w:val="center"/>
          </w:tcPr>
          <w:p w14:paraId="7DE78DDE">
            <w:pPr>
              <w:pStyle w:val="179"/>
              <w:rPr>
                <w:b/>
              </w:rPr>
            </w:pPr>
            <w:r>
              <w:rPr>
                <w:b/>
              </w:rPr>
              <w:t>生态环境评价等级确定原则</w:t>
            </w:r>
          </w:p>
        </w:tc>
        <w:tc>
          <w:tcPr>
            <w:tcW w:w="1612" w:type="pct"/>
            <w:gridSpan w:val="2"/>
            <w:noWrap/>
            <w:vAlign w:val="center"/>
          </w:tcPr>
          <w:p w14:paraId="24A520AA">
            <w:pPr>
              <w:pStyle w:val="179"/>
              <w:rPr>
                <w:b/>
              </w:rPr>
            </w:pPr>
            <w:r>
              <w:rPr>
                <w:b/>
              </w:rPr>
              <w:t>本项目判定情况</w:t>
            </w:r>
          </w:p>
        </w:tc>
      </w:tr>
      <w:tr w14:paraId="576CC08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tblHeader/>
          <w:jc w:val="center"/>
        </w:trPr>
        <w:tc>
          <w:tcPr>
            <w:tcW w:w="370" w:type="pct"/>
            <w:vMerge w:val="continue"/>
            <w:noWrap/>
            <w:vAlign w:val="center"/>
          </w:tcPr>
          <w:p w14:paraId="0D0101BC">
            <w:pPr>
              <w:pStyle w:val="179"/>
              <w:rPr>
                <w:b/>
              </w:rPr>
            </w:pPr>
          </w:p>
        </w:tc>
        <w:tc>
          <w:tcPr>
            <w:tcW w:w="3018" w:type="pct"/>
            <w:vMerge w:val="continue"/>
            <w:noWrap/>
            <w:vAlign w:val="center"/>
          </w:tcPr>
          <w:p w14:paraId="662282DF">
            <w:pPr>
              <w:pStyle w:val="179"/>
              <w:rPr>
                <w:b/>
              </w:rPr>
            </w:pPr>
          </w:p>
        </w:tc>
        <w:tc>
          <w:tcPr>
            <w:tcW w:w="915" w:type="pct"/>
            <w:noWrap/>
            <w:vAlign w:val="center"/>
          </w:tcPr>
          <w:p w14:paraId="70A9E99A">
            <w:pPr>
              <w:pStyle w:val="179"/>
              <w:rPr>
                <w:b/>
              </w:rPr>
            </w:pPr>
            <w:r>
              <w:rPr>
                <w:rFonts w:hint="eastAsia"/>
                <w:b/>
              </w:rPr>
              <w:t>涉及/不涉及</w:t>
            </w:r>
          </w:p>
        </w:tc>
        <w:tc>
          <w:tcPr>
            <w:tcW w:w="697" w:type="pct"/>
            <w:noWrap/>
            <w:vAlign w:val="center"/>
          </w:tcPr>
          <w:p w14:paraId="06114459">
            <w:pPr>
              <w:pStyle w:val="179"/>
              <w:rPr>
                <w:b/>
              </w:rPr>
            </w:pPr>
            <w:r>
              <w:rPr>
                <w:b/>
              </w:rPr>
              <w:t>等级判定</w:t>
            </w:r>
          </w:p>
        </w:tc>
      </w:tr>
      <w:tr w14:paraId="6E1F4F5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370" w:type="pct"/>
            <w:vMerge w:val="restart"/>
            <w:noWrap/>
            <w:vAlign w:val="center"/>
          </w:tcPr>
          <w:p w14:paraId="01815E5A">
            <w:pPr>
              <w:pStyle w:val="179"/>
            </w:pPr>
            <w:r>
              <w:t>陆生生态</w:t>
            </w:r>
          </w:p>
        </w:tc>
        <w:tc>
          <w:tcPr>
            <w:tcW w:w="3018" w:type="pct"/>
            <w:noWrap/>
            <w:vAlign w:val="center"/>
          </w:tcPr>
          <w:p w14:paraId="02CF9E34">
            <w:pPr>
              <w:pStyle w:val="179"/>
            </w:pPr>
            <w:r>
              <w:t>涉及国家公园、自然保护区、世界自然遗产、重要生境时</w:t>
            </w:r>
          </w:p>
        </w:tc>
        <w:tc>
          <w:tcPr>
            <w:tcW w:w="915" w:type="pct"/>
            <w:noWrap/>
            <w:vAlign w:val="center"/>
          </w:tcPr>
          <w:p w14:paraId="5154950A">
            <w:pPr>
              <w:pStyle w:val="179"/>
            </w:pPr>
            <w:r>
              <w:rPr>
                <w:rFonts w:hint="eastAsia"/>
              </w:rPr>
              <w:t>不</w:t>
            </w:r>
            <w:r>
              <w:t>涉及</w:t>
            </w:r>
          </w:p>
        </w:tc>
        <w:tc>
          <w:tcPr>
            <w:tcW w:w="697" w:type="pct"/>
            <w:noWrap/>
            <w:vAlign w:val="center"/>
          </w:tcPr>
          <w:p w14:paraId="32AC5382">
            <w:pPr>
              <w:pStyle w:val="179"/>
            </w:pPr>
            <w:r>
              <w:rPr>
                <w:rFonts w:hint="eastAsia"/>
              </w:rPr>
              <w:t>/</w:t>
            </w:r>
          </w:p>
        </w:tc>
      </w:tr>
      <w:tr w14:paraId="6B006EB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370" w:type="pct"/>
            <w:vMerge w:val="continue"/>
            <w:noWrap/>
            <w:vAlign w:val="center"/>
          </w:tcPr>
          <w:p w14:paraId="7EA2AD18">
            <w:pPr>
              <w:pStyle w:val="179"/>
            </w:pPr>
          </w:p>
        </w:tc>
        <w:tc>
          <w:tcPr>
            <w:tcW w:w="3018" w:type="pct"/>
            <w:noWrap/>
            <w:vAlign w:val="center"/>
          </w:tcPr>
          <w:p w14:paraId="055A9CDD">
            <w:pPr>
              <w:pStyle w:val="179"/>
            </w:pPr>
            <w:r>
              <w:t>涉及自然公园时</w:t>
            </w:r>
          </w:p>
        </w:tc>
        <w:tc>
          <w:tcPr>
            <w:tcW w:w="915" w:type="pct"/>
            <w:noWrap/>
            <w:vAlign w:val="center"/>
          </w:tcPr>
          <w:p w14:paraId="6DD5FA75">
            <w:pPr>
              <w:pStyle w:val="179"/>
            </w:pPr>
            <w:r>
              <w:rPr>
                <w:rFonts w:hint="eastAsia"/>
              </w:rPr>
              <w:t>不</w:t>
            </w:r>
            <w:r>
              <w:t>涉及</w:t>
            </w:r>
          </w:p>
        </w:tc>
        <w:tc>
          <w:tcPr>
            <w:tcW w:w="697" w:type="pct"/>
            <w:noWrap/>
            <w:vAlign w:val="center"/>
          </w:tcPr>
          <w:p w14:paraId="4BA30B1D">
            <w:pPr>
              <w:pStyle w:val="179"/>
            </w:pPr>
            <w:r>
              <w:rPr>
                <w:rFonts w:hint="eastAsia"/>
              </w:rPr>
              <w:t>/</w:t>
            </w:r>
          </w:p>
        </w:tc>
      </w:tr>
      <w:tr w14:paraId="2B481C3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370" w:type="pct"/>
            <w:vMerge w:val="continue"/>
            <w:noWrap/>
            <w:vAlign w:val="center"/>
          </w:tcPr>
          <w:p w14:paraId="409DAF60">
            <w:pPr>
              <w:pStyle w:val="179"/>
            </w:pPr>
          </w:p>
        </w:tc>
        <w:tc>
          <w:tcPr>
            <w:tcW w:w="3018" w:type="pct"/>
            <w:noWrap/>
            <w:vAlign w:val="center"/>
          </w:tcPr>
          <w:p w14:paraId="2E6CFE46">
            <w:pPr>
              <w:pStyle w:val="179"/>
            </w:pPr>
            <w:r>
              <w:t>涉及生态保护红线时</w:t>
            </w:r>
          </w:p>
        </w:tc>
        <w:tc>
          <w:tcPr>
            <w:tcW w:w="915" w:type="pct"/>
            <w:noWrap/>
            <w:vAlign w:val="center"/>
          </w:tcPr>
          <w:p w14:paraId="7DB469B3">
            <w:pPr>
              <w:pStyle w:val="179"/>
            </w:pPr>
            <w:r>
              <w:t>涉及</w:t>
            </w:r>
          </w:p>
        </w:tc>
        <w:tc>
          <w:tcPr>
            <w:tcW w:w="697" w:type="pct"/>
            <w:noWrap/>
            <w:vAlign w:val="center"/>
          </w:tcPr>
          <w:p w14:paraId="66E2AA12">
            <w:pPr>
              <w:pStyle w:val="179"/>
            </w:pPr>
            <w:r>
              <w:t>不低于二级</w:t>
            </w:r>
          </w:p>
        </w:tc>
      </w:tr>
      <w:tr w14:paraId="7B632D1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370" w:type="pct"/>
            <w:vMerge w:val="continue"/>
            <w:noWrap/>
            <w:vAlign w:val="center"/>
          </w:tcPr>
          <w:p w14:paraId="2075C855">
            <w:pPr>
              <w:pStyle w:val="179"/>
            </w:pPr>
          </w:p>
        </w:tc>
        <w:tc>
          <w:tcPr>
            <w:tcW w:w="3018" w:type="pct"/>
            <w:noWrap/>
            <w:vAlign w:val="center"/>
          </w:tcPr>
          <w:p w14:paraId="3195FF5C">
            <w:pPr>
              <w:pStyle w:val="179"/>
            </w:pPr>
            <w:r>
              <w:t>根据HJ2.3判断属于水文要素影响型且地表水评价等级不低于二级的建设项目</w:t>
            </w:r>
          </w:p>
        </w:tc>
        <w:tc>
          <w:tcPr>
            <w:tcW w:w="915" w:type="pct"/>
            <w:noWrap/>
            <w:vAlign w:val="center"/>
          </w:tcPr>
          <w:p w14:paraId="034C8150">
            <w:pPr>
              <w:pStyle w:val="179"/>
            </w:pPr>
            <w:r>
              <w:t>不涉及</w:t>
            </w:r>
          </w:p>
        </w:tc>
        <w:tc>
          <w:tcPr>
            <w:tcW w:w="697" w:type="pct"/>
            <w:noWrap/>
            <w:vAlign w:val="center"/>
          </w:tcPr>
          <w:p w14:paraId="1E366C75">
            <w:pPr>
              <w:pStyle w:val="179"/>
            </w:pPr>
            <w:r>
              <w:t>/</w:t>
            </w:r>
          </w:p>
        </w:tc>
      </w:tr>
      <w:tr w14:paraId="2315D49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370" w:type="pct"/>
            <w:vMerge w:val="continue"/>
            <w:noWrap/>
            <w:vAlign w:val="center"/>
          </w:tcPr>
          <w:p w14:paraId="07B29EB2">
            <w:pPr>
              <w:pStyle w:val="179"/>
            </w:pPr>
          </w:p>
        </w:tc>
        <w:tc>
          <w:tcPr>
            <w:tcW w:w="3018" w:type="pct"/>
            <w:noWrap/>
            <w:vAlign w:val="center"/>
          </w:tcPr>
          <w:p w14:paraId="13E3B348">
            <w:pPr>
              <w:pStyle w:val="179"/>
            </w:pPr>
            <w:r>
              <w:t>根据HJ610、HJ964判断地下水水位或土壤影响范围内分布有天然林、公益林、湿地等生态保护目标的建设项目</w:t>
            </w:r>
          </w:p>
        </w:tc>
        <w:tc>
          <w:tcPr>
            <w:tcW w:w="915" w:type="pct"/>
            <w:noWrap/>
            <w:vAlign w:val="center"/>
          </w:tcPr>
          <w:p w14:paraId="2AE81453">
            <w:pPr>
              <w:pStyle w:val="179"/>
            </w:pPr>
            <w:r>
              <w:t>无地下水水位或土壤影响范围</w:t>
            </w:r>
          </w:p>
        </w:tc>
        <w:tc>
          <w:tcPr>
            <w:tcW w:w="697" w:type="pct"/>
            <w:noWrap/>
            <w:vAlign w:val="center"/>
          </w:tcPr>
          <w:p w14:paraId="6D3E8AFD">
            <w:pPr>
              <w:pStyle w:val="179"/>
            </w:pPr>
            <w:r>
              <w:t>/</w:t>
            </w:r>
          </w:p>
        </w:tc>
      </w:tr>
      <w:tr w14:paraId="4C95A4F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370" w:type="pct"/>
            <w:vMerge w:val="continue"/>
            <w:noWrap/>
            <w:vAlign w:val="center"/>
          </w:tcPr>
          <w:p w14:paraId="44AFB3C1">
            <w:pPr>
              <w:pStyle w:val="179"/>
            </w:pPr>
          </w:p>
        </w:tc>
        <w:tc>
          <w:tcPr>
            <w:tcW w:w="3018" w:type="pct"/>
            <w:noWrap/>
            <w:vAlign w:val="center"/>
          </w:tcPr>
          <w:p w14:paraId="2AB972E1">
            <w:pPr>
              <w:pStyle w:val="179"/>
            </w:pPr>
            <w:r>
              <w:t>当工程占地规模大于20km</w:t>
            </w:r>
            <w:r>
              <w:rPr>
                <w:vertAlign w:val="superscript"/>
              </w:rPr>
              <w:t>2</w:t>
            </w:r>
            <w:r>
              <w:t>时（包括永久和临时占用陆域和水域）；改扩建项目的占地范围以新增占地（包括陆域和水域）确定</w:t>
            </w:r>
          </w:p>
        </w:tc>
        <w:tc>
          <w:tcPr>
            <w:tcW w:w="915" w:type="pct"/>
            <w:noWrap/>
            <w:vAlign w:val="center"/>
          </w:tcPr>
          <w:p w14:paraId="657FEF33">
            <w:pPr>
              <w:pStyle w:val="179"/>
            </w:pPr>
            <w:r>
              <w:t>陆域新增永久占地，临时占地小于20km</w:t>
            </w:r>
            <w:r>
              <w:rPr>
                <w:vertAlign w:val="superscript"/>
              </w:rPr>
              <w:t>2</w:t>
            </w:r>
          </w:p>
        </w:tc>
        <w:tc>
          <w:tcPr>
            <w:tcW w:w="697" w:type="pct"/>
            <w:noWrap/>
            <w:vAlign w:val="center"/>
          </w:tcPr>
          <w:p w14:paraId="6DA9D375">
            <w:pPr>
              <w:pStyle w:val="179"/>
            </w:pPr>
            <w:r>
              <w:t>/</w:t>
            </w:r>
          </w:p>
        </w:tc>
      </w:tr>
      <w:tr w14:paraId="2C5F1C3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370" w:type="pct"/>
            <w:vMerge w:val="continue"/>
            <w:noWrap/>
            <w:vAlign w:val="center"/>
          </w:tcPr>
          <w:p w14:paraId="0C9120AF">
            <w:pPr>
              <w:pStyle w:val="179"/>
            </w:pPr>
          </w:p>
        </w:tc>
        <w:tc>
          <w:tcPr>
            <w:tcW w:w="3018" w:type="pct"/>
            <w:noWrap/>
            <w:vAlign w:val="center"/>
          </w:tcPr>
          <w:p w14:paraId="041EE761">
            <w:pPr>
              <w:pStyle w:val="179"/>
            </w:pPr>
            <w:r>
              <w:t>上述情况以外</w:t>
            </w:r>
          </w:p>
        </w:tc>
        <w:tc>
          <w:tcPr>
            <w:tcW w:w="915" w:type="pct"/>
            <w:noWrap/>
            <w:vAlign w:val="center"/>
          </w:tcPr>
          <w:p w14:paraId="2D9E3D07">
            <w:pPr>
              <w:pStyle w:val="179"/>
            </w:pPr>
            <w:r>
              <w:t>/</w:t>
            </w:r>
          </w:p>
        </w:tc>
        <w:tc>
          <w:tcPr>
            <w:tcW w:w="697" w:type="pct"/>
            <w:noWrap/>
            <w:vAlign w:val="center"/>
          </w:tcPr>
          <w:p w14:paraId="7F1F765F">
            <w:pPr>
              <w:pStyle w:val="179"/>
            </w:pPr>
            <w:r>
              <w:t>/</w:t>
            </w:r>
          </w:p>
        </w:tc>
      </w:tr>
      <w:tr w14:paraId="0599980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370" w:type="pct"/>
            <w:vMerge w:val="continue"/>
            <w:noWrap/>
            <w:vAlign w:val="center"/>
          </w:tcPr>
          <w:p w14:paraId="6982D213">
            <w:pPr>
              <w:pStyle w:val="179"/>
            </w:pPr>
          </w:p>
        </w:tc>
        <w:tc>
          <w:tcPr>
            <w:tcW w:w="3018" w:type="pct"/>
            <w:noWrap/>
            <w:vAlign w:val="center"/>
          </w:tcPr>
          <w:p w14:paraId="1FC5A597">
            <w:pPr>
              <w:pStyle w:val="179"/>
            </w:pPr>
            <w:r>
              <w:t>评价等级</w:t>
            </w:r>
          </w:p>
        </w:tc>
        <w:tc>
          <w:tcPr>
            <w:tcW w:w="1612" w:type="pct"/>
            <w:gridSpan w:val="2"/>
            <w:noWrap/>
            <w:vAlign w:val="center"/>
          </w:tcPr>
          <w:p w14:paraId="30E25CD0">
            <w:pPr>
              <w:pStyle w:val="179"/>
            </w:pPr>
            <w:r>
              <w:rPr>
                <w:rFonts w:hint="eastAsia"/>
              </w:rPr>
              <w:t>二</w:t>
            </w:r>
            <w:r>
              <w:t>级</w:t>
            </w:r>
          </w:p>
        </w:tc>
      </w:tr>
    </w:tbl>
    <w:p w14:paraId="6750CC11">
      <w:pPr>
        <w:ind w:firstLine="480"/>
        <w:rPr>
          <w:rFonts w:hAnsi="Times New Roman" w:cs="Times New Roman"/>
        </w:rPr>
      </w:pPr>
      <w:r>
        <w:rPr>
          <w:rFonts w:hint="eastAsia" w:hAnsi="Times New Roman" w:cs="Times New Roman"/>
        </w:rPr>
        <w:t>本项目生态环境评价范围内涉及嫩江市松嫩平原生物多样性维护功能生态保护红线-水源涵养生态功能重要区，根据生态环境评价等级确定原则，本项目生态环境评价等级可确定为二级，根据《环境影响评价技术导则·生态影响》（</w:t>
      </w:r>
      <w:r>
        <w:rPr>
          <w:rFonts w:hAnsi="Times New Roman" w:cs="Times New Roman"/>
        </w:rPr>
        <w:t>HJ19-2022</w:t>
      </w:r>
      <w:r>
        <w:rPr>
          <w:rFonts w:hint="eastAsia" w:hAnsi="Times New Roman" w:cs="Times New Roman"/>
        </w:rPr>
        <w:t>）“</w:t>
      </w:r>
      <w:r>
        <w:rPr>
          <w:rFonts w:hAnsi="Times New Roman" w:cs="Times New Roman"/>
        </w:rPr>
        <w:t>6.1.5</w:t>
      </w:r>
      <w:r>
        <w:rPr>
          <w:rFonts w:hint="eastAsia" w:hAnsi="Times New Roman" w:cs="Times New Roman"/>
        </w:rPr>
        <w:t>，在矿山开采可能导致矿区土地利用类型明显改变，或拦河闸坝建设可能明显改变水文情势等情况下，评价等级应上调一级”。本项目矿山开采过程中可能导致矿区土地利用类型明显改变，故评价等级上调</w:t>
      </w:r>
      <w:r>
        <w:rPr>
          <w:rFonts w:hint="eastAsia" w:ascii="仿宋_GB2312" w:cs="仿宋_GB2312"/>
        </w:rPr>
        <w:t>一级。</w:t>
      </w:r>
    </w:p>
    <w:p w14:paraId="18300913">
      <w:pPr>
        <w:ind w:firstLine="480"/>
        <w:rPr>
          <w:rFonts w:hAnsi="Times New Roman" w:cs="Times New Roman"/>
        </w:rPr>
      </w:pPr>
      <w:r>
        <w:rPr>
          <w:rFonts w:hint="eastAsia" w:hAnsi="Times New Roman" w:cs="Times New Roman"/>
        </w:rPr>
        <w:t>综上所述，本项目生态环境影响评价工作等级为一级。</w:t>
      </w:r>
    </w:p>
    <w:p w14:paraId="7BB87303">
      <w:pPr>
        <w:pStyle w:val="4"/>
        <w:spacing w:before="180" w:after="120"/>
        <w:rPr>
          <w:rFonts w:hAnsi="Times New Roman" w:cs="Times New Roman"/>
        </w:rPr>
      </w:pPr>
      <w:r>
        <w:rPr>
          <w:rFonts w:hAnsi="Times New Roman" w:cs="Times New Roman"/>
        </w:rPr>
        <w:t>土壤环境</w:t>
      </w:r>
    </w:p>
    <w:p w14:paraId="3BDD0901">
      <w:pPr>
        <w:ind w:firstLine="480"/>
        <w:rPr>
          <w:rFonts w:hAnsi="Times New Roman" w:cs="Times New Roman"/>
        </w:rPr>
      </w:pPr>
      <w:r>
        <w:rPr>
          <w:rFonts w:hAnsi="Times New Roman" w:cs="Times New Roman"/>
        </w:rPr>
        <w:t>根据《环境影响评价技术导则 土壤环境（试行）》（HJ964-2018），项目属于污染影响型项目，评价工作等级的划分应依据建设项目行业分类和土壤环境敏感程度分级进行判定。</w:t>
      </w:r>
    </w:p>
    <w:p w14:paraId="3715E5D0">
      <w:pPr>
        <w:ind w:firstLine="482"/>
        <w:rPr>
          <w:rFonts w:hAnsi="Times New Roman" w:cs="Times New Roman"/>
          <w:b/>
        </w:rPr>
      </w:pPr>
      <w:r>
        <w:rPr>
          <w:rFonts w:hAnsi="Times New Roman" w:cs="Times New Roman"/>
          <w:b/>
        </w:rPr>
        <w:t>1、项目类别</w:t>
      </w:r>
    </w:p>
    <w:p w14:paraId="09DAA166">
      <w:pPr>
        <w:ind w:firstLine="480"/>
        <w:rPr>
          <w:rFonts w:hAnsi="Times New Roman" w:cs="Times New Roman"/>
        </w:rPr>
      </w:pPr>
      <w:r>
        <w:rPr>
          <w:rFonts w:hAnsi="Times New Roman" w:cs="Times New Roman"/>
        </w:rPr>
        <w:t>根据《环境影响评价技术导则 土壤环境（试行）》（HJ964-2018）附录A，本项目属于非金属矿的开采项目，为“采矿业”中“其它类”属于Ⅲ类项目。</w:t>
      </w:r>
    </w:p>
    <w:p w14:paraId="01C641B9">
      <w:pPr>
        <w:ind w:firstLine="482"/>
        <w:rPr>
          <w:rFonts w:hAnsi="Times New Roman" w:cs="Times New Roman"/>
          <w:b/>
        </w:rPr>
      </w:pPr>
      <w:r>
        <w:rPr>
          <w:rFonts w:hint="eastAsia" w:hAnsi="Times New Roman" w:cs="Times New Roman"/>
          <w:b/>
        </w:rPr>
        <w:t>2、影响类型与影响途径识别</w:t>
      </w:r>
    </w:p>
    <w:p w14:paraId="287F23EF">
      <w:pPr>
        <w:ind w:firstLine="480"/>
        <w:rPr>
          <w:rFonts w:hAnsi="Times New Roman" w:cs="Times New Roman"/>
        </w:rPr>
      </w:pPr>
      <w:r>
        <w:rPr>
          <w:rFonts w:hint="eastAsia" w:hAnsi="Times New Roman" w:cs="Times New Roman"/>
        </w:rPr>
        <w:t>根据建设项目特点，项目</w:t>
      </w:r>
      <w:r>
        <w:t>土壤环境影响识别与评价因子</w:t>
      </w:r>
      <w:r>
        <w:rPr>
          <w:rFonts w:hint="eastAsia" w:hAnsi="Times New Roman" w:cs="Times New Roman"/>
        </w:rPr>
        <w:t>见下表。</w:t>
      </w:r>
    </w:p>
    <w:p w14:paraId="0ABC1DEE">
      <w:pPr>
        <w:pStyle w:val="178"/>
      </w:pPr>
      <w:r>
        <w:t>表2.</w:t>
      </w:r>
      <w:r>
        <w:rPr>
          <w:rFonts w:hint="eastAsia"/>
        </w:rPr>
        <w:t>5-11</w:t>
      </w:r>
      <w:r>
        <w:t xml:space="preserve">  建设项目土壤环境影响类别与影响途径表</w:t>
      </w:r>
    </w:p>
    <w:tbl>
      <w:tblPr>
        <w:tblStyle w:val="36"/>
        <w:tblW w:w="8505" w:type="dxa"/>
        <w:jc w:val="center"/>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Layout w:type="autofit"/>
        <w:tblCellMar>
          <w:top w:w="0" w:type="dxa"/>
          <w:left w:w="57" w:type="dxa"/>
          <w:bottom w:w="0" w:type="dxa"/>
          <w:right w:w="57" w:type="dxa"/>
        </w:tblCellMar>
      </w:tblPr>
      <w:tblGrid>
        <w:gridCol w:w="1517"/>
        <w:gridCol w:w="1085"/>
        <w:gridCol w:w="1085"/>
        <w:gridCol w:w="1085"/>
        <w:gridCol w:w="713"/>
        <w:gridCol w:w="755"/>
        <w:gridCol w:w="755"/>
        <w:gridCol w:w="755"/>
        <w:gridCol w:w="755"/>
      </w:tblGrid>
      <w:tr w14:paraId="03D8DB5D">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PrEx>
        <w:trPr>
          <w:trHeight w:val="340" w:hRule="atLeast"/>
          <w:jc w:val="center"/>
        </w:trPr>
        <w:tc>
          <w:tcPr>
            <w:tcW w:w="892" w:type="pct"/>
            <w:vMerge w:val="restart"/>
            <w:vAlign w:val="center"/>
          </w:tcPr>
          <w:p w14:paraId="5484DA3E">
            <w:pPr>
              <w:pStyle w:val="179"/>
              <w:rPr>
                <w:rFonts w:cs="Times New Roman"/>
                <w:b/>
              </w:rPr>
            </w:pPr>
            <w:r>
              <w:rPr>
                <w:rFonts w:cs="Times New Roman"/>
                <w:b/>
              </w:rPr>
              <w:t>不同时段</w:t>
            </w:r>
          </w:p>
        </w:tc>
        <w:tc>
          <w:tcPr>
            <w:tcW w:w="2333" w:type="pct"/>
            <w:gridSpan w:val="4"/>
            <w:vAlign w:val="center"/>
          </w:tcPr>
          <w:p w14:paraId="5FEA12BA">
            <w:pPr>
              <w:pStyle w:val="179"/>
              <w:rPr>
                <w:rFonts w:cs="Times New Roman"/>
                <w:b/>
              </w:rPr>
            </w:pPr>
            <w:r>
              <w:rPr>
                <w:rFonts w:cs="Times New Roman"/>
                <w:b/>
              </w:rPr>
              <w:t>污染影响型</w:t>
            </w:r>
          </w:p>
        </w:tc>
        <w:tc>
          <w:tcPr>
            <w:tcW w:w="1775" w:type="pct"/>
            <w:gridSpan w:val="4"/>
            <w:vAlign w:val="center"/>
          </w:tcPr>
          <w:p w14:paraId="0AC615F1">
            <w:pPr>
              <w:pStyle w:val="179"/>
              <w:rPr>
                <w:rFonts w:cs="Times New Roman"/>
                <w:b/>
              </w:rPr>
            </w:pPr>
            <w:r>
              <w:rPr>
                <w:rFonts w:cs="Times New Roman"/>
                <w:b/>
              </w:rPr>
              <w:t>生态影响型</w:t>
            </w:r>
          </w:p>
        </w:tc>
      </w:tr>
      <w:tr w14:paraId="3CADAA1F">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40" w:hRule="atLeast"/>
          <w:jc w:val="center"/>
        </w:trPr>
        <w:tc>
          <w:tcPr>
            <w:tcW w:w="892" w:type="pct"/>
            <w:vMerge w:val="continue"/>
            <w:vAlign w:val="center"/>
          </w:tcPr>
          <w:p w14:paraId="4FA563DD">
            <w:pPr>
              <w:pStyle w:val="179"/>
              <w:rPr>
                <w:rFonts w:cs="Times New Roman"/>
                <w:b/>
              </w:rPr>
            </w:pPr>
          </w:p>
        </w:tc>
        <w:tc>
          <w:tcPr>
            <w:tcW w:w="638" w:type="pct"/>
            <w:vAlign w:val="center"/>
          </w:tcPr>
          <w:p w14:paraId="4AF3D8C4">
            <w:pPr>
              <w:pStyle w:val="179"/>
              <w:rPr>
                <w:rFonts w:cs="Times New Roman"/>
                <w:b/>
              </w:rPr>
            </w:pPr>
            <w:r>
              <w:rPr>
                <w:rFonts w:cs="Times New Roman"/>
                <w:b/>
              </w:rPr>
              <w:t>大气沉降</w:t>
            </w:r>
          </w:p>
        </w:tc>
        <w:tc>
          <w:tcPr>
            <w:tcW w:w="638" w:type="pct"/>
            <w:vAlign w:val="center"/>
          </w:tcPr>
          <w:p w14:paraId="277AF05F">
            <w:pPr>
              <w:pStyle w:val="179"/>
              <w:rPr>
                <w:rFonts w:cs="Times New Roman"/>
                <w:b/>
              </w:rPr>
            </w:pPr>
            <w:r>
              <w:rPr>
                <w:rFonts w:cs="Times New Roman"/>
                <w:b/>
              </w:rPr>
              <w:t>地面漫流</w:t>
            </w:r>
          </w:p>
        </w:tc>
        <w:tc>
          <w:tcPr>
            <w:tcW w:w="638" w:type="pct"/>
            <w:vAlign w:val="center"/>
          </w:tcPr>
          <w:p w14:paraId="2EDCAAD2">
            <w:pPr>
              <w:pStyle w:val="179"/>
              <w:rPr>
                <w:rFonts w:cs="Times New Roman"/>
                <w:b/>
              </w:rPr>
            </w:pPr>
            <w:r>
              <w:rPr>
                <w:rFonts w:cs="Times New Roman"/>
                <w:b/>
              </w:rPr>
              <w:t>垂直入渗</w:t>
            </w:r>
          </w:p>
        </w:tc>
        <w:tc>
          <w:tcPr>
            <w:tcW w:w="419" w:type="pct"/>
            <w:vAlign w:val="center"/>
          </w:tcPr>
          <w:p w14:paraId="36049ECF">
            <w:pPr>
              <w:pStyle w:val="179"/>
              <w:rPr>
                <w:rFonts w:cs="Times New Roman"/>
                <w:b/>
              </w:rPr>
            </w:pPr>
            <w:r>
              <w:rPr>
                <w:rFonts w:cs="Times New Roman"/>
                <w:b/>
              </w:rPr>
              <w:t>其他</w:t>
            </w:r>
          </w:p>
        </w:tc>
        <w:tc>
          <w:tcPr>
            <w:tcW w:w="444" w:type="pct"/>
            <w:vAlign w:val="center"/>
          </w:tcPr>
          <w:p w14:paraId="0CA686CE">
            <w:pPr>
              <w:pStyle w:val="179"/>
              <w:rPr>
                <w:rFonts w:cs="Times New Roman"/>
                <w:b/>
              </w:rPr>
            </w:pPr>
            <w:r>
              <w:rPr>
                <w:rFonts w:cs="Times New Roman"/>
                <w:b/>
              </w:rPr>
              <w:t>盐化</w:t>
            </w:r>
          </w:p>
        </w:tc>
        <w:tc>
          <w:tcPr>
            <w:tcW w:w="444" w:type="pct"/>
            <w:vAlign w:val="center"/>
          </w:tcPr>
          <w:p w14:paraId="48B5859F">
            <w:pPr>
              <w:pStyle w:val="179"/>
              <w:rPr>
                <w:rFonts w:cs="Times New Roman"/>
                <w:b/>
              </w:rPr>
            </w:pPr>
            <w:r>
              <w:rPr>
                <w:rFonts w:cs="Times New Roman"/>
                <w:b/>
              </w:rPr>
              <w:t>酸化</w:t>
            </w:r>
          </w:p>
        </w:tc>
        <w:tc>
          <w:tcPr>
            <w:tcW w:w="444" w:type="pct"/>
            <w:vAlign w:val="center"/>
          </w:tcPr>
          <w:p w14:paraId="398D6B92">
            <w:pPr>
              <w:pStyle w:val="179"/>
              <w:rPr>
                <w:rFonts w:cs="Times New Roman"/>
                <w:b/>
              </w:rPr>
            </w:pPr>
            <w:r>
              <w:rPr>
                <w:rFonts w:cs="Times New Roman"/>
                <w:b/>
              </w:rPr>
              <w:t>碱化</w:t>
            </w:r>
          </w:p>
        </w:tc>
        <w:tc>
          <w:tcPr>
            <w:tcW w:w="443" w:type="pct"/>
            <w:vAlign w:val="center"/>
          </w:tcPr>
          <w:p w14:paraId="1086E29A">
            <w:pPr>
              <w:pStyle w:val="179"/>
              <w:rPr>
                <w:rFonts w:cs="Times New Roman"/>
                <w:b/>
              </w:rPr>
            </w:pPr>
            <w:r>
              <w:rPr>
                <w:rFonts w:cs="Times New Roman"/>
                <w:b/>
              </w:rPr>
              <w:t>其他</w:t>
            </w:r>
          </w:p>
        </w:tc>
      </w:tr>
      <w:tr w14:paraId="30FAC126">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40" w:hRule="atLeast"/>
          <w:jc w:val="center"/>
        </w:trPr>
        <w:tc>
          <w:tcPr>
            <w:tcW w:w="892" w:type="pct"/>
            <w:vAlign w:val="center"/>
          </w:tcPr>
          <w:p w14:paraId="355C312F">
            <w:pPr>
              <w:pStyle w:val="179"/>
              <w:rPr>
                <w:rFonts w:cs="Times New Roman"/>
              </w:rPr>
            </w:pPr>
            <w:r>
              <w:rPr>
                <w:rFonts w:cs="Times New Roman"/>
              </w:rPr>
              <w:t>建设期</w:t>
            </w:r>
          </w:p>
        </w:tc>
        <w:tc>
          <w:tcPr>
            <w:tcW w:w="638" w:type="pct"/>
            <w:vAlign w:val="center"/>
          </w:tcPr>
          <w:p w14:paraId="0BA50855">
            <w:pPr>
              <w:pStyle w:val="179"/>
              <w:rPr>
                <w:rFonts w:cs="Times New Roman"/>
              </w:rPr>
            </w:pPr>
            <w:r>
              <w:rPr>
                <w:rFonts w:cs="Times New Roman"/>
              </w:rPr>
              <w:t>-</w:t>
            </w:r>
          </w:p>
        </w:tc>
        <w:tc>
          <w:tcPr>
            <w:tcW w:w="638" w:type="pct"/>
            <w:vAlign w:val="center"/>
          </w:tcPr>
          <w:p w14:paraId="70D7B8FC">
            <w:pPr>
              <w:pStyle w:val="179"/>
              <w:rPr>
                <w:rFonts w:cs="Times New Roman"/>
              </w:rPr>
            </w:pPr>
            <w:r>
              <w:rPr>
                <w:rFonts w:cs="Times New Roman"/>
              </w:rPr>
              <w:t>-</w:t>
            </w:r>
          </w:p>
        </w:tc>
        <w:tc>
          <w:tcPr>
            <w:tcW w:w="638" w:type="pct"/>
            <w:vAlign w:val="center"/>
          </w:tcPr>
          <w:p w14:paraId="6BC93356">
            <w:pPr>
              <w:pStyle w:val="179"/>
              <w:rPr>
                <w:rFonts w:cs="Times New Roman"/>
              </w:rPr>
            </w:pPr>
            <w:r>
              <w:rPr>
                <w:rFonts w:cs="Times New Roman"/>
              </w:rPr>
              <w:t>-</w:t>
            </w:r>
          </w:p>
        </w:tc>
        <w:tc>
          <w:tcPr>
            <w:tcW w:w="419" w:type="pct"/>
            <w:vAlign w:val="center"/>
          </w:tcPr>
          <w:p w14:paraId="0E8EAD77">
            <w:pPr>
              <w:pStyle w:val="179"/>
              <w:rPr>
                <w:rFonts w:cs="Times New Roman"/>
              </w:rPr>
            </w:pPr>
            <w:r>
              <w:rPr>
                <w:rFonts w:cs="Times New Roman"/>
              </w:rPr>
              <w:t>-</w:t>
            </w:r>
          </w:p>
        </w:tc>
        <w:tc>
          <w:tcPr>
            <w:tcW w:w="444" w:type="pct"/>
            <w:vAlign w:val="center"/>
          </w:tcPr>
          <w:p w14:paraId="236B28D3">
            <w:pPr>
              <w:pStyle w:val="179"/>
              <w:rPr>
                <w:rFonts w:cs="Times New Roman"/>
              </w:rPr>
            </w:pPr>
            <w:r>
              <w:rPr>
                <w:rFonts w:cs="Times New Roman"/>
              </w:rPr>
              <w:t>-</w:t>
            </w:r>
          </w:p>
        </w:tc>
        <w:tc>
          <w:tcPr>
            <w:tcW w:w="444" w:type="pct"/>
            <w:vAlign w:val="center"/>
          </w:tcPr>
          <w:p w14:paraId="01CF7E22">
            <w:pPr>
              <w:pStyle w:val="179"/>
              <w:rPr>
                <w:rFonts w:cs="Times New Roman"/>
              </w:rPr>
            </w:pPr>
            <w:r>
              <w:rPr>
                <w:rFonts w:cs="Times New Roman"/>
              </w:rPr>
              <w:t>-</w:t>
            </w:r>
          </w:p>
        </w:tc>
        <w:tc>
          <w:tcPr>
            <w:tcW w:w="444" w:type="pct"/>
            <w:vAlign w:val="center"/>
          </w:tcPr>
          <w:p w14:paraId="1C185A0E">
            <w:pPr>
              <w:pStyle w:val="179"/>
              <w:rPr>
                <w:rFonts w:cs="Times New Roman"/>
              </w:rPr>
            </w:pPr>
            <w:r>
              <w:rPr>
                <w:rFonts w:cs="Times New Roman"/>
              </w:rPr>
              <w:t>-</w:t>
            </w:r>
          </w:p>
        </w:tc>
        <w:tc>
          <w:tcPr>
            <w:tcW w:w="443" w:type="pct"/>
            <w:vAlign w:val="center"/>
          </w:tcPr>
          <w:p w14:paraId="426F2EB4">
            <w:pPr>
              <w:pStyle w:val="179"/>
              <w:rPr>
                <w:rFonts w:cs="Times New Roman"/>
              </w:rPr>
            </w:pPr>
            <w:r>
              <w:rPr>
                <w:rFonts w:cs="Times New Roman"/>
              </w:rPr>
              <w:t>-</w:t>
            </w:r>
          </w:p>
        </w:tc>
      </w:tr>
      <w:tr w14:paraId="4836899D">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40" w:hRule="atLeast"/>
          <w:jc w:val="center"/>
        </w:trPr>
        <w:tc>
          <w:tcPr>
            <w:tcW w:w="892" w:type="pct"/>
            <w:vAlign w:val="center"/>
          </w:tcPr>
          <w:p w14:paraId="7F901402">
            <w:pPr>
              <w:pStyle w:val="179"/>
              <w:rPr>
                <w:rFonts w:cs="Times New Roman"/>
              </w:rPr>
            </w:pPr>
            <w:r>
              <w:rPr>
                <w:rFonts w:cs="Times New Roman"/>
              </w:rPr>
              <w:t>运营期</w:t>
            </w:r>
          </w:p>
        </w:tc>
        <w:tc>
          <w:tcPr>
            <w:tcW w:w="638" w:type="pct"/>
            <w:vAlign w:val="center"/>
          </w:tcPr>
          <w:p w14:paraId="273C2C5C">
            <w:pPr>
              <w:pStyle w:val="179"/>
              <w:rPr>
                <w:rFonts w:cs="Times New Roman"/>
              </w:rPr>
            </w:pPr>
            <w:r>
              <w:rPr>
                <w:rFonts w:cs="Times New Roman"/>
              </w:rPr>
              <w:t>-</w:t>
            </w:r>
          </w:p>
        </w:tc>
        <w:tc>
          <w:tcPr>
            <w:tcW w:w="638" w:type="pct"/>
            <w:vAlign w:val="center"/>
          </w:tcPr>
          <w:p w14:paraId="76ACA6EC">
            <w:pPr>
              <w:pStyle w:val="179"/>
              <w:rPr>
                <w:rFonts w:cs="Times New Roman"/>
              </w:rPr>
            </w:pPr>
            <w:r>
              <w:rPr>
                <w:rFonts w:cs="Times New Roman"/>
              </w:rPr>
              <w:t>√</w:t>
            </w:r>
          </w:p>
        </w:tc>
        <w:tc>
          <w:tcPr>
            <w:tcW w:w="638" w:type="pct"/>
            <w:vAlign w:val="center"/>
          </w:tcPr>
          <w:p w14:paraId="707210FD">
            <w:pPr>
              <w:pStyle w:val="179"/>
              <w:rPr>
                <w:rFonts w:cs="Times New Roman"/>
              </w:rPr>
            </w:pPr>
            <w:r>
              <w:rPr>
                <w:rFonts w:cs="Times New Roman"/>
              </w:rPr>
              <w:t>√</w:t>
            </w:r>
          </w:p>
        </w:tc>
        <w:tc>
          <w:tcPr>
            <w:tcW w:w="419" w:type="pct"/>
            <w:vAlign w:val="center"/>
          </w:tcPr>
          <w:p w14:paraId="5B32B243">
            <w:pPr>
              <w:pStyle w:val="179"/>
              <w:rPr>
                <w:rFonts w:cs="Times New Roman"/>
              </w:rPr>
            </w:pPr>
            <w:r>
              <w:rPr>
                <w:rFonts w:cs="Times New Roman"/>
              </w:rPr>
              <w:t>-</w:t>
            </w:r>
          </w:p>
        </w:tc>
        <w:tc>
          <w:tcPr>
            <w:tcW w:w="444" w:type="pct"/>
            <w:vAlign w:val="center"/>
          </w:tcPr>
          <w:p w14:paraId="45DE049B">
            <w:pPr>
              <w:pStyle w:val="179"/>
              <w:rPr>
                <w:rFonts w:cs="Times New Roman"/>
              </w:rPr>
            </w:pPr>
            <w:r>
              <w:rPr>
                <w:rFonts w:cs="Times New Roman"/>
              </w:rPr>
              <w:t>-</w:t>
            </w:r>
          </w:p>
        </w:tc>
        <w:tc>
          <w:tcPr>
            <w:tcW w:w="444" w:type="pct"/>
            <w:vAlign w:val="center"/>
          </w:tcPr>
          <w:p w14:paraId="6556DDDB">
            <w:pPr>
              <w:pStyle w:val="179"/>
              <w:rPr>
                <w:rFonts w:cs="Times New Roman"/>
              </w:rPr>
            </w:pPr>
            <w:r>
              <w:rPr>
                <w:rFonts w:cs="Times New Roman"/>
              </w:rPr>
              <w:t>-</w:t>
            </w:r>
          </w:p>
        </w:tc>
        <w:tc>
          <w:tcPr>
            <w:tcW w:w="444" w:type="pct"/>
            <w:vAlign w:val="center"/>
          </w:tcPr>
          <w:p w14:paraId="16ACE6ED">
            <w:pPr>
              <w:pStyle w:val="179"/>
              <w:rPr>
                <w:rFonts w:cs="Times New Roman"/>
              </w:rPr>
            </w:pPr>
            <w:r>
              <w:rPr>
                <w:rFonts w:cs="Times New Roman"/>
              </w:rPr>
              <w:t>-</w:t>
            </w:r>
          </w:p>
        </w:tc>
        <w:tc>
          <w:tcPr>
            <w:tcW w:w="443" w:type="pct"/>
            <w:vAlign w:val="center"/>
          </w:tcPr>
          <w:p w14:paraId="59CCA559">
            <w:pPr>
              <w:pStyle w:val="179"/>
              <w:rPr>
                <w:rFonts w:cs="Times New Roman"/>
              </w:rPr>
            </w:pPr>
            <w:r>
              <w:rPr>
                <w:rFonts w:cs="Times New Roman"/>
              </w:rPr>
              <w:t>-</w:t>
            </w:r>
          </w:p>
        </w:tc>
      </w:tr>
      <w:tr w14:paraId="16BB1476">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40" w:hRule="atLeast"/>
          <w:jc w:val="center"/>
        </w:trPr>
        <w:tc>
          <w:tcPr>
            <w:tcW w:w="892" w:type="pct"/>
            <w:vAlign w:val="center"/>
          </w:tcPr>
          <w:p w14:paraId="360ADB71">
            <w:pPr>
              <w:pStyle w:val="179"/>
              <w:rPr>
                <w:rFonts w:cs="Times New Roman"/>
              </w:rPr>
            </w:pPr>
            <w:r>
              <w:rPr>
                <w:rFonts w:cs="Times New Roman"/>
              </w:rPr>
              <w:t>服务期满</w:t>
            </w:r>
          </w:p>
        </w:tc>
        <w:tc>
          <w:tcPr>
            <w:tcW w:w="638" w:type="pct"/>
            <w:vAlign w:val="center"/>
          </w:tcPr>
          <w:p w14:paraId="703294C8">
            <w:pPr>
              <w:pStyle w:val="179"/>
              <w:rPr>
                <w:rFonts w:cs="Times New Roman"/>
              </w:rPr>
            </w:pPr>
            <w:r>
              <w:rPr>
                <w:rFonts w:cs="Times New Roman"/>
              </w:rPr>
              <w:t>-</w:t>
            </w:r>
          </w:p>
        </w:tc>
        <w:tc>
          <w:tcPr>
            <w:tcW w:w="638" w:type="pct"/>
            <w:vAlign w:val="center"/>
          </w:tcPr>
          <w:p w14:paraId="5DD1BB24">
            <w:pPr>
              <w:pStyle w:val="179"/>
              <w:rPr>
                <w:rFonts w:cs="Times New Roman"/>
              </w:rPr>
            </w:pPr>
            <w:r>
              <w:rPr>
                <w:rFonts w:cs="Times New Roman"/>
              </w:rPr>
              <w:t>-</w:t>
            </w:r>
          </w:p>
        </w:tc>
        <w:tc>
          <w:tcPr>
            <w:tcW w:w="638" w:type="pct"/>
            <w:vAlign w:val="center"/>
          </w:tcPr>
          <w:p w14:paraId="53978E3F">
            <w:pPr>
              <w:pStyle w:val="179"/>
              <w:rPr>
                <w:rFonts w:cs="Times New Roman"/>
              </w:rPr>
            </w:pPr>
            <w:r>
              <w:rPr>
                <w:rFonts w:cs="Times New Roman"/>
              </w:rPr>
              <w:t>-</w:t>
            </w:r>
          </w:p>
        </w:tc>
        <w:tc>
          <w:tcPr>
            <w:tcW w:w="419" w:type="pct"/>
            <w:vAlign w:val="center"/>
          </w:tcPr>
          <w:p w14:paraId="5D0FF16E">
            <w:pPr>
              <w:pStyle w:val="179"/>
              <w:rPr>
                <w:rFonts w:cs="Times New Roman"/>
              </w:rPr>
            </w:pPr>
            <w:r>
              <w:rPr>
                <w:rFonts w:cs="Times New Roman"/>
              </w:rPr>
              <w:t>-</w:t>
            </w:r>
          </w:p>
        </w:tc>
        <w:tc>
          <w:tcPr>
            <w:tcW w:w="444" w:type="pct"/>
            <w:vAlign w:val="center"/>
          </w:tcPr>
          <w:p w14:paraId="5EDD05F5">
            <w:pPr>
              <w:pStyle w:val="179"/>
              <w:rPr>
                <w:rFonts w:cs="Times New Roman"/>
              </w:rPr>
            </w:pPr>
            <w:r>
              <w:rPr>
                <w:rFonts w:cs="Times New Roman"/>
              </w:rPr>
              <w:t>-</w:t>
            </w:r>
          </w:p>
        </w:tc>
        <w:tc>
          <w:tcPr>
            <w:tcW w:w="444" w:type="pct"/>
            <w:vAlign w:val="center"/>
          </w:tcPr>
          <w:p w14:paraId="22D3B082">
            <w:pPr>
              <w:pStyle w:val="179"/>
              <w:rPr>
                <w:rFonts w:cs="Times New Roman"/>
              </w:rPr>
            </w:pPr>
            <w:r>
              <w:rPr>
                <w:rFonts w:cs="Times New Roman"/>
              </w:rPr>
              <w:t>-</w:t>
            </w:r>
          </w:p>
        </w:tc>
        <w:tc>
          <w:tcPr>
            <w:tcW w:w="444" w:type="pct"/>
            <w:vAlign w:val="center"/>
          </w:tcPr>
          <w:p w14:paraId="4CA9E717">
            <w:pPr>
              <w:pStyle w:val="179"/>
              <w:rPr>
                <w:rFonts w:cs="Times New Roman"/>
              </w:rPr>
            </w:pPr>
            <w:r>
              <w:rPr>
                <w:rFonts w:cs="Times New Roman"/>
              </w:rPr>
              <w:t>-</w:t>
            </w:r>
          </w:p>
        </w:tc>
        <w:tc>
          <w:tcPr>
            <w:tcW w:w="443" w:type="pct"/>
            <w:vAlign w:val="center"/>
          </w:tcPr>
          <w:p w14:paraId="0E1F60E9">
            <w:pPr>
              <w:pStyle w:val="179"/>
              <w:rPr>
                <w:rFonts w:cs="Times New Roman"/>
              </w:rPr>
            </w:pPr>
            <w:r>
              <w:rPr>
                <w:rFonts w:cs="Times New Roman"/>
              </w:rPr>
              <w:t>-</w:t>
            </w:r>
          </w:p>
        </w:tc>
      </w:tr>
      <w:tr w14:paraId="5D51EB0E">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40" w:hRule="atLeast"/>
          <w:jc w:val="center"/>
        </w:trPr>
        <w:tc>
          <w:tcPr>
            <w:tcW w:w="5000" w:type="pct"/>
            <w:gridSpan w:val="9"/>
            <w:vAlign w:val="center"/>
          </w:tcPr>
          <w:p w14:paraId="3B9936B6">
            <w:pPr>
              <w:pStyle w:val="179"/>
              <w:rPr>
                <w:rFonts w:cs="Times New Roman"/>
              </w:rPr>
            </w:pPr>
            <w:r>
              <w:rPr>
                <w:rFonts w:cs="Times New Roman"/>
              </w:rPr>
              <w:t>注：在可能产生的土壤环境影响类型处打√ , 列表未涵盖的可自行设计</w:t>
            </w:r>
          </w:p>
        </w:tc>
      </w:tr>
    </w:tbl>
    <w:p w14:paraId="53D544B0">
      <w:pPr>
        <w:pStyle w:val="178"/>
      </w:pPr>
    </w:p>
    <w:p w14:paraId="4F842F2A">
      <w:pPr>
        <w:pStyle w:val="178"/>
      </w:pPr>
      <w:r>
        <w:t>表2.</w:t>
      </w:r>
      <w:r>
        <w:rPr>
          <w:rFonts w:hint="eastAsia"/>
        </w:rPr>
        <w:t>5-12</w:t>
      </w:r>
      <w:r>
        <w:t xml:space="preserve">  污染影响型建设项目土壤环境影响源及影响因子识别表</w:t>
      </w:r>
    </w:p>
    <w:tbl>
      <w:tblPr>
        <w:tblStyle w:val="36"/>
        <w:tblW w:w="8505" w:type="dxa"/>
        <w:jc w:val="center"/>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Layout w:type="autofit"/>
        <w:tblCellMar>
          <w:top w:w="0" w:type="dxa"/>
          <w:left w:w="108" w:type="dxa"/>
          <w:bottom w:w="0" w:type="dxa"/>
          <w:right w:w="108" w:type="dxa"/>
        </w:tblCellMar>
      </w:tblPr>
      <w:tblGrid>
        <w:gridCol w:w="850"/>
        <w:gridCol w:w="1560"/>
        <w:gridCol w:w="1334"/>
        <w:gridCol w:w="1934"/>
        <w:gridCol w:w="1408"/>
        <w:gridCol w:w="1419"/>
      </w:tblGrid>
      <w:tr w14:paraId="434962BD">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tblHeader/>
          <w:jc w:val="center"/>
        </w:trPr>
        <w:tc>
          <w:tcPr>
            <w:tcW w:w="500" w:type="pct"/>
            <w:vAlign w:val="center"/>
          </w:tcPr>
          <w:p w14:paraId="56B7FC87">
            <w:pPr>
              <w:pStyle w:val="179"/>
              <w:rPr>
                <w:rFonts w:cs="Times New Roman"/>
                <w:b/>
              </w:rPr>
            </w:pPr>
            <w:r>
              <w:rPr>
                <w:rFonts w:cs="Times New Roman"/>
                <w:b/>
              </w:rPr>
              <w:t>污染源</w:t>
            </w:r>
          </w:p>
        </w:tc>
        <w:tc>
          <w:tcPr>
            <w:tcW w:w="917" w:type="pct"/>
            <w:vAlign w:val="center"/>
          </w:tcPr>
          <w:p w14:paraId="1BE8A354">
            <w:pPr>
              <w:pStyle w:val="179"/>
              <w:rPr>
                <w:rFonts w:cs="Times New Roman"/>
                <w:b/>
              </w:rPr>
            </w:pPr>
            <w:r>
              <w:rPr>
                <w:rFonts w:cs="Times New Roman"/>
                <w:b/>
              </w:rPr>
              <w:t>工艺流程/节点</w:t>
            </w:r>
          </w:p>
        </w:tc>
        <w:tc>
          <w:tcPr>
            <w:tcW w:w="784" w:type="pct"/>
            <w:vAlign w:val="center"/>
          </w:tcPr>
          <w:p w14:paraId="785FFEC9">
            <w:pPr>
              <w:pStyle w:val="179"/>
              <w:rPr>
                <w:rFonts w:cs="Times New Roman"/>
                <w:b/>
              </w:rPr>
            </w:pPr>
            <w:r>
              <w:rPr>
                <w:rFonts w:cs="Times New Roman"/>
                <w:b/>
              </w:rPr>
              <w:t>污染途径</w:t>
            </w:r>
          </w:p>
        </w:tc>
        <w:tc>
          <w:tcPr>
            <w:tcW w:w="1137" w:type="pct"/>
            <w:vAlign w:val="center"/>
          </w:tcPr>
          <w:p w14:paraId="18F321A7">
            <w:pPr>
              <w:pStyle w:val="179"/>
              <w:rPr>
                <w:rFonts w:cs="Times New Roman"/>
                <w:b/>
              </w:rPr>
            </w:pPr>
            <w:r>
              <w:rPr>
                <w:rFonts w:cs="Times New Roman"/>
                <w:b/>
              </w:rPr>
              <w:t>全部污染物指标</w:t>
            </w:r>
            <w:r>
              <w:rPr>
                <w:rFonts w:cs="Times New Roman"/>
                <w:b/>
                <w:vertAlign w:val="superscript"/>
              </w:rPr>
              <w:t>a</w:t>
            </w:r>
          </w:p>
        </w:tc>
        <w:tc>
          <w:tcPr>
            <w:tcW w:w="828" w:type="pct"/>
            <w:vAlign w:val="center"/>
          </w:tcPr>
          <w:p w14:paraId="7F26C143">
            <w:pPr>
              <w:pStyle w:val="179"/>
              <w:rPr>
                <w:rFonts w:cs="Times New Roman"/>
                <w:b/>
              </w:rPr>
            </w:pPr>
            <w:r>
              <w:rPr>
                <w:rFonts w:cs="Times New Roman"/>
                <w:b/>
              </w:rPr>
              <w:t>特征因子</w:t>
            </w:r>
          </w:p>
        </w:tc>
        <w:tc>
          <w:tcPr>
            <w:tcW w:w="831" w:type="pct"/>
            <w:vAlign w:val="center"/>
          </w:tcPr>
          <w:p w14:paraId="2F47D90B">
            <w:pPr>
              <w:pStyle w:val="179"/>
              <w:rPr>
                <w:rFonts w:cs="Times New Roman"/>
                <w:b/>
              </w:rPr>
            </w:pPr>
            <w:r>
              <w:rPr>
                <w:rFonts w:cs="Times New Roman"/>
                <w:b/>
              </w:rPr>
              <w:t>备注</w:t>
            </w:r>
            <w:r>
              <w:rPr>
                <w:rFonts w:cs="Times New Roman"/>
                <w:b/>
                <w:vertAlign w:val="superscript"/>
              </w:rPr>
              <w:t>b</w:t>
            </w:r>
          </w:p>
        </w:tc>
      </w:tr>
      <w:tr w14:paraId="03DE566B">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500" w:type="pct"/>
            <w:vMerge w:val="restart"/>
            <w:vAlign w:val="center"/>
          </w:tcPr>
          <w:p w14:paraId="6824B0F5">
            <w:pPr>
              <w:pStyle w:val="179"/>
            </w:pPr>
            <w:r>
              <w:t>车间/场地</w:t>
            </w:r>
          </w:p>
        </w:tc>
        <w:tc>
          <w:tcPr>
            <w:tcW w:w="917" w:type="pct"/>
            <w:vMerge w:val="restart"/>
            <w:vAlign w:val="center"/>
          </w:tcPr>
          <w:p w14:paraId="32BCA0D3">
            <w:pPr>
              <w:pStyle w:val="179"/>
            </w:pPr>
            <w:r>
              <w:t>采矿、原矿堆场</w:t>
            </w:r>
          </w:p>
        </w:tc>
        <w:tc>
          <w:tcPr>
            <w:tcW w:w="784" w:type="pct"/>
            <w:vAlign w:val="center"/>
          </w:tcPr>
          <w:p w14:paraId="6B2E4E9A">
            <w:pPr>
              <w:pStyle w:val="179"/>
            </w:pPr>
            <w:r>
              <w:t>大气沉降</w:t>
            </w:r>
          </w:p>
        </w:tc>
        <w:tc>
          <w:tcPr>
            <w:tcW w:w="2013" w:type="dxa"/>
            <w:vAlign w:val="center"/>
          </w:tcPr>
          <w:p w14:paraId="1710C562">
            <w:pPr>
              <w:pStyle w:val="179"/>
            </w:pPr>
            <w:r>
              <w:t>-</w:t>
            </w:r>
          </w:p>
        </w:tc>
        <w:tc>
          <w:tcPr>
            <w:tcW w:w="1466" w:type="dxa"/>
            <w:vAlign w:val="center"/>
          </w:tcPr>
          <w:p w14:paraId="3EA7F184">
            <w:pPr>
              <w:pStyle w:val="179"/>
            </w:pPr>
            <w:r>
              <w:t>-</w:t>
            </w:r>
          </w:p>
        </w:tc>
        <w:tc>
          <w:tcPr>
            <w:tcW w:w="1476" w:type="dxa"/>
            <w:vAlign w:val="center"/>
          </w:tcPr>
          <w:p w14:paraId="18227479">
            <w:pPr>
              <w:pStyle w:val="179"/>
            </w:pPr>
            <w:r>
              <w:t>-</w:t>
            </w:r>
          </w:p>
        </w:tc>
      </w:tr>
      <w:tr w14:paraId="4E78D1E4">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500" w:type="pct"/>
            <w:vMerge w:val="continue"/>
            <w:vAlign w:val="center"/>
          </w:tcPr>
          <w:p w14:paraId="246C4067">
            <w:pPr>
              <w:pStyle w:val="179"/>
            </w:pPr>
          </w:p>
        </w:tc>
        <w:tc>
          <w:tcPr>
            <w:tcW w:w="917" w:type="pct"/>
            <w:vMerge w:val="continue"/>
            <w:vAlign w:val="center"/>
          </w:tcPr>
          <w:p w14:paraId="43083FE4">
            <w:pPr>
              <w:pStyle w:val="179"/>
            </w:pPr>
          </w:p>
        </w:tc>
        <w:tc>
          <w:tcPr>
            <w:tcW w:w="784" w:type="pct"/>
            <w:vAlign w:val="center"/>
          </w:tcPr>
          <w:p w14:paraId="3B1ADF4D">
            <w:pPr>
              <w:pStyle w:val="179"/>
            </w:pPr>
            <w:r>
              <w:t>地面漫流</w:t>
            </w:r>
          </w:p>
        </w:tc>
        <w:tc>
          <w:tcPr>
            <w:tcW w:w="1137" w:type="pct"/>
            <w:vAlign w:val="center"/>
          </w:tcPr>
          <w:p w14:paraId="4896C07D">
            <w:pPr>
              <w:pStyle w:val="179"/>
            </w:pPr>
            <w:r>
              <w:t>路面径流等废水</w:t>
            </w:r>
          </w:p>
        </w:tc>
        <w:tc>
          <w:tcPr>
            <w:tcW w:w="828" w:type="pct"/>
            <w:vAlign w:val="center"/>
          </w:tcPr>
          <w:p w14:paraId="33ABA722">
            <w:pPr>
              <w:pStyle w:val="179"/>
            </w:pPr>
            <w:r>
              <w:t>石油类</w:t>
            </w:r>
          </w:p>
        </w:tc>
        <w:tc>
          <w:tcPr>
            <w:tcW w:w="831" w:type="pct"/>
            <w:vAlign w:val="center"/>
          </w:tcPr>
          <w:p w14:paraId="3AD8C08F">
            <w:pPr>
              <w:pStyle w:val="179"/>
            </w:pPr>
            <w:r>
              <w:t>事故</w:t>
            </w:r>
          </w:p>
        </w:tc>
      </w:tr>
      <w:tr w14:paraId="1B09C010">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500" w:type="pct"/>
            <w:vMerge w:val="continue"/>
            <w:vAlign w:val="center"/>
          </w:tcPr>
          <w:p w14:paraId="69BC5A61">
            <w:pPr>
              <w:pStyle w:val="179"/>
            </w:pPr>
          </w:p>
        </w:tc>
        <w:tc>
          <w:tcPr>
            <w:tcW w:w="917" w:type="pct"/>
            <w:vMerge w:val="continue"/>
            <w:vAlign w:val="center"/>
          </w:tcPr>
          <w:p w14:paraId="6F23D208">
            <w:pPr>
              <w:pStyle w:val="179"/>
            </w:pPr>
          </w:p>
        </w:tc>
        <w:tc>
          <w:tcPr>
            <w:tcW w:w="784" w:type="pct"/>
            <w:vAlign w:val="center"/>
          </w:tcPr>
          <w:p w14:paraId="028E07A9">
            <w:pPr>
              <w:pStyle w:val="179"/>
            </w:pPr>
            <w:r>
              <w:t>垂直入渗</w:t>
            </w:r>
          </w:p>
        </w:tc>
        <w:tc>
          <w:tcPr>
            <w:tcW w:w="1137" w:type="pct"/>
            <w:vAlign w:val="center"/>
          </w:tcPr>
          <w:p w14:paraId="29614B69">
            <w:pPr>
              <w:pStyle w:val="179"/>
            </w:pPr>
            <w:r>
              <w:t>路面径流等废水</w:t>
            </w:r>
          </w:p>
        </w:tc>
        <w:tc>
          <w:tcPr>
            <w:tcW w:w="828" w:type="pct"/>
            <w:vAlign w:val="center"/>
          </w:tcPr>
          <w:p w14:paraId="2B6AA3D9">
            <w:pPr>
              <w:pStyle w:val="179"/>
            </w:pPr>
            <w:r>
              <w:t>石油类</w:t>
            </w:r>
          </w:p>
        </w:tc>
        <w:tc>
          <w:tcPr>
            <w:tcW w:w="831" w:type="pct"/>
            <w:vAlign w:val="center"/>
          </w:tcPr>
          <w:p w14:paraId="34BF9A2F">
            <w:pPr>
              <w:pStyle w:val="179"/>
            </w:pPr>
            <w:r>
              <w:t>事故</w:t>
            </w:r>
          </w:p>
        </w:tc>
      </w:tr>
      <w:tr w14:paraId="7FA2F186">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500" w:type="pct"/>
            <w:vMerge w:val="continue"/>
            <w:vAlign w:val="center"/>
          </w:tcPr>
          <w:p w14:paraId="4E433376">
            <w:pPr>
              <w:pStyle w:val="179"/>
            </w:pPr>
          </w:p>
        </w:tc>
        <w:tc>
          <w:tcPr>
            <w:tcW w:w="917" w:type="pct"/>
            <w:vMerge w:val="continue"/>
            <w:vAlign w:val="center"/>
          </w:tcPr>
          <w:p w14:paraId="0A287F60">
            <w:pPr>
              <w:pStyle w:val="179"/>
            </w:pPr>
          </w:p>
        </w:tc>
        <w:tc>
          <w:tcPr>
            <w:tcW w:w="784" w:type="pct"/>
            <w:vAlign w:val="center"/>
          </w:tcPr>
          <w:p w14:paraId="4F409EEA">
            <w:pPr>
              <w:pStyle w:val="179"/>
            </w:pPr>
            <w:r>
              <w:t>其他</w:t>
            </w:r>
          </w:p>
        </w:tc>
        <w:tc>
          <w:tcPr>
            <w:tcW w:w="1137" w:type="pct"/>
            <w:vAlign w:val="center"/>
          </w:tcPr>
          <w:p w14:paraId="36CEB1BC">
            <w:pPr>
              <w:pStyle w:val="179"/>
            </w:pPr>
            <w:r>
              <w:t>-</w:t>
            </w:r>
          </w:p>
        </w:tc>
        <w:tc>
          <w:tcPr>
            <w:tcW w:w="828" w:type="pct"/>
            <w:vAlign w:val="center"/>
          </w:tcPr>
          <w:p w14:paraId="1B2D38D9">
            <w:pPr>
              <w:pStyle w:val="179"/>
            </w:pPr>
            <w:r>
              <w:t>-</w:t>
            </w:r>
          </w:p>
        </w:tc>
        <w:tc>
          <w:tcPr>
            <w:tcW w:w="831" w:type="pct"/>
            <w:vAlign w:val="center"/>
          </w:tcPr>
          <w:p w14:paraId="51F573C3">
            <w:pPr>
              <w:pStyle w:val="179"/>
            </w:pPr>
            <w:r>
              <w:t>-</w:t>
            </w:r>
          </w:p>
        </w:tc>
      </w:tr>
      <w:tr w14:paraId="5B5E2197">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5000" w:type="pct"/>
            <w:gridSpan w:val="6"/>
            <w:vAlign w:val="center"/>
          </w:tcPr>
          <w:p w14:paraId="23994502">
            <w:pPr>
              <w:pStyle w:val="179"/>
              <w:jc w:val="both"/>
              <w:rPr>
                <w:rFonts w:cs="Times New Roman"/>
              </w:rPr>
            </w:pPr>
            <w:r>
              <w:rPr>
                <w:rFonts w:cs="Times New Roman"/>
              </w:rPr>
              <w:t>a 根据工程分析结果填写</w:t>
            </w:r>
          </w:p>
          <w:p w14:paraId="0EF14FD3">
            <w:pPr>
              <w:pStyle w:val="179"/>
              <w:jc w:val="both"/>
              <w:rPr>
                <w:rFonts w:cs="Times New Roman"/>
              </w:rPr>
            </w:pPr>
            <w:r>
              <w:rPr>
                <w:rFonts w:cs="Times New Roman"/>
              </w:rPr>
              <w:t>b 应描述污染源特征，如连续、间断、正常、事故等；涉及大气沉降途径的，应识别建设项目周边的土壤环境敏感目标</w:t>
            </w:r>
          </w:p>
        </w:tc>
      </w:tr>
    </w:tbl>
    <w:p w14:paraId="73436C74">
      <w:pPr>
        <w:ind w:firstLine="482"/>
        <w:rPr>
          <w:rFonts w:hAnsi="Times New Roman" w:cs="Times New Roman"/>
          <w:b/>
        </w:rPr>
      </w:pPr>
      <w:r>
        <w:rPr>
          <w:rFonts w:hint="eastAsia" w:hAnsi="Times New Roman" w:cs="Times New Roman"/>
          <w:b/>
        </w:rPr>
        <w:t>3</w:t>
      </w:r>
      <w:r>
        <w:rPr>
          <w:rFonts w:hAnsi="Times New Roman" w:cs="Times New Roman"/>
          <w:b/>
        </w:rPr>
        <w:t>、占地规模</w:t>
      </w:r>
    </w:p>
    <w:p w14:paraId="63A51D56">
      <w:pPr>
        <w:ind w:firstLine="480"/>
        <w:rPr>
          <w:rFonts w:hAnsi="Times New Roman" w:cs="Times New Roman"/>
        </w:rPr>
      </w:pPr>
      <w:r>
        <w:rPr>
          <w:rFonts w:hAnsi="Times New Roman" w:cs="Times New Roman"/>
        </w:rPr>
        <w:t>建设项目占地规模分为大型（≥50hm</w:t>
      </w:r>
      <w:r>
        <w:rPr>
          <w:rFonts w:hAnsi="Times New Roman" w:cs="Times New Roman"/>
          <w:vertAlign w:val="superscript"/>
        </w:rPr>
        <w:t>2</w:t>
      </w:r>
      <w:r>
        <w:rPr>
          <w:rFonts w:hAnsi="Times New Roman" w:cs="Times New Roman"/>
        </w:rPr>
        <w:t>）、中型（5～50hm</w:t>
      </w:r>
      <w:r>
        <w:rPr>
          <w:rFonts w:hAnsi="Times New Roman" w:cs="Times New Roman"/>
          <w:vertAlign w:val="superscript"/>
        </w:rPr>
        <w:t>2</w:t>
      </w:r>
      <w:r>
        <w:rPr>
          <w:rFonts w:hAnsi="Times New Roman" w:cs="Times New Roman"/>
        </w:rPr>
        <w:t>）、小型（≤5hm</w:t>
      </w:r>
      <w:r>
        <w:rPr>
          <w:rFonts w:hAnsi="Times New Roman" w:cs="Times New Roman"/>
          <w:vertAlign w:val="superscript"/>
        </w:rPr>
        <w:t>2</w:t>
      </w:r>
      <w:r>
        <w:rPr>
          <w:rFonts w:hAnsi="Times New Roman" w:cs="Times New Roman"/>
        </w:rPr>
        <w:t>）。本项目矿区面积11.01hm</w:t>
      </w:r>
      <w:r>
        <w:rPr>
          <w:rFonts w:hAnsi="Times New Roman" w:cs="Times New Roman"/>
          <w:vertAlign w:val="superscript"/>
        </w:rPr>
        <w:t>2</w:t>
      </w:r>
      <w:r>
        <w:rPr>
          <w:rFonts w:hAnsi="Times New Roman" w:cs="Times New Roman"/>
        </w:rPr>
        <w:t>，占地类型属于中型。</w:t>
      </w:r>
    </w:p>
    <w:p w14:paraId="544DC9A2">
      <w:pPr>
        <w:ind w:firstLine="482"/>
        <w:rPr>
          <w:rFonts w:hAnsi="Times New Roman" w:cs="Times New Roman"/>
          <w:b/>
        </w:rPr>
      </w:pPr>
      <w:r>
        <w:rPr>
          <w:rFonts w:hint="eastAsia" w:hAnsi="Times New Roman" w:cs="Times New Roman"/>
          <w:b/>
        </w:rPr>
        <w:t>4、</w:t>
      </w:r>
      <w:r>
        <w:rPr>
          <w:rFonts w:hAnsi="Times New Roman" w:cs="Times New Roman"/>
          <w:b/>
        </w:rPr>
        <w:t>敏感程度分级</w:t>
      </w:r>
    </w:p>
    <w:p w14:paraId="0A91F17E">
      <w:pPr>
        <w:ind w:firstLine="480"/>
        <w:rPr>
          <w:rFonts w:hAnsi="Times New Roman" w:cs="Times New Roman"/>
        </w:rPr>
      </w:pPr>
      <w:r>
        <w:rPr>
          <w:rFonts w:hAnsi="Times New Roman" w:cs="Times New Roman"/>
        </w:rPr>
        <w:t>建设项目所在地周边的土壤环境敏感程度可分为敏感、较敏感、不敏感三级，分级原则见表2.</w:t>
      </w:r>
      <w:r>
        <w:rPr>
          <w:rFonts w:hint="eastAsia" w:hAnsi="Times New Roman" w:cs="Times New Roman"/>
        </w:rPr>
        <w:t>5-13</w:t>
      </w:r>
      <w:r>
        <w:rPr>
          <w:rFonts w:hAnsi="Times New Roman" w:cs="Times New Roman"/>
        </w:rPr>
        <w:t>。</w:t>
      </w:r>
    </w:p>
    <w:p w14:paraId="224073B0">
      <w:pPr>
        <w:pStyle w:val="178"/>
      </w:pPr>
      <w:r>
        <w:t>表2.</w:t>
      </w:r>
      <w:r>
        <w:rPr>
          <w:rFonts w:hint="eastAsia"/>
        </w:rPr>
        <w:t>5-13</w:t>
      </w:r>
      <w:r>
        <w:t xml:space="preserve">  污染影响型敏感程度分级表</w:t>
      </w:r>
    </w:p>
    <w:tbl>
      <w:tblPr>
        <w:tblStyle w:val="36"/>
        <w:tblW w:w="8505" w:type="dxa"/>
        <w:jc w:val="center"/>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Layout w:type="autofit"/>
        <w:tblCellMar>
          <w:top w:w="0" w:type="dxa"/>
          <w:left w:w="108" w:type="dxa"/>
          <w:bottom w:w="0" w:type="dxa"/>
          <w:right w:w="108" w:type="dxa"/>
        </w:tblCellMar>
      </w:tblPr>
      <w:tblGrid>
        <w:gridCol w:w="1101"/>
        <w:gridCol w:w="7404"/>
      </w:tblGrid>
      <w:tr w14:paraId="679BCABC">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tblHeader/>
          <w:jc w:val="center"/>
        </w:trPr>
        <w:tc>
          <w:tcPr>
            <w:tcW w:w="647" w:type="pct"/>
            <w:vAlign w:val="center"/>
          </w:tcPr>
          <w:p w14:paraId="6AF6051F">
            <w:pPr>
              <w:pStyle w:val="179"/>
              <w:rPr>
                <w:rFonts w:cs="Times New Roman"/>
                <w:b/>
              </w:rPr>
            </w:pPr>
            <w:r>
              <w:rPr>
                <w:rFonts w:cs="Times New Roman"/>
                <w:b/>
              </w:rPr>
              <w:t>分级</w:t>
            </w:r>
          </w:p>
        </w:tc>
        <w:tc>
          <w:tcPr>
            <w:tcW w:w="4353" w:type="pct"/>
            <w:vAlign w:val="center"/>
          </w:tcPr>
          <w:p w14:paraId="1CF6875A">
            <w:pPr>
              <w:pStyle w:val="179"/>
              <w:rPr>
                <w:rFonts w:cs="Times New Roman"/>
                <w:b/>
              </w:rPr>
            </w:pPr>
            <w:r>
              <w:rPr>
                <w:rFonts w:cs="Times New Roman"/>
                <w:b/>
              </w:rPr>
              <w:t>项目场地的地下水环境敏感特征</w:t>
            </w:r>
          </w:p>
        </w:tc>
      </w:tr>
      <w:tr w14:paraId="4E764E52">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647" w:type="pct"/>
            <w:vAlign w:val="center"/>
          </w:tcPr>
          <w:p w14:paraId="7FCBDDE5">
            <w:pPr>
              <w:pStyle w:val="179"/>
              <w:rPr>
                <w:rFonts w:cs="Times New Roman"/>
              </w:rPr>
            </w:pPr>
            <w:r>
              <w:rPr>
                <w:rFonts w:cs="Times New Roman"/>
              </w:rPr>
              <w:t>敏感</w:t>
            </w:r>
          </w:p>
        </w:tc>
        <w:tc>
          <w:tcPr>
            <w:tcW w:w="4353" w:type="pct"/>
            <w:vAlign w:val="center"/>
          </w:tcPr>
          <w:p w14:paraId="2EE1B2C3">
            <w:pPr>
              <w:pStyle w:val="179"/>
              <w:rPr>
                <w:rFonts w:cs="Times New Roman"/>
              </w:rPr>
            </w:pPr>
            <w:r>
              <w:rPr>
                <w:rFonts w:cs="Times New Roman"/>
              </w:rPr>
              <w:t>建设项目周边存在耕地、园地、牧草地、饮用水水源地或居民区、学校、医院、疗养院、养老院等土壤环境敏感目标的</w:t>
            </w:r>
          </w:p>
        </w:tc>
      </w:tr>
      <w:tr w14:paraId="56B9237C">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647" w:type="pct"/>
            <w:vAlign w:val="center"/>
          </w:tcPr>
          <w:p w14:paraId="1A115461">
            <w:pPr>
              <w:pStyle w:val="179"/>
              <w:rPr>
                <w:rFonts w:cs="Times New Roman"/>
              </w:rPr>
            </w:pPr>
            <w:r>
              <w:rPr>
                <w:rFonts w:cs="Times New Roman"/>
              </w:rPr>
              <w:t>较敏感</w:t>
            </w:r>
          </w:p>
        </w:tc>
        <w:tc>
          <w:tcPr>
            <w:tcW w:w="4353" w:type="pct"/>
            <w:vAlign w:val="center"/>
          </w:tcPr>
          <w:p w14:paraId="030EE41A">
            <w:pPr>
              <w:pStyle w:val="179"/>
              <w:rPr>
                <w:rFonts w:cs="Times New Roman"/>
              </w:rPr>
            </w:pPr>
            <w:r>
              <w:rPr>
                <w:rFonts w:cs="Times New Roman"/>
              </w:rPr>
              <w:t>建设项目周边存在其他土壤环境敏感目标的</w:t>
            </w:r>
          </w:p>
        </w:tc>
      </w:tr>
      <w:tr w14:paraId="5D5F0719">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647" w:type="pct"/>
            <w:vAlign w:val="center"/>
          </w:tcPr>
          <w:p w14:paraId="66954340">
            <w:pPr>
              <w:pStyle w:val="179"/>
              <w:rPr>
                <w:rFonts w:cs="Times New Roman"/>
              </w:rPr>
            </w:pPr>
            <w:r>
              <w:rPr>
                <w:rFonts w:cs="Times New Roman"/>
              </w:rPr>
              <w:t>不敏感</w:t>
            </w:r>
          </w:p>
        </w:tc>
        <w:tc>
          <w:tcPr>
            <w:tcW w:w="4353" w:type="pct"/>
            <w:vAlign w:val="center"/>
          </w:tcPr>
          <w:p w14:paraId="5B8FC407">
            <w:pPr>
              <w:pStyle w:val="179"/>
              <w:rPr>
                <w:rFonts w:cs="Times New Roman"/>
              </w:rPr>
            </w:pPr>
            <w:r>
              <w:rPr>
                <w:rFonts w:cs="Times New Roman"/>
              </w:rPr>
              <w:t>其他情况</w:t>
            </w:r>
          </w:p>
        </w:tc>
      </w:tr>
    </w:tbl>
    <w:p w14:paraId="723B038B">
      <w:pPr>
        <w:ind w:firstLine="480"/>
        <w:rPr>
          <w:rFonts w:hAnsi="Times New Roman" w:eastAsia="宋体" w:cs="Times New Roman"/>
          <w:b/>
        </w:rPr>
      </w:pPr>
      <w:r>
        <w:rPr>
          <w:rFonts w:hAnsi="Times New Roman" w:cs="Times New Roman"/>
        </w:rPr>
        <w:t>矿区范围周边均为林地，距离项目边界外</w:t>
      </w:r>
      <w:r>
        <w:rPr>
          <w:rFonts w:hint="eastAsia" w:hAnsi="Times New Roman" w:cs="Times New Roman"/>
        </w:rPr>
        <w:t>20m有少量</w:t>
      </w:r>
      <w:r>
        <w:rPr>
          <w:rFonts w:cs="Times New Roman"/>
        </w:rPr>
        <w:t>耕地</w:t>
      </w:r>
      <w:r>
        <w:rPr>
          <w:rFonts w:hint="eastAsia" w:cs="Times New Roman"/>
        </w:rPr>
        <w:t>；</w:t>
      </w:r>
      <w:r>
        <w:rPr>
          <w:rFonts w:cs="Times New Roman"/>
        </w:rPr>
        <w:t>周围无园地、牧草地、饮用水水源地或居民区、学校、医院、疗养院、养老院等土壤环境敏感目标</w:t>
      </w:r>
      <w:r>
        <w:rPr>
          <w:rFonts w:hAnsi="Times New Roman" w:cs="Times New Roman"/>
        </w:rPr>
        <w:t>。项目涉及</w:t>
      </w:r>
      <w:r>
        <w:rPr>
          <w:rFonts w:cs="Times New Roman"/>
        </w:rPr>
        <w:t>耕地及</w:t>
      </w:r>
      <w:r>
        <w:rPr>
          <w:rFonts w:hAnsi="Times New Roman" w:cs="Times New Roman"/>
        </w:rPr>
        <w:t>生态保护红线，因此敏感程度为敏感。</w:t>
      </w:r>
    </w:p>
    <w:p w14:paraId="428061AC">
      <w:pPr>
        <w:ind w:firstLine="482"/>
        <w:rPr>
          <w:rFonts w:hAnsi="Times New Roman" w:cs="Times New Roman"/>
          <w:b/>
        </w:rPr>
      </w:pPr>
      <w:r>
        <w:rPr>
          <w:rFonts w:hAnsi="Times New Roman" w:eastAsia="宋体" w:cs="Times New Roman"/>
          <w:b/>
        </w:rPr>
        <w:t>（3）</w:t>
      </w:r>
      <w:r>
        <w:rPr>
          <w:rFonts w:hAnsi="Times New Roman" w:cs="Times New Roman"/>
          <w:b/>
        </w:rPr>
        <w:t>评价工作等级</w:t>
      </w:r>
    </w:p>
    <w:p w14:paraId="132C2505">
      <w:pPr>
        <w:ind w:firstLine="480"/>
        <w:rPr>
          <w:rFonts w:hAnsi="Times New Roman" w:cs="Times New Roman"/>
        </w:rPr>
      </w:pPr>
      <w:r>
        <w:rPr>
          <w:rFonts w:hAnsi="Times New Roman" w:cs="Times New Roman"/>
        </w:rPr>
        <w:t>按照导则要求项目为Ⅲ类项目，项目占地类型为中型，建设项目所在地敏感程度为敏感。综上，确定本项目土壤污染影响型评价等级为三级。</w:t>
      </w:r>
    </w:p>
    <w:p w14:paraId="757219F8">
      <w:pPr>
        <w:pStyle w:val="178"/>
      </w:pPr>
      <w:r>
        <w:t>表2.</w:t>
      </w:r>
      <w:r>
        <w:rPr>
          <w:rFonts w:hint="eastAsia"/>
        </w:rPr>
        <w:t>5-14</w:t>
      </w:r>
      <w:r>
        <w:t xml:space="preserve">  本项目土壤环境影响评价等级</w:t>
      </w:r>
    </w:p>
    <w:p w14:paraId="5F74F248">
      <w:pPr>
        <w:topLinePunct/>
        <w:spacing w:line="17" w:lineRule="exact"/>
        <w:ind w:firstLine="480"/>
        <w:rPr>
          <w:rFonts w:hAnsi="Times New Roman" w:cs="Times New Roman"/>
        </w:rPr>
      </w:pPr>
    </w:p>
    <w:tbl>
      <w:tblPr>
        <w:tblStyle w:val="36"/>
        <w:tblW w:w="8505" w:type="dxa"/>
        <w:jc w:val="center"/>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Layout w:type="autofit"/>
        <w:tblCellMar>
          <w:top w:w="0" w:type="dxa"/>
          <w:left w:w="108" w:type="dxa"/>
          <w:bottom w:w="0" w:type="dxa"/>
          <w:right w:w="108" w:type="dxa"/>
        </w:tblCellMar>
      </w:tblPr>
      <w:tblGrid>
        <w:gridCol w:w="2363"/>
        <w:gridCol w:w="682"/>
        <w:gridCol w:w="682"/>
        <w:gridCol w:w="684"/>
        <w:gridCol w:w="682"/>
        <w:gridCol w:w="684"/>
        <w:gridCol w:w="682"/>
        <w:gridCol w:w="684"/>
        <w:gridCol w:w="682"/>
        <w:gridCol w:w="680"/>
      </w:tblGrid>
      <w:tr w14:paraId="6590E1AD">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389" w:type="pct"/>
            <w:vMerge w:val="restart"/>
            <w:vAlign w:val="center"/>
          </w:tcPr>
          <w:p w14:paraId="30428037">
            <w:pPr>
              <w:pStyle w:val="179"/>
              <w:spacing w:line="360" w:lineRule="auto"/>
              <w:ind w:firstLine="1001" w:firstLineChars="475"/>
              <w:jc w:val="right"/>
              <w:rPr>
                <w:rFonts w:cs="Times New Roman"/>
                <w:b/>
                <w:bCs w:val="0"/>
              </w:rPr>
            </w:pPr>
            <w:r>
              <w:rPr>
                <w:rFonts w:cs="Times New Roman"/>
                <w:b/>
                <w:bCs w:val="0"/>
              </w:rPr>
              <w:pict>
                <v:shape id="_x0000_s1092" o:spid="_x0000_s1092" o:spt="32" type="#_x0000_t32" style="position:absolute;left:0pt;margin-left:51.9pt;margin-top:-0.25pt;height:54.45pt;width:61.05pt;z-index:251660288;mso-width-relative:page;mso-height-relative:page;" o:connectortype="straight" filled="f" coordsize="21600,21600">
                  <v:path arrowok="t"/>
                  <v:fill on="f" focussize="0,0"/>
                  <v:stroke/>
                  <v:imagedata o:title=""/>
                  <o:lock v:ext="edit"/>
                </v:shape>
              </w:pict>
            </w:r>
            <w:r>
              <w:rPr>
                <w:rFonts w:cs="Times New Roman"/>
                <w:b/>
              </w:rPr>
              <w:t>项目类别</w:t>
            </w:r>
          </w:p>
          <w:p w14:paraId="16681204">
            <w:pPr>
              <w:pStyle w:val="179"/>
              <w:spacing w:line="360" w:lineRule="auto"/>
              <w:ind w:firstLine="291" w:firstLineChars="138"/>
              <w:jc w:val="left"/>
              <w:rPr>
                <w:rFonts w:cs="Times New Roman"/>
                <w:b/>
              </w:rPr>
            </w:pPr>
            <w:r>
              <w:rPr>
                <w:rFonts w:cs="Times New Roman"/>
                <w:b/>
              </w:rPr>
              <w:pict>
                <v:shape id="_x0000_s1094" o:spid="_x0000_s1094" o:spt="32" type="#_x0000_t32" style="position:absolute;left:0pt;margin-left:-4.2pt;margin-top:12.5pt;height:21.05pt;width:117.4pt;z-index:251661312;mso-width-relative:page;mso-height-relative:page;" o:connectortype="straight" filled="f" coordsize="21600,21600">
                  <v:path arrowok="t"/>
                  <v:fill on="f" focussize="0,0"/>
                  <v:stroke/>
                  <v:imagedata o:title=""/>
                  <o:lock v:ext="edit"/>
                </v:shape>
              </w:pict>
            </w:r>
            <w:r>
              <w:rPr>
                <w:rFonts w:cs="Times New Roman"/>
                <w:b/>
              </w:rPr>
              <w:t>评价工作等级</w:t>
            </w:r>
          </w:p>
          <w:p w14:paraId="4CCB1FE6">
            <w:pPr>
              <w:pStyle w:val="179"/>
              <w:jc w:val="left"/>
              <w:rPr>
                <w:rFonts w:cs="Times New Roman"/>
                <w:b/>
              </w:rPr>
            </w:pPr>
            <w:r>
              <w:rPr>
                <w:rFonts w:cs="Times New Roman"/>
                <w:b/>
              </w:rPr>
              <w:t>敏感程度</w:t>
            </w:r>
          </w:p>
        </w:tc>
        <w:tc>
          <w:tcPr>
            <w:tcW w:w="1203" w:type="pct"/>
            <w:gridSpan w:val="3"/>
            <w:vAlign w:val="center"/>
          </w:tcPr>
          <w:p w14:paraId="7182DE6E">
            <w:pPr>
              <w:pStyle w:val="179"/>
              <w:rPr>
                <w:rFonts w:cs="Times New Roman"/>
                <w:b/>
              </w:rPr>
            </w:pPr>
            <w:r>
              <w:rPr>
                <w:rFonts w:cs="Times New Roman"/>
                <w:b/>
              </w:rPr>
              <w:t>I类项目</w:t>
            </w:r>
          </w:p>
        </w:tc>
        <w:tc>
          <w:tcPr>
            <w:tcW w:w="1203" w:type="pct"/>
            <w:gridSpan w:val="3"/>
            <w:vAlign w:val="center"/>
          </w:tcPr>
          <w:p w14:paraId="64F48220">
            <w:pPr>
              <w:pStyle w:val="179"/>
              <w:rPr>
                <w:rFonts w:cs="Times New Roman"/>
                <w:b/>
              </w:rPr>
            </w:pPr>
            <w:r>
              <w:rPr>
                <w:rFonts w:cs="Times New Roman"/>
                <w:b/>
              </w:rPr>
              <w:t>Ⅱ类项目</w:t>
            </w:r>
          </w:p>
        </w:tc>
        <w:tc>
          <w:tcPr>
            <w:tcW w:w="1204" w:type="pct"/>
            <w:gridSpan w:val="3"/>
            <w:vAlign w:val="center"/>
          </w:tcPr>
          <w:p w14:paraId="016A7A2A">
            <w:pPr>
              <w:pStyle w:val="179"/>
              <w:rPr>
                <w:rFonts w:cs="Times New Roman"/>
                <w:b/>
              </w:rPr>
            </w:pPr>
            <w:r>
              <w:rPr>
                <w:rFonts w:cs="Times New Roman"/>
                <w:b/>
              </w:rPr>
              <w:t>Ⅲ类项目</w:t>
            </w:r>
          </w:p>
        </w:tc>
      </w:tr>
      <w:tr w14:paraId="07E96772">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389" w:type="pct"/>
            <w:vMerge w:val="continue"/>
            <w:vAlign w:val="center"/>
          </w:tcPr>
          <w:p w14:paraId="6354C21D">
            <w:pPr>
              <w:pStyle w:val="179"/>
              <w:rPr>
                <w:rFonts w:cs="Times New Roman"/>
                <w:b/>
              </w:rPr>
            </w:pPr>
          </w:p>
        </w:tc>
        <w:tc>
          <w:tcPr>
            <w:tcW w:w="401" w:type="pct"/>
            <w:vAlign w:val="center"/>
          </w:tcPr>
          <w:p w14:paraId="40DD9F7D">
            <w:pPr>
              <w:pStyle w:val="179"/>
              <w:rPr>
                <w:rFonts w:cs="Times New Roman"/>
                <w:b/>
              </w:rPr>
            </w:pPr>
            <w:r>
              <w:rPr>
                <w:rFonts w:cs="Times New Roman"/>
                <w:b/>
              </w:rPr>
              <w:t>大</w:t>
            </w:r>
          </w:p>
        </w:tc>
        <w:tc>
          <w:tcPr>
            <w:tcW w:w="401" w:type="pct"/>
            <w:vAlign w:val="center"/>
          </w:tcPr>
          <w:p w14:paraId="73F2B58C">
            <w:pPr>
              <w:pStyle w:val="179"/>
              <w:rPr>
                <w:rFonts w:cs="Times New Roman"/>
                <w:b/>
              </w:rPr>
            </w:pPr>
            <w:r>
              <w:rPr>
                <w:rFonts w:cs="Times New Roman"/>
                <w:b/>
              </w:rPr>
              <w:t>中</w:t>
            </w:r>
          </w:p>
        </w:tc>
        <w:tc>
          <w:tcPr>
            <w:tcW w:w="402" w:type="pct"/>
            <w:vAlign w:val="center"/>
          </w:tcPr>
          <w:p w14:paraId="5E80F27D">
            <w:pPr>
              <w:pStyle w:val="179"/>
              <w:rPr>
                <w:rFonts w:cs="Times New Roman"/>
                <w:b/>
              </w:rPr>
            </w:pPr>
            <w:r>
              <w:rPr>
                <w:rFonts w:cs="Times New Roman"/>
                <w:b/>
              </w:rPr>
              <w:t>小</w:t>
            </w:r>
          </w:p>
        </w:tc>
        <w:tc>
          <w:tcPr>
            <w:tcW w:w="401" w:type="pct"/>
            <w:vAlign w:val="center"/>
          </w:tcPr>
          <w:p w14:paraId="7BFA843D">
            <w:pPr>
              <w:pStyle w:val="179"/>
              <w:rPr>
                <w:rFonts w:cs="Times New Roman"/>
                <w:b/>
              </w:rPr>
            </w:pPr>
            <w:r>
              <w:rPr>
                <w:rFonts w:cs="Times New Roman"/>
                <w:b/>
              </w:rPr>
              <w:t>大</w:t>
            </w:r>
          </w:p>
        </w:tc>
        <w:tc>
          <w:tcPr>
            <w:tcW w:w="402" w:type="pct"/>
            <w:vAlign w:val="center"/>
          </w:tcPr>
          <w:p w14:paraId="755D632A">
            <w:pPr>
              <w:pStyle w:val="179"/>
              <w:rPr>
                <w:rFonts w:cs="Times New Roman"/>
                <w:b/>
              </w:rPr>
            </w:pPr>
            <w:r>
              <w:rPr>
                <w:rFonts w:cs="Times New Roman"/>
                <w:b/>
              </w:rPr>
              <w:t>中</w:t>
            </w:r>
          </w:p>
        </w:tc>
        <w:tc>
          <w:tcPr>
            <w:tcW w:w="401" w:type="pct"/>
            <w:vAlign w:val="center"/>
          </w:tcPr>
          <w:p w14:paraId="0B444206">
            <w:pPr>
              <w:pStyle w:val="179"/>
              <w:rPr>
                <w:rFonts w:cs="Times New Roman"/>
                <w:b/>
              </w:rPr>
            </w:pPr>
            <w:r>
              <w:rPr>
                <w:rFonts w:cs="Times New Roman"/>
                <w:b/>
              </w:rPr>
              <w:t>小</w:t>
            </w:r>
          </w:p>
        </w:tc>
        <w:tc>
          <w:tcPr>
            <w:tcW w:w="402" w:type="pct"/>
            <w:vAlign w:val="center"/>
          </w:tcPr>
          <w:p w14:paraId="0DDA929D">
            <w:pPr>
              <w:pStyle w:val="179"/>
              <w:rPr>
                <w:rFonts w:cs="Times New Roman"/>
                <w:b/>
              </w:rPr>
            </w:pPr>
            <w:r>
              <w:rPr>
                <w:rFonts w:cs="Times New Roman"/>
                <w:b/>
              </w:rPr>
              <w:t>大</w:t>
            </w:r>
          </w:p>
        </w:tc>
        <w:tc>
          <w:tcPr>
            <w:tcW w:w="401" w:type="pct"/>
            <w:vAlign w:val="center"/>
          </w:tcPr>
          <w:p w14:paraId="63B464CB">
            <w:pPr>
              <w:pStyle w:val="179"/>
              <w:rPr>
                <w:rFonts w:cs="Times New Roman"/>
                <w:b/>
              </w:rPr>
            </w:pPr>
            <w:r>
              <w:rPr>
                <w:rFonts w:cs="Times New Roman"/>
                <w:b/>
              </w:rPr>
              <w:t>中</w:t>
            </w:r>
          </w:p>
        </w:tc>
        <w:tc>
          <w:tcPr>
            <w:tcW w:w="402" w:type="pct"/>
            <w:vAlign w:val="center"/>
          </w:tcPr>
          <w:p w14:paraId="77B81131">
            <w:pPr>
              <w:pStyle w:val="179"/>
              <w:rPr>
                <w:rFonts w:cs="Times New Roman"/>
                <w:b/>
              </w:rPr>
            </w:pPr>
            <w:r>
              <w:rPr>
                <w:rFonts w:cs="Times New Roman"/>
                <w:b/>
              </w:rPr>
              <w:t>小</w:t>
            </w:r>
          </w:p>
        </w:tc>
      </w:tr>
      <w:tr w14:paraId="41B5B3A4">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389" w:type="pct"/>
            <w:vAlign w:val="center"/>
          </w:tcPr>
          <w:p w14:paraId="32E2B0D3">
            <w:pPr>
              <w:pStyle w:val="179"/>
              <w:rPr>
                <w:rFonts w:cs="Times New Roman"/>
              </w:rPr>
            </w:pPr>
            <w:r>
              <w:rPr>
                <w:rFonts w:cs="Times New Roman"/>
              </w:rPr>
              <w:t>敏感</w:t>
            </w:r>
          </w:p>
        </w:tc>
        <w:tc>
          <w:tcPr>
            <w:tcW w:w="401" w:type="pct"/>
            <w:vAlign w:val="center"/>
          </w:tcPr>
          <w:p w14:paraId="1C1EB4D6">
            <w:pPr>
              <w:pStyle w:val="179"/>
              <w:rPr>
                <w:rFonts w:cs="Times New Roman"/>
              </w:rPr>
            </w:pPr>
            <w:r>
              <w:rPr>
                <w:rFonts w:cs="Times New Roman"/>
              </w:rPr>
              <w:t>一级</w:t>
            </w:r>
          </w:p>
        </w:tc>
        <w:tc>
          <w:tcPr>
            <w:tcW w:w="401" w:type="pct"/>
            <w:vAlign w:val="center"/>
          </w:tcPr>
          <w:p w14:paraId="2347224A">
            <w:pPr>
              <w:pStyle w:val="179"/>
              <w:rPr>
                <w:rFonts w:cs="Times New Roman"/>
              </w:rPr>
            </w:pPr>
            <w:r>
              <w:rPr>
                <w:rFonts w:cs="Times New Roman"/>
              </w:rPr>
              <w:t>一级</w:t>
            </w:r>
          </w:p>
        </w:tc>
        <w:tc>
          <w:tcPr>
            <w:tcW w:w="402" w:type="pct"/>
            <w:vAlign w:val="center"/>
          </w:tcPr>
          <w:p w14:paraId="7D94C34C">
            <w:pPr>
              <w:pStyle w:val="179"/>
              <w:rPr>
                <w:rFonts w:cs="Times New Roman"/>
              </w:rPr>
            </w:pPr>
            <w:r>
              <w:rPr>
                <w:rFonts w:cs="Times New Roman"/>
              </w:rPr>
              <w:t>一级</w:t>
            </w:r>
          </w:p>
        </w:tc>
        <w:tc>
          <w:tcPr>
            <w:tcW w:w="401" w:type="pct"/>
            <w:vAlign w:val="center"/>
          </w:tcPr>
          <w:p w14:paraId="0CEF1930">
            <w:pPr>
              <w:pStyle w:val="179"/>
              <w:rPr>
                <w:rFonts w:cs="Times New Roman"/>
              </w:rPr>
            </w:pPr>
            <w:r>
              <w:rPr>
                <w:rFonts w:cs="Times New Roman"/>
              </w:rPr>
              <w:t>二级</w:t>
            </w:r>
          </w:p>
        </w:tc>
        <w:tc>
          <w:tcPr>
            <w:tcW w:w="402" w:type="pct"/>
            <w:vAlign w:val="center"/>
          </w:tcPr>
          <w:p w14:paraId="608DCC18">
            <w:pPr>
              <w:pStyle w:val="179"/>
              <w:rPr>
                <w:rFonts w:cs="Times New Roman"/>
              </w:rPr>
            </w:pPr>
            <w:r>
              <w:rPr>
                <w:rFonts w:cs="Times New Roman"/>
              </w:rPr>
              <w:t>二级</w:t>
            </w:r>
          </w:p>
        </w:tc>
        <w:tc>
          <w:tcPr>
            <w:tcW w:w="401" w:type="pct"/>
            <w:vAlign w:val="center"/>
          </w:tcPr>
          <w:p w14:paraId="23704F3B">
            <w:pPr>
              <w:pStyle w:val="179"/>
              <w:rPr>
                <w:rFonts w:cs="Times New Roman"/>
              </w:rPr>
            </w:pPr>
            <w:r>
              <w:rPr>
                <w:rFonts w:cs="Times New Roman"/>
              </w:rPr>
              <w:t>二级</w:t>
            </w:r>
          </w:p>
        </w:tc>
        <w:tc>
          <w:tcPr>
            <w:tcW w:w="402" w:type="pct"/>
            <w:vAlign w:val="center"/>
          </w:tcPr>
          <w:p w14:paraId="08AA5D96">
            <w:pPr>
              <w:pStyle w:val="179"/>
              <w:rPr>
                <w:rFonts w:cs="Times New Roman"/>
              </w:rPr>
            </w:pPr>
            <w:r>
              <w:rPr>
                <w:rFonts w:cs="Times New Roman"/>
              </w:rPr>
              <w:t>三级</w:t>
            </w:r>
          </w:p>
        </w:tc>
        <w:tc>
          <w:tcPr>
            <w:tcW w:w="401" w:type="pct"/>
            <w:shd w:val="clear" w:color="auto" w:fill="FFFF00"/>
            <w:vAlign w:val="center"/>
          </w:tcPr>
          <w:p w14:paraId="049CB1CB">
            <w:pPr>
              <w:pStyle w:val="179"/>
              <w:rPr>
                <w:rFonts w:cs="Times New Roman"/>
              </w:rPr>
            </w:pPr>
            <w:r>
              <w:rPr>
                <w:rFonts w:cs="Times New Roman"/>
              </w:rPr>
              <w:t>三级</w:t>
            </w:r>
          </w:p>
        </w:tc>
        <w:tc>
          <w:tcPr>
            <w:tcW w:w="402" w:type="pct"/>
            <w:vAlign w:val="center"/>
          </w:tcPr>
          <w:p w14:paraId="46207216">
            <w:pPr>
              <w:pStyle w:val="179"/>
              <w:rPr>
                <w:rFonts w:cs="Times New Roman"/>
              </w:rPr>
            </w:pPr>
            <w:r>
              <w:rPr>
                <w:rFonts w:cs="Times New Roman"/>
              </w:rPr>
              <w:t>三级</w:t>
            </w:r>
          </w:p>
        </w:tc>
      </w:tr>
      <w:tr w14:paraId="352FC9F0">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389" w:type="pct"/>
            <w:vAlign w:val="center"/>
          </w:tcPr>
          <w:p w14:paraId="1F577626">
            <w:pPr>
              <w:pStyle w:val="179"/>
              <w:rPr>
                <w:rFonts w:cs="Times New Roman"/>
              </w:rPr>
            </w:pPr>
            <w:r>
              <w:rPr>
                <w:rFonts w:cs="Times New Roman"/>
              </w:rPr>
              <w:t>较敏感</w:t>
            </w:r>
          </w:p>
        </w:tc>
        <w:tc>
          <w:tcPr>
            <w:tcW w:w="401" w:type="pct"/>
            <w:vAlign w:val="center"/>
          </w:tcPr>
          <w:p w14:paraId="2B63E189">
            <w:pPr>
              <w:pStyle w:val="179"/>
              <w:rPr>
                <w:rFonts w:cs="Times New Roman"/>
              </w:rPr>
            </w:pPr>
            <w:r>
              <w:rPr>
                <w:rFonts w:cs="Times New Roman"/>
              </w:rPr>
              <w:t>一级</w:t>
            </w:r>
          </w:p>
        </w:tc>
        <w:tc>
          <w:tcPr>
            <w:tcW w:w="401" w:type="pct"/>
            <w:vAlign w:val="center"/>
          </w:tcPr>
          <w:p w14:paraId="10A26AC1">
            <w:pPr>
              <w:pStyle w:val="179"/>
              <w:rPr>
                <w:rFonts w:cs="Times New Roman"/>
              </w:rPr>
            </w:pPr>
            <w:r>
              <w:rPr>
                <w:rFonts w:cs="Times New Roman"/>
              </w:rPr>
              <w:t>一级</w:t>
            </w:r>
          </w:p>
        </w:tc>
        <w:tc>
          <w:tcPr>
            <w:tcW w:w="402" w:type="pct"/>
            <w:vAlign w:val="center"/>
          </w:tcPr>
          <w:p w14:paraId="21C3FA50">
            <w:pPr>
              <w:pStyle w:val="179"/>
              <w:rPr>
                <w:rFonts w:cs="Times New Roman"/>
              </w:rPr>
            </w:pPr>
            <w:r>
              <w:rPr>
                <w:rFonts w:cs="Times New Roman"/>
              </w:rPr>
              <w:t>二级</w:t>
            </w:r>
          </w:p>
        </w:tc>
        <w:tc>
          <w:tcPr>
            <w:tcW w:w="401" w:type="pct"/>
            <w:vAlign w:val="center"/>
          </w:tcPr>
          <w:p w14:paraId="7A693565">
            <w:pPr>
              <w:pStyle w:val="179"/>
              <w:rPr>
                <w:rFonts w:cs="Times New Roman"/>
              </w:rPr>
            </w:pPr>
            <w:r>
              <w:rPr>
                <w:rFonts w:cs="Times New Roman"/>
              </w:rPr>
              <w:t>二级</w:t>
            </w:r>
          </w:p>
        </w:tc>
        <w:tc>
          <w:tcPr>
            <w:tcW w:w="402" w:type="pct"/>
            <w:vAlign w:val="center"/>
          </w:tcPr>
          <w:p w14:paraId="0A607E5C">
            <w:pPr>
              <w:pStyle w:val="179"/>
              <w:rPr>
                <w:rFonts w:cs="Times New Roman"/>
              </w:rPr>
            </w:pPr>
            <w:r>
              <w:rPr>
                <w:rFonts w:cs="Times New Roman"/>
              </w:rPr>
              <w:t>二级</w:t>
            </w:r>
          </w:p>
        </w:tc>
        <w:tc>
          <w:tcPr>
            <w:tcW w:w="401" w:type="pct"/>
            <w:vAlign w:val="center"/>
          </w:tcPr>
          <w:p w14:paraId="02BF7C82">
            <w:pPr>
              <w:pStyle w:val="179"/>
              <w:rPr>
                <w:rFonts w:cs="Times New Roman"/>
              </w:rPr>
            </w:pPr>
            <w:r>
              <w:rPr>
                <w:rFonts w:cs="Times New Roman"/>
              </w:rPr>
              <w:t>三级</w:t>
            </w:r>
          </w:p>
        </w:tc>
        <w:tc>
          <w:tcPr>
            <w:tcW w:w="402" w:type="pct"/>
            <w:vAlign w:val="center"/>
          </w:tcPr>
          <w:p w14:paraId="5FB69A74">
            <w:pPr>
              <w:pStyle w:val="179"/>
              <w:rPr>
                <w:rFonts w:cs="Times New Roman"/>
              </w:rPr>
            </w:pPr>
            <w:r>
              <w:rPr>
                <w:rFonts w:cs="Times New Roman"/>
              </w:rPr>
              <w:t>三级</w:t>
            </w:r>
          </w:p>
        </w:tc>
        <w:tc>
          <w:tcPr>
            <w:tcW w:w="401" w:type="pct"/>
            <w:shd w:val="clear" w:color="auto" w:fill="auto"/>
            <w:vAlign w:val="center"/>
          </w:tcPr>
          <w:p w14:paraId="05FEA385">
            <w:pPr>
              <w:pStyle w:val="179"/>
              <w:rPr>
                <w:rFonts w:cs="Times New Roman"/>
              </w:rPr>
            </w:pPr>
            <w:r>
              <w:rPr>
                <w:rFonts w:cs="Times New Roman"/>
              </w:rPr>
              <w:t>三级</w:t>
            </w:r>
          </w:p>
        </w:tc>
        <w:tc>
          <w:tcPr>
            <w:tcW w:w="402" w:type="pct"/>
            <w:vAlign w:val="center"/>
          </w:tcPr>
          <w:p w14:paraId="45D5F9FF">
            <w:pPr>
              <w:pStyle w:val="179"/>
              <w:rPr>
                <w:rFonts w:cs="Times New Roman"/>
              </w:rPr>
            </w:pPr>
            <w:r>
              <w:rPr>
                <w:rFonts w:cs="Times New Roman"/>
              </w:rPr>
              <w:t>-</w:t>
            </w:r>
          </w:p>
        </w:tc>
      </w:tr>
      <w:tr w14:paraId="1C52F4B8">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389" w:type="pct"/>
            <w:vAlign w:val="center"/>
          </w:tcPr>
          <w:p w14:paraId="4EA90F47">
            <w:pPr>
              <w:pStyle w:val="179"/>
              <w:rPr>
                <w:rFonts w:cs="Times New Roman"/>
              </w:rPr>
            </w:pPr>
            <w:r>
              <w:rPr>
                <w:rFonts w:cs="Times New Roman"/>
              </w:rPr>
              <w:t>不敏感</w:t>
            </w:r>
          </w:p>
        </w:tc>
        <w:tc>
          <w:tcPr>
            <w:tcW w:w="401" w:type="pct"/>
            <w:vAlign w:val="center"/>
          </w:tcPr>
          <w:p w14:paraId="69D3AF23">
            <w:pPr>
              <w:pStyle w:val="179"/>
              <w:rPr>
                <w:rFonts w:cs="Times New Roman"/>
              </w:rPr>
            </w:pPr>
            <w:r>
              <w:rPr>
                <w:rFonts w:cs="Times New Roman"/>
              </w:rPr>
              <w:t>一级</w:t>
            </w:r>
          </w:p>
        </w:tc>
        <w:tc>
          <w:tcPr>
            <w:tcW w:w="401" w:type="pct"/>
            <w:vAlign w:val="center"/>
          </w:tcPr>
          <w:p w14:paraId="17C20AE2">
            <w:pPr>
              <w:pStyle w:val="179"/>
              <w:rPr>
                <w:rFonts w:cs="Times New Roman"/>
              </w:rPr>
            </w:pPr>
            <w:r>
              <w:rPr>
                <w:rFonts w:cs="Times New Roman"/>
              </w:rPr>
              <w:t>二级</w:t>
            </w:r>
          </w:p>
        </w:tc>
        <w:tc>
          <w:tcPr>
            <w:tcW w:w="402" w:type="pct"/>
            <w:vAlign w:val="center"/>
          </w:tcPr>
          <w:p w14:paraId="47CF330C">
            <w:pPr>
              <w:pStyle w:val="179"/>
              <w:rPr>
                <w:rFonts w:cs="Times New Roman"/>
              </w:rPr>
            </w:pPr>
            <w:r>
              <w:rPr>
                <w:rFonts w:cs="Times New Roman"/>
              </w:rPr>
              <w:t>二级</w:t>
            </w:r>
          </w:p>
        </w:tc>
        <w:tc>
          <w:tcPr>
            <w:tcW w:w="401" w:type="pct"/>
            <w:vAlign w:val="center"/>
          </w:tcPr>
          <w:p w14:paraId="4CE7D849">
            <w:pPr>
              <w:pStyle w:val="179"/>
              <w:rPr>
                <w:rFonts w:cs="Times New Roman"/>
              </w:rPr>
            </w:pPr>
            <w:r>
              <w:rPr>
                <w:rFonts w:cs="Times New Roman"/>
              </w:rPr>
              <w:t>二级</w:t>
            </w:r>
          </w:p>
        </w:tc>
        <w:tc>
          <w:tcPr>
            <w:tcW w:w="402" w:type="pct"/>
            <w:vAlign w:val="center"/>
          </w:tcPr>
          <w:p w14:paraId="5C568182">
            <w:pPr>
              <w:pStyle w:val="179"/>
              <w:rPr>
                <w:rFonts w:cs="Times New Roman"/>
              </w:rPr>
            </w:pPr>
            <w:r>
              <w:rPr>
                <w:rFonts w:cs="Times New Roman"/>
              </w:rPr>
              <w:t>三级</w:t>
            </w:r>
          </w:p>
        </w:tc>
        <w:tc>
          <w:tcPr>
            <w:tcW w:w="401" w:type="pct"/>
            <w:vAlign w:val="center"/>
          </w:tcPr>
          <w:p w14:paraId="40A1B77D">
            <w:pPr>
              <w:pStyle w:val="179"/>
              <w:rPr>
                <w:rFonts w:cs="Times New Roman"/>
              </w:rPr>
            </w:pPr>
            <w:r>
              <w:rPr>
                <w:rFonts w:cs="Times New Roman"/>
              </w:rPr>
              <w:t>三级</w:t>
            </w:r>
          </w:p>
        </w:tc>
        <w:tc>
          <w:tcPr>
            <w:tcW w:w="402" w:type="pct"/>
            <w:vAlign w:val="center"/>
          </w:tcPr>
          <w:p w14:paraId="68112849">
            <w:pPr>
              <w:pStyle w:val="179"/>
              <w:rPr>
                <w:rFonts w:cs="Times New Roman"/>
              </w:rPr>
            </w:pPr>
            <w:r>
              <w:rPr>
                <w:rFonts w:cs="Times New Roman"/>
              </w:rPr>
              <w:t>三级</w:t>
            </w:r>
          </w:p>
        </w:tc>
        <w:tc>
          <w:tcPr>
            <w:tcW w:w="401" w:type="pct"/>
            <w:vAlign w:val="center"/>
          </w:tcPr>
          <w:p w14:paraId="550EF93E">
            <w:pPr>
              <w:pStyle w:val="179"/>
              <w:rPr>
                <w:rFonts w:cs="Times New Roman"/>
              </w:rPr>
            </w:pPr>
            <w:r>
              <w:rPr>
                <w:rFonts w:cs="Times New Roman"/>
              </w:rPr>
              <w:t>-</w:t>
            </w:r>
          </w:p>
        </w:tc>
        <w:tc>
          <w:tcPr>
            <w:tcW w:w="402" w:type="pct"/>
            <w:vAlign w:val="center"/>
          </w:tcPr>
          <w:p w14:paraId="66582136">
            <w:pPr>
              <w:pStyle w:val="179"/>
              <w:rPr>
                <w:rFonts w:cs="Times New Roman"/>
              </w:rPr>
            </w:pPr>
            <w:r>
              <w:rPr>
                <w:rFonts w:cs="Times New Roman"/>
              </w:rPr>
              <w:t>-</w:t>
            </w:r>
          </w:p>
        </w:tc>
      </w:tr>
      <w:bookmarkEnd w:id="88"/>
      <w:bookmarkEnd w:id="89"/>
      <w:bookmarkEnd w:id="90"/>
      <w:bookmarkEnd w:id="91"/>
      <w:bookmarkEnd w:id="92"/>
      <w:bookmarkEnd w:id="93"/>
      <w:bookmarkEnd w:id="94"/>
      <w:bookmarkEnd w:id="95"/>
      <w:bookmarkEnd w:id="96"/>
    </w:tbl>
    <w:p w14:paraId="239F93DE">
      <w:pPr>
        <w:ind w:firstLine="480"/>
        <w:rPr>
          <w:rFonts w:hAnsi="Times New Roman" w:cs="Times New Roman"/>
        </w:rPr>
      </w:pPr>
      <w:r>
        <w:rPr>
          <w:rFonts w:hAnsi="Times New Roman" w:cs="Times New Roman"/>
        </w:rPr>
        <w:t>综上，项目土壤评价等级为三级。</w:t>
      </w:r>
    </w:p>
    <w:p w14:paraId="4E46B798">
      <w:pPr>
        <w:pStyle w:val="3"/>
        <w:spacing w:before="180" w:after="120"/>
        <w:rPr>
          <w:rFonts w:cs="Times New Roman"/>
          <w:bCs/>
        </w:rPr>
      </w:pPr>
      <w:bookmarkStart w:id="100" w:name="_Toc234927687"/>
      <w:r>
        <w:rPr>
          <w:rFonts w:cs="Times New Roman"/>
        </w:rPr>
        <w:t>评价范围</w:t>
      </w:r>
      <w:bookmarkEnd w:id="100"/>
    </w:p>
    <w:p w14:paraId="5E9071CA">
      <w:pPr>
        <w:ind w:firstLine="480"/>
        <w:rPr>
          <w:rFonts w:hAnsi="Times New Roman" w:cs="Times New Roman"/>
        </w:rPr>
      </w:pPr>
      <w:r>
        <w:rPr>
          <w:rFonts w:hAnsi="Times New Roman" w:cs="Times New Roman"/>
        </w:rPr>
        <w:t>根据工程特征与环境现状确定该项目评价范围见表2.</w:t>
      </w:r>
      <w:r>
        <w:rPr>
          <w:rFonts w:hint="eastAsia" w:hAnsi="Times New Roman" w:cs="Times New Roman"/>
        </w:rPr>
        <w:t>6</w:t>
      </w:r>
      <w:r>
        <w:rPr>
          <w:rFonts w:hAnsi="Times New Roman" w:cs="Times New Roman"/>
        </w:rPr>
        <w:t>-1。</w:t>
      </w:r>
    </w:p>
    <w:p w14:paraId="78D770EE">
      <w:pPr>
        <w:pStyle w:val="178"/>
        <w:rPr>
          <w:rFonts w:ascii="Times New Roman" w:hAnsi="Times New Roman"/>
        </w:rPr>
      </w:pPr>
      <w:r>
        <w:rPr>
          <w:rFonts w:ascii="Times New Roman" w:hAnsi="Times New Roman"/>
        </w:rPr>
        <w:t>表2.</w:t>
      </w:r>
      <w:r>
        <w:rPr>
          <w:rFonts w:hint="eastAsia" w:ascii="Times New Roman" w:hAnsi="Times New Roman"/>
        </w:rPr>
        <w:t>6</w:t>
      </w:r>
      <w:r>
        <w:rPr>
          <w:rFonts w:ascii="Times New Roman" w:hAnsi="Times New Roman"/>
        </w:rPr>
        <w:t>-1  工程评价范围表</w:t>
      </w:r>
    </w:p>
    <w:tbl>
      <w:tblPr>
        <w:tblStyle w:val="36"/>
        <w:tblW w:w="8505" w:type="dxa"/>
        <w:jc w:val="center"/>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Layout w:type="autofit"/>
        <w:tblCellMar>
          <w:top w:w="0" w:type="dxa"/>
          <w:left w:w="57" w:type="dxa"/>
          <w:bottom w:w="0" w:type="dxa"/>
          <w:right w:w="57" w:type="dxa"/>
        </w:tblCellMar>
      </w:tblPr>
      <w:tblGrid>
        <w:gridCol w:w="1088"/>
        <w:gridCol w:w="5105"/>
        <w:gridCol w:w="2312"/>
      </w:tblGrid>
      <w:tr w14:paraId="482DA1A0">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40" w:hRule="atLeast"/>
          <w:tblHeader/>
          <w:jc w:val="center"/>
        </w:trPr>
        <w:tc>
          <w:tcPr>
            <w:tcW w:w="640" w:type="pct"/>
            <w:vAlign w:val="center"/>
          </w:tcPr>
          <w:p w14:paraId="21CC0C59">
            <w:pPr>
              <w:pStyle w:val="179"/>
              <w:rPr>
                <w:rFonts w:cs="Times New Roman"/>
                <w:b/>
              </w:rPr>
            </w:pPr>
            <w:r>
              <w:rPr>
                <w:rFonts w:cs="Times New Roman"/>
                <w:b/>
              </w:rPr>
              <w:t>评价因子</w:t>
            </w:r>
          </w:p>
        </w:tc>
        <w:tc>
          <w:tcPr>
            <w:tcW w:w="3001" w:type="pct"/>
            <w:vAlign w:val="center"/>
          </w:tcPr>
          <w:p w14:paraId="67053C86">
            <w:pPr>
              <w:pStyle w:val="179"/>
              <w:rPr>
                <w:rFonts w:cs="Times New Roman"/>
                <w:b/>
              </w:rPr>
            </w:pPr>
            <w:r>
              <w:rPr>
                <w:rFonts w:cs="Times New Roman"/>
                <w:b/>
              </w:rPr>
              <w:t>评价依据</w:t>
            </w:r>
          </w:p>
        </w:tc>
        <w:tc>
          <w:tcPr>
            <w:tcW w:w="1359" w:type="pct"/>
            <w:vAlign w:val="center"/>
          </w:tcPr>
          <w:p w14:paraId="68E92774">
            <w:pPr>
              <w:pStyle w:val="179"/>
              <w:rPr>
                <w:rFonts w:cs="Times New Roman"/>
                <w:b/>
              </w:rPr>
            </w:pPr>
            <w:r>
              <w:rPr>
                <w:rFonts w:cs="Times New Roman"/>
                <w:b/>
              </w:rPr>
              <w:t>评价范围</w:t>
            </w:r>
          </w:p>
        </w:tc>
      </w:tr>
      <w:tr w14:paraId="029E64B6">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40" w:hRule="atLeast"/>
          <w:jc w:val="center"/>
        </w:trPr>
        <w:tc>
          <w:tcPr>
            <w:tcW w:w="640" w:type="pct"/>
            <w:vAlign w:val="center"/>
          </w:tcPr>
          <w:p w14:paraId="6058A7F8">
            <w:pPr>
              <w:pStyle w:val="179"/>
              <w:rPr>
                <w:rFonts w:cs="Times New Roman"/>
              </w:rPr>
            </w:pPr>
            <w:r>
              <w:rPr>
                <w:rFonts w:cs="Times New Roman"/>
              </w:rPr>
              <w:t>环境空气</w:t>
            </w:r>
          </w:p>
        </w:tc>
        <w:tc>
          <w:tcPr>
            <w:tcW w:w="3001" w:type="pct"/>
            <w:vAlign w:val="center"/>
          </w:tcPr>
          <w:p w14:paraId="39115EE5">
            <w:pPr>
              <w:pStyle w:val="179"/>
              <w:jc w:val="both"/>
              <w:rPr>
                <w:rFonts w:cs="Times New Roman"/>
              </w:rPr>
            </w:pPr>
            <w:r>
              <w:rPr>
                <w:rFonts w:cs="Times New Roman"/>
              </w:rPr>
              <w:t>二级评价项目大气环境影响评价范围边长取</w:t>
            </w:r>
            <w:r>
              <w:rPr>
                <w:rFonts w:hint="eastAsia" w:cs="Times New Roman"/>
              </w:rPr>
              <w:t>5km</w:t>
            </w:r>
          </w:p>
        </w:tc>
        <w:tc>
          <w:tcPr>
            <w:tcW w:w="1359" w:type="pct"/>
            <w:vAlign w:val="center"/>
          </w:tcPr>
          <w:p w14:paraId="135A6432">
            <w:pPr>
              <w:pStyle w:val="179"/>
              <w:rPr>
                <w:rFonts w:cs="Times New Roman"/>
              </w:rPr>
            </w:pPr>
            <w:r>
              <w:rPr>
                <w:rFonts w:cs="Times New Roman"/>
              </w:rPr>
              <w:t>项目为二级评价，评价范围为以采区为中心，边长为5km的矩形区域</w:t>
            </w:r>
          </w:p>
        </w:tc>
      </w:tr>
      <w:tr w14:paraId="48A1E5C4">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40" w:hRule="atLeast"/>
          <w:jc w:val="center"/>
        </w:trPr>
        <w:tc>
          <w:tcPr>
            <w:tcW w:w="640" w:type="pct"/>
            <w:vAlign w:val="center"/>
          </w:tcPr>
          <w:p w14:paraId="6C466470">
            <w:pPr>
              <w:pStyle w:val="179"/>
              <w:rPr>
                <w:rFonts w:cs="Times New Roman"/>
              </w:rPr>
            </w:pPr>
            <w:r>
              <w:rPr>
                <w:rFonts w:cs="Times New Roman"/>
              </w:rPr>
              <w:t>噪声</w:t>
            </w:r>
          </w:p>
        </w:tc>
        <w:tc>
          <w:tcPr>
            <w:tcW w:w="3001" w:type="pct"/>
            <w:vAlign w:val="center"/>
          </w:tcPr>
          <w:p w14:paraId="02CE3000">
            <w:pPr>
              <w:pStyle w:val="179"/>
              <w:jc w:val="both"/>
              <w:rPr>
                <w:rFonts w:cs="Times New Roman"/>
              </w:rPr>
            </w:pPr>
            <w:r>
              <w:rPr>
                <w:rFonts w:cs="Times New Roman"/>
              </w:rPr>
              <w:t>a）满足一级评价的要求，一般以建设项目边界向外200 m为评价范围；</w:t>
            </w:r>
          </w:p>
          <w:p w14:paraId="344E6B9E">
            <w:pPr>
              <w:pStyle w:val="179"/>
              <w:jc w:val="both"/>
              <w:rPr>
                <w:rFonts w:cs="Times New Roman"/>
              </w:rPr>
            </w:pPr>
            <w:r>
              <w:rPr>
                <w:rFonts w:cs="Times New Roman"/>
              </w:rPr>
              <w:t xml:space="preserve">b）二级、三级评价范围可根据建设项目所在区域和相邻区域的声环境功能区类别及声环境保护目标等实际情况适当缩小； </w:t>
            </w:r>
          </w:p>
        </w:tc>
        <w:tc>
          <w:tcPr>
            <w:tcW w:w="1359" w:type="pct"/>
            <w:vAlign w:val="center"/>
          </w:tcPr>
          <w:p w14:paraId="1C71D365">
            <w:pPr>
              <w:pStyle w:val="179"/>
              <w:rPr>
                <w:rFonts w:cs="Times New Roman"/>
              </w:rPr>
            </w:pPr>
            <w:r>
              <w:rPr>
                <w:rFonts w:cs="Times New Roman"/>
              </w:rPr>
              <w:t>项目为二级评价，以采区厂界外200m为评价范围</w:t>
            </w:r>
          </w:p>
        </w:tc>
      </w:tr>
      <w:tr w14:paraId="19F0993E">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40" w:hRule="atLeast"/>
          <w:jc w:val="center"/>
        </w:trPr>
        <w:tc>
          <w:tcPr>
            <w:tcW w:w="640" w:type="pct"/>
            <w:vAlign w:val="center"/>
          </w:tcPr>
          <w:p w14:paraId="37C849CB">
            <w:pPr>
              <w:pStyle w:val="179"/>
              <w:rPr>
                <w:rFonts w:cs="Times New Roman"/>
              </w:rPr>
            </w:pPr>
            <w:r>
              <w:rPr>
                <w:rFonts w:cs="Times New Roman"/>
              </w:rPr>
              <w:t>生态环境</w:t>
            </w:r>
          </w:p>
        </w:tc>
        <w:tc>
          <w:tcPr>
            <w:tcW w:w="3001" w:type="pct"/>
            <w:vAlign w:val="center"/>
          </w:tcPr>
          <w:p w14:paraId="13BC8DD8">
            <w:pPr>
              <w:pStyle w:val="179"/>
              <w:jc w:val="both"/>
              <w:rPr>
                <w:rFonts w:cs="Times New Roman"/>
              </w:rPr>
            </w:pPr>
            <w:r>
              <w:rPr>
                <w:rFonts w:cs="Times New Roman"/>
              </w:rPr>
              <w:t>生态影响评价应能够充分体现生态完整性和生物多样性保护要求，涵盖评价项目全部活动的直接影响区域和间接影响区域。评价范围应依据评价项目对生态因子的影响方式、影响程度和生态因子之间的相互影响和相互依存关系确定。可综合考虑评价项目与项目区的气候过程、水文过程、生物过程等生物地球化学循环过程的相互作用关系，以评价项目影响区域所涉及的完整气候单元、水文单元、生态单元、地理单元界限为参照边界。</w:t>
            </w:r>
          </w:p>
          <w:p w14:paraId="6EC8D53A">
            <w:pPr>
              <w:pStyle w:val="179"/>
              <w:jc w:val="both"/>
              <w:rPr>
                <w:rFonts w:cs="Times New Roman"/>
              </w:rPr>
            </w:pPr>
            <w:r>
              <w:rPr>
                <w:rFonts w:cs="Times New Roman"/>
              </w:rPr>
              <w:t>矿山开采项目评价范围应涵盖开采区及其影响范围、各类场地及运输系统占地以及施工临时占地范围等。</w:t>
            </w:r>
          </w:p>
        </w:tc>
        <w:tc>
          <w:tcPr>
            <w:tcW w:w="1359" w:type="pct"/>
            <w:vAlign w:val="center"/>
          </w:tcPr>
          <w:p w14:paraId="165DD3BA">
            <w:pPr>
              <w:pStyle w:val="179"/>
              <w:rPr>
                <w:rFonts w:cs="Times New Roman"/>
              </w:rPr>
            </w:pPr>
            <w:r>
              <w:rPr>
                <w:rFonts w:hint="eastAsia" w:cs="Times New Roman"/>
              </w:rPr>
              <w:t>根据本工程的建设内容、工艺特点以及沿线地区的生态现状及环境特点，确定本项目评价范围为矿区范围外延</w:t>
            </w:r>
            <w:r>
              <w:rPr>
                <w:rFonts w:cs="Times New Roman"/>
              </w:rPr>
              <w:t>1km</w:t>
            </w:r>
            <w:r>
              <w:rPr>
                <w:rFonts w:hint="eastAsia" w:cs="Times New Roman"/>
              </w:rPr>
              <w:t>，评价范围面积502.03</w:t>
            </w:r>
            <w:r>
              <w:rPr>
                <w:rFonts w:cs="Times New Roman"/>
              </w:rPr>
              <w:t>hm</w:t>
            </w:r>
            <w:r>
              <w:rPr>
                <w:rFonts w:cs="Times New Roman"/>
                <w:vertAlign w:val="superscript"/>
              </w:rPr>
              <w:t>2</w:t>
            </w:r>
          </w:p>
        </w:tc>
      </w:tr>
      <w:tr w14:paraId="4EE31C7B">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40" w:hRule="atLeast"/>
          <w:jc w:val="center"/>
        </w:trPr>
        <w:tc>
          <w:tcPr>
            <w:tcW w:w="640" w:type="pct"/>
            <w:vAlign w:val="center"/>
          </w:tcPr>
          <w:p w14:paraId="20948DB9">
            <w:pPr>
              <w:pStyle w:val="179"/>
              <w:rPr>
                <w:rFonts w:cs="Times New Roman"/>
              </w:rPr>
            </w:pPr>
            <w:r>
              <w:rPr>
                <w:rFonts w:cs="Times New Roman"/>
              </w:rPr>
              <w:t>土壤环境</w:t>
            </w:r>
          </w:p>
        </w:tc>
        <w:tc>
          <w:tcPr>
            <w:tcW w:w="3001" w:type="pct"/>
            <w:vAlign w:val="center"/>
          </w:tcPr>
          <w:p w14:paraId="50EFB62F">
            <w:pPr>
              <w:pStyle w:val="179"/>
              <w:jc w:val="both"/>
              <w:rPr>
                <w:rFonts w:cs="Times New Roman"/>
              </w:rPr>
            </w:pPr>
            <w:r>
              <w:rPr>
                <w:rFonts w:cs="Times New Roman"/>
              </w:rPr>
              <w:t>三级评价，污染影响型，</w:t>
            </w:r>
            <w:r>
              <w:rPr>
                <w:rFonts w:hint="eastAsia" w:cs="Times New Roman"/>
              </w:rPr>
              <w:t>调查</w:t>
            </w:r>
            <w:r>
              <w:rPr>
                <w:rFonts w:cs="Times New Roman"/>
              </w:rPr>
              <w:t>范围为占地</w:t>
            </w:r>
            <w:r>
              <w:rPr>
                <w:rFonts w:cs="Times New Roman"/>
                <w:vertAlign w:val="superscript"/>
              </w:rPr>
              <w:t>a</w:t>
            </w:r>
            <w:r>
              <w:rPr>
                <w:rFonts w:cs="Times New Roman"/>
              </w:rPr>
              <w:t>范围内全部及占地范围外</w:t>
            </w:r>
            <w:r>
              <w:rPr>
                <w:rFonts w:hint="eastAsia" w:cs="Times New Roman"/>
              </w:rPr>
              <w:t>0.05km范围内。</w:t>
            </w:r>
          </w:p>
          <w:p w14:paraId="67AC92B1">
            <w:pPr>
              <w:pStyle w:val="179"/>
              <w:jc w:val="both"/>
              <w:rPr>
                <w:rFonts w:cs="Times New Roman"/>
              </w:rPr>
            </w:pPr>
            <w:r>
              <w:rPr>
                <w:rFonts w:cs="Times New Roman"/>
                <w:vertAlign w:val="superscript"/>
              </w:rPr>
              <w:t>a</w:t>
            </w:r>
            <w:r>
              <w:rPr>
                <w:rFonts w:hint="eastAsia" w:cs="Times New Roman"/>
              </w:rPr>
              <w:t>矿山类项目指开采区与各场地的占地；</w:t>
            </w:r>
            <w:r>
              <w:rPr>
                <w:rFonts w:cs="Times New Roman"/>
              </w:rPr>
              <w:t>改、扩建类的指现有工程与拟建工程的占地。</w:t>
            </w:r>
          </w:p>
        </w:tc>
        <w:tc>
          <w:tcPr>
            <w:tcW w:w="1359" w:type="pct"/>
            <w:vAlign w:val="center"/>
          </w:tcPr>
          <w:p w14:paraId="17985E99">
            <w:pPr>
              <w:pStyle w:val="179"/>
              <w:rPr>
                <w:rFonts w:cs="Times New Roman"/>
              </w:rPr>
            </w:pPr>
            <w:r>
              <w:rPr>
                <w:rFonts w:cs="Times New Roman"/>
              </w:rPr>
              <w:t>工程占地范围边界外扩50m</w:t>
            </w:r>
          </w:p>
        </w:tc>
      </w:tr>
      <w:tr w14:paraId="44928CC4">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40" w:hRule="atLeast"/>
          <w:jc w:val="center"/>
        </w:trPr>
        <w:tc>
          <w:tcPr>
            <w:tcW w:w="640" w:type="pct"/>
            <w:vAlign w:val="center"/>
          </w:tcPr>
          <w:p w14:paraId="72758D98">
            <w:pPr>
              <w:pStyle w:val="179"/>
              <w:rPr>
                <w:rFonts w:cs="Times New Roman"/>
              </w:rPr>
            </w:pPr>
            <w:r>
              <w:rPr>
                <w:rFonts w:cs="Times New Roman"/>
              </w:rPr>
              <w:t>环境风险</w:t>
            </w:r>
          </w:p>
        </w:tc>
        <w:tc>
          <w:tcPr>
            <w:tcW w:w="3001" w:type="pct"/>
            <w:vAlign w:val="center"/>
          </w:tcPr>
          <w:p w14:paraId="523DD0BB">
            <w:pPr>
              <w:pStyle w:val="179"/>
              <w:jc w:val="both"/>
              <w:rPr>
                <w:rFonts w:cs="Times New Roman"/>
              </w:rPr>
            </w:pPr>
            <w:r>
              <w:rPr>
                <w:rFonts w:cs="Times New Roman"/>
              </w:rPr>
              <w:t>对</w:t>
            </w:r>
            <w:r>
              <w:rPr>
                <w:rFonts w:hint="eastAsia" w:cs="Times New Roman"/>
              </w:rPr>
              <w:t>采场滑坡</w:t>
            </w:r>
            <w:r>
              <w:rPr>
                <w:rFonts w:cs="Times New Roman"/>
              </w:rPr>
              <w:t>、</w:t>
            </w:r>
            <w:r>
              <w:rPr>
                <w:rFonts w:hint="eastAsia" w:cs="Times New Roman"/>
              </w:rPr>
              <w:t>成品堆场滑坡等</w:t>
            </w:r>
            <w:r>
              <w:rPr>
                <w:rFonts w:cs="Times New Roman"/>
              </w:rPr>
              <w:t>开展简单分析</w:t>
            </w:r>
          </w:p>
        </w:tc>
        <w:tc>
          <w:tcPr>
            <w:tcW w:w="1359" w:type="pct"/>
            <w:vAlign w:val="center"/>
          </w:tcPr>
          <w:p w14:paraId="7C9F0667">
            <w:pPr>
              <w:pStyle w:val="179"/>
              <w:rPr>
                <w:rFonts w:cs="Times New Roman"/>
              </w:rPr>
            </w:pPr>
            <w:r>
              <w:rPr>
                <w:rFonts w:hint="eastAsia" w:cs="Times New Roman"/>
              </w:rPr>
              <w:t>不设置</w:t>
            </w:r>
          </w:p>
        </w:tc>
      </w:tr>
    </w:tbl>
    <w:p w14:paraId="032104C0">
      <w:pPr>
        <w:pStyle w:val="178"/>
      </w:pPr>
      <w:bookmarkStart w:id="101" w:name="bookmark18"/>
      <w:bookmarkEnd w:id="101"/>
      <w:bookmarkStart w:id="102" w:name="bookmark17"/>
      <w:bookmarkEnd w:id="102"/>
      <w:r>
        <w:drawing>
          <wp:inline distT="0" distB="0" distL="114300" distR="114300">
            <wp:extent cx="5219700" cy="3824605"/>
            <wp:effectExtent l="19050" t="0" r="0" b="0"/>
            <wp:docPr id="5" name="图片 16" descr="遥感影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6" descr="遥感影像"/>
                    <pic:cNvPicPr>
                      <a:picLocks noChangeAspect="1"/>
                    </pic:cNvPicPr>
                  </pic:nvPicPr>
                  <pic:blipFill>
                    <a:blip r:embed="rId34"/>
                    <a:srcRect l="7581" t="5390" r="6601" b="5606"/>
                    <a:stretch>
                      <a:fillRect/>
                    </a:stretch>
                  </pic:blipFill>
                  <pic:spPr>
                    <a:xfrm>
                      <a:off x="0" y="0"/>
                      <a:ext cx="5220000" cy="3824783"/>
                    </a:xfrm>
                    <a:prstGeom prst="rect">
                      <a:avLst/>
                    </a:prstGeom>
                  </pic:spPr>
                </pic:pic>
              </a:graphicData>
            </a:graphic>
          </wp:inline>
        </w:drawing>
      </w:r>
      <w:r>
        <w:rPr>
          <w:rFonts w:hint="eastAsia"/>
        </w:rPr>
        <w:t>图2.6-1  生态评价范围图</w:t>
      </w:r>
    </w:p>
    <w:p w14:paraId="14028214">
      <w:pPr>
        <w:pStyle w:val="178"/>
      </w:pPr>
      <w:r>
        <w:drawing>
          <wp:anchor distT="0" distB="0" distL="114300" distR="114300" simplePos="0" relativeHeight="251673600" behindDoc="0" locked="0" layoutInCell="1" allowOverlap="1">
            <wp:simplePos x="0" y="0"/>
            <wp:positionH relativeFrom="column">
              <wp:posOffset>4549140</wp:posOffset>
            </wp:positionH>
            <wp:positionV relativeFrom="paragraph">
              <wp:posOffset>0</wp:posOffset>
            </wp:positionV>
            <wp:extent cx="748665" cy="718185"/>
            <wp:effectExtent l="19050" t="0" r="0" b="0"/>
            <wp:wrapNone/>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noChangeArrowheads="1"/>
                    </pic:cNvPicPr>
                  </pic:nvPicPr>
                  <pic:blipFill>
                    <a:blip r:embed="rId35" cstate="print"/>
                    <a:srcRect/>
                    <a:stretch>
                      <a:fillRect/>
                    </a:stretch>
                  </pic:blipFill>
                  <pic:spPr>
                    <a:xfrm>
                      <a:off x="0" y="0"/>
                      <a:ext cx="748393" cy="718457"/>
                    </a:xfrm>
                    <a:prstGeom prst="rect">
                      <a:avLst/>
                    </a:prstGeom>
                    <a:noFill/>
                    <a:ln w="9525">
                      <a:noFill/>
                      <a:miter lim="800000"/>
                      <a:headEnd/>
                      <a:tailEnd/>
                    </a:ln>
                  </pic:spPr>
                </pic:pic>
              </a:graphicData>
            </a:graphic>
          </wp:anchor>
        </w:drawing>
      </w:r>
      <w:r>
        <w:drawing>
          <wp:inline distT="0" distB="0" distL="0" distR="0">
            <wp:extent cx="5278755" cy="3959225"/>
            <wp:effectExtent l="19050" t="0" r="0" b="0"/>
            <wp:docPr id="1" name="图片 73" descr="G:\安然的工作\挣大钱\北测项目\1-塔溪乡马厂河采石场\6-计算\保护目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73" descr="G:\安然的工作\挣大钱\北测项目\1-塔溪乡马厂河采石场\6-计算\保护目标.jpg"/>
                    <pic:cNvPicPr>
                      <a:picLocks noChangeAspect="1" noChangeArrowheads="1"/>
                    </pic:cNvPicPr>
                  </pic:nvPicPr>
                  <pic:blipFill>
                    <a:blip r:embed="rId36" cstate="print"/>
                    <a:srcRect/>
                    <a:stretch>
                      <a:fillRect/>
                    </a:stretch>
                  </pic:blipFill>
                  <pic:spPr>
                    <a:xfrm>
                      <a:off x="0" y="0"/>
                      <a:ext cx="5278755" cy="3959541"/>
                    </a:xfrm>
                    <a:prstGeom prst="rect">
                      <a:avLst/>
                    </a:prstGeom>
                    <a:noFill/>
                    <a:ln w="9525">
                      <a:noFill/>
                      <a:miter lim="800000"/>
                      <a:headEnd/>
                      <a:tailEnd/>
                    </a:ln>
                  </pic:spPr>
                </pic:pic>
              </a:graphicData>
            </a:graphic>
          </wp:inline>
        </w:drawing>
      </w:r>
    </w:p>
    <w:p w14:paraId="2BE3A818">
      <w:pPr>
        <w:pStyle w:val="178"/>
      </w:pPr>
      <w:r>
        <w:rPr>
          <w:rFonts w:hint="eastAsia"/>
        </w:rPr>
        <w:t>图2.6-2  大气及噪声环境评价范围图</w:t>
      </w:r>
    </w:p>
    <w:p w14:paraId="6FCBD30D">
      <w:pPr>
        <w:pStyle w:val="179"/>
      </w:pPr>
      <w:r>
        <w:drawing>
          <wp:anchor distT="0" distB="0" distL="114300" distR="114300" simplePos="0" relativeHeight="251674624" behindDoc="0" locked="0" layoutInCell="1" allowOverlap="1">
            <wp:simplePos x="0" y="0"/>
            <wp:positionH relativeFrom="column">
              <wp:posOffset>4538345</wp:posOffset>
            </wp:positionH>
            <wp:positionV relativeFrom="paragraph">
              <wp:posOffset>635</wp:posOffset>
            </wp:positionV>
            <wp:extent cx="748665" cy="718185"/>
            <wp:effectExtent l="19050" t="0" r="0" b="0"/>
            <wp:wrapNone/>
            <wp:docPr id="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
                    <pic:cNvPicPr>
                      <a:picLocks noChangeAspect="1" noChangeArrowheads="1"/>
                    </pic:cNvPicPr>
                  </pic:nvPicPr>
                  <pic:blipFill>
                    <a:blip r:embed="rId35" cstate="print"/>
                    <a:srcRect/>
                    <a:stretch>
                      <a:fillRect/>
                    </a:stretch>
                  </pic:blipFill>
                  <pic:spPr>
                    <a:xfrm>
                      <a:off x="0" y="0"/>
                      <a:ext cx="748393" cy="718457"/>
                    </a:xfrm>
                    <a:prstGeom prst="rect">
                      <a:avLst/>
                    </a:prstGeom>
                    <a:noFill/>
                    <a:ln w="9525">
                      <a:noFill/>
                      <a:miter lim="800000"/>
                      <a:headEnd/>
                      <a:tailEnd/>
                    </a:ln>
                  </pic:spPr>
                </pic:pic>
              </a:graphicData>
            </a:graphic>
          </wp:anchor>
        </w:drawing>
      </w:r>
      <w:r>
        <w:drawing>
          <wp:inline distT="0" distB="0" distL="0" distR="0">
            <wp:extent cx="5278755" cy="3479165"/>
            <wp:effectExtent l="19050" t="0" r="0" b="0"/>
            <wp:docPr id="9" name="图片 74" descr="G:\安然的工作\挣大钱\北测项目\1-塔溪乡马厂河采石场\6-计算\土壤评价范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4" descr="G:\安然的工作\挣大钱\北测项目\1-塔溪乡马厂河采石场\6-计算\土壤评价范围.jpg"/>
                    <pic:cNvPicPr>
                      <a:picLocks noChangeAspect="1" noChangeArrowheads="1"/>
                    </pic:cNvPicPr>
                  </pic:nvPicPr>
                  <pic:blipFill>
                    <a:blip r:embed="rId37" cstate="print"/>
                    <a:srcRect/>
                    <a:stretch>
                      <a:fillRect/>
                    </a:stretch>
                  </pic:blipFill>
                  <pic:spPr>
                    <a:xfrm>
                      <a:off x="0" y="0"/>
                      <a:ext cx="5278755" cy="3479599"/>
                    </a:xfrm>
                    <a:prstGeom prst="rect">
                      <a:avLst/>
                    </a:prstGeom>
                    <a:noFill/>
                    <a:ln w="9525">
                      <a:noFill/>
                      <a:miter lim="800000"/>
                      <a:headEnd/>
                      <a:tailEnd/>
                    </a:ln>
                  </pic:spPr>
                </pic:pic>
              </a:graphicData>
            </a:graphic>
          </wp:inline>
        </w:drawing>
      </w:r>
    </w:p>
    <w:p w14:paraId="4654607B">
      <w:pPr>
        <w:pStyle w:val="178"/>
      </w:pPr>
      <w:r>
        <w:rPr>
          <w:rFonts w:hint="eastAsia"/>
        </w:rPr>
        <w:t>图2.6-3  土壤环境评价范围图</w:t>
      </w:r>
    </w:p>
    <w:p w14:paraId="642776D3">
      <w:pPr>
        <w:pStyle w:val="179"/>
      </w:pPr>
    </w:p>
    <w:p w14:paraId="3224DFF6">
      <w:pPr>
        <w:pStyle w:val="3"/>
        <w:spacing w:before="180" w:after="120"/>
        <w:rPr>
          <w:rFonts w:cs="Times New Roman"/>
          <w:bCs/>
        </w:rPr>
      </w:pPr>
      <w:bookmarkStart w:id="103" w:name="_Toc234927688"/>
      <w:r>
        <w:rPr>
          <w:rFonts w:cs="Times New Roman"/>
        </w:rPr>
        <w:t>环境保护目标及厂区现状</w:t>
      </w:r>
      <w:bookmarkEnd w:id="103"/>
    </w:p>
    <w:p w14:paraId="6744AD4B">
      <w:pPr>
        <w:pStyle w:val="4"/>
        <w:spacing w:before="180" w:after="120"/>
      </w:pPr>
      <w:r>
        <w:rPr>
          <w:rFonts w:cs="Times New Roman"/>
        </w:rPr>
        <w:t>环境保护目标</w:t>
      </w:r>
    </w:p>
    <w:p w14:paraId="23997220">
      <w:pPr>
        <w:ind w:firstLine="480"/>
      </w:pPr>
      <w:r>
        <w:t>本项目地处黑龙江省黑河市嫩江市境内，距离最近居民点为</w:t>
      </w:r>
      <w:r>
        <w:rPr>
          <w:rFonts w:hint="eastAsia"/>
        </w:rPr>
        <w:t>5.0</w:t>
      </w:r>
      <w:r>
        <w:t>km（直线距离）外的</w:t>
      </w:r>
      <w:r>
        <w:rPr>
          <w:rFonts w:hint="eastAsia"/>
        </w:rPr>
        <w:t>塔溪</w:t>
      </w:r>
      <w:r>
        <w:t>乡，用地现状为</w:t>
      </w:r>
      <w:r>
        <w:rPr>
          <w:rFonts w:hint="eastAsia"/>
        </w:rPr>
        <w:t>为</w:t>
      </w:r>
      <w:r>
        <w:t>林地（目前已</w:t>
      </w:r>
      <w:r>
        <w:rPr>
          <w:rFonts w:hint="eastAsia"/>
        </w:rPr>
        <w:t>划分</w:t>
      </w:r>
      <w:r>
        <w:t>为采矿用地）。项目为矿山开采项目，环境保护目标情况一览表见表2.</w:t>
      </w:r>
      <w:r>
        <w:rPr>
          <w:rFonts w:hint="eastAsia"/>
        </w:rPr>
        <w:t>7</w:t>
      </w:r>
      <w:r>
        <w:t>-1。</w:t>
      </w:r>
    </w:p>
    <w:p w14:paraId="20A62ECE">
      <w:pPr>
        <w:pStyle w:val="178"/>
      </w:pPr>
      <w:r>
        <w:t>表2.</w:t>
      </w:r>
      <w:r>
        <w:rPr>
          <w:rFonts w:hint="eastAsia"/>
        </w:rPr>
        <w:t>7</w:t>
      </w:r>
      <w:r>
        <w:t>-1  本项目环境保护目标情况一览表</w:t>
      </w:r>
    </w:p>
    <w:tbl>
      <w:tblPr>
        <w:tblStyle w:val="36"/>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
      <w:tblGrid>
        <w:gridCol w:w="624"/>
        <w:gridCol w:w="1397"/>
        <w:gridCol w:w="748"/>
        <w:gridCol w:w="101"/>
        <w:gridCol w:w="1438"/>
        <w:gridCol w:w="96"/>
        <w:gridCol w:w="1606"/>
        <w:gridCol w:w="2417"/>
      </w:tblGrid>
      <w:tr w14:paraId="5760906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tblHeader/>
          <w:jc w:val="center"/>
        </w:trPr>
        <w:tc>
          <w:tcPr>
            <w:tcW w:w="370" w:type="pct"/>
            <w:noWrap/>
            <w:vAlign w:val="center"/>
          </w:tcPr>
          <w:p w14:paraId="0987836D">
            <w:pPr>
              <w:pStyle w:val="179"/>
              <w:rPr>
                <w:rFonts w:cs="Times New Roman"/>
                <w:b/>
              </w:rPr>
            </w:pPr>
            <w:r>
              <w:rPr>
                <w:rFonts w:cs="Times New Roman"/>
                <w:b/>
              </w:rPr>
              <w:t>环境要素</w:t>
            </w:r>
          </w:p>
        </w:tc>
        <w:tc>
          <w:tcPr>
            <w:tcW w:w="829" w:type="pct"/>
            <w:noWrap/>
            <w:vAlign w:val="center"/>
          </w:tcPr>
          <w:p w14:paraId="24A5E517">
            <w:pPr>
              <w:pStyle w:val="179"/>
              <w:rPr>
                <w:rFonts w:cs="Times New Roman"/>
                <w:b/>
              </w:rPr>
            </w:pPr>
            <w:r>
              <w:rPr>
                <w:rFonts w:cs="Times New Roman"/>
                <w:b/>
              </w:rPr>
              <w:t>敏感目标</w:t>
            </w:r>
          </w:p>
          <w:p w14:paraId="1E07600F">
            <w:pPr>
              <w:pStyle w:val="179"/>
              <w:rPr>
                <w:rFonts w:cs="Times New Roman"/>
                <w:b/>
              </w:rPr>
            </w:pPr>
            <w:r>
              <w:rPr>
                <w:rFonts w:cs="Times New Roman"/>
                <w:b/>
              </w:rPr>
              <w:t>名称</w:t>
            </w:r>
          </w:p>
        </w:tc>
        <w:tc>
          <w:tcPr>
            <w:tcW w:w="444" w:type="pct"/>
            <w:noWrap/>
            <w:vAlign w:val="center"/>
          </w:tcPr>
          <w:p w14:paraId="7C48A876">
            <w:pPr>
              <w:pStyle w:val="179"/>
              <w:rPr>
                <w:rFonts w:cs="Times New Roman"/>
                <w:b/>
              </w:rPr>
            </w:pPr>
            <w:r>
              <w:rPr>
                <w:rFonts w:cs="Times New Roman"/>
                <w:b/>
              </w:rPr>
              <w:t>方位</w:t>
            </w:r>
          </w:p>
        </w:tc>
        <w:tc>
          <w:tcPr>
            <w:tcW w:w="913" w:type="pct"/>
            <w:gridSpan w:val="2"/>
            <w:noWrap/>
            <w:vAlign w:val="center"/>
          </w:tcPr>
          <w:p w14:paraId="05A0E0E0">
            <w:pPr>
              <w:pStyle w:val="179"/>
              <w:rPr>
                <w:rFonts w:cs="Times New Roman"/>
                <w:b/>
              </w:rPr>
            </w:pPr>
            <w:r>
              <w:rPr>
                <w:rFonts w:cs="Times New Roman"/>
                <w:b/>
              </w:rPr>
              <w:t>与矿区边界距离（m）</w:t>
            </w:r>
          </w:p>
        </w:tc>
        <w:tc>
          <w:tcPr>
            <w:tcW w:w="1010" w:type="pct"/>
            <w:gridSpan w:val="2"/>
            <w:noWrap/>
            <w:vAlign w:val="center"/>
          </w:tcPr>
          <w:p w14:paraId="5708954A">
            <w:pPr>
              <w:pStyle w:val="179"/>
              <w:rPr>
                <w:rFonts w:cs="Times New Roman"/>
                <w:b/>
              </w:rPr>
            </w:pPr>
            <w:r>
              <w:rPr>
                <w:rFonts w:cs="Times New Roman"/>
                <w:b/>
              </w:rPr>
              <w:t>受影响人数</w:t>
            </w:r>
          </w:p>
        </w:tc>
        <w:tc>
          <w:tcPr>
            <w:tcW w:w="1434" w:type="pct"/>
            <w:noWrap/>
            <w:vAlign w:val="center"/>
          </w:tcPr>
          <w:p w14:paraId="4FC4DF21">
            <w:pPr>
              <w:pStyle w:val="179"/>
              <w:rPr>
                <w:rFonts w:cs="Times New Roman"/>
                <w:b/>
              </w:rPr>
            </w:pPr>
            <w:r>
              <w:rPr>
                <w:rFonts w:cs="Times New Roman"/>
                <w:b/>
              </w:rPr>
              <w:t>环境质量要求</w:t>
            </w:r>
          </w:p>
        </w:tc>
      </w:tr>
      <w:tr w14:paraId="4EC1962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370" w:type="pct"/>
            <w:noWrap/>
            <w:vAlign w:val="center"/>
          </w:tcPr>
          <w:p w14:paraId="0BFF6D53">
            <w:pPr>
              <w:pStyle w:val="179"/>
              <w:rPr>
                <w:rFonts w:cs="Times New Roman"/>
              </w:rPr>
            </w:pPr>
            <w:r>
              <w:rPr>
                <w:rFonts w:cs="Times New Roman"/>
              </w:rPr>
              <w:t>环境空气</w:t>
            </w:r>
          </w:p>
        </w:tc>
        <w:tc>
          <w:tcPr>
            <w:tcW w:w="3196" w:type="pct"/>
            <w:gridSpan w:val="6"/>
            <w:noWrap/>
            <w:vAlign w:val="center"/>
          </w:tcPr>
          <w:p w14:paraId="554255AA">
            <w:pPr>
              <w:pStyle w:val="179"/>
              <w:jc w:val="left"/>
              <w:rPr>
                <w:rFonts w:cs="Times New Roman"/>
              </w:rPr>
            </w:pPr>
            <w:r>
              <w:rPr>
                <w:rFonts w:cs="Times New Roman"/>
              </w:rPr>
              <w:t>本项目矿区范围2.5km环境空气评价范围内无环境空气保护目标</w:t>
            </w:r>
          </w:p>
          <w:p w14:paraId="088D7A0B">
            <w:pPr>
              <w:pStyle w:val="179"/>
              <w:jc w:val="left"/>
              <w:rPr>
                <w:rFonts w:cs="Times New Roman"/>
              </w:rPr>
            </w:pPr>
            <w:r>
              <w:rPr>
                <w:rFonts w:cs="Times New Roman"/>
              </w:rPr>
              <w:t>运输路线</w:t>
            </w:r>
            <w:r>
              <w:rPr>
                <w:rFonts w:hint="eastAsia" w:cs="Times New Roman"/>
              </w:rPr>
              <w:t>200</w:t>
            </w:r>
            <w:r>
              <w:rPr>
                <w:rFonts w:cs="Times New Roman"/>
              </w:rPr>
              <w:t>m范围内无环境空气保护目标</w:t>
            </w:r>
          </w:p>
        </w:tc>
        <w:tc>
          <w:tcPr>
            <w:tcW w:w="1434" w:type="pct"/>
            <w:noWrap/>
            <w:vAlign w:val="center"/>
          </w:tcPr>
          <w:p w14:paraId="1CA2E46F">
            <w:pPr>
              <w:pStyle w:val="179"/>
              <w:rPr>
                <w:rFonts w:cs="Times New Roman"/>
              </w:rPr>
            </w:pPr>
            <w:r>
              <w:rPr>
                <w:rFonts w:cs="Times New Roman"/>
              </w:rPr>
              <w:t>《环境空气质量标准》（GB3095-2026）过渡阶段二级标准</w:t>
            </w:r>
          </w:p>
        </w:tc>
      </w:tr>
      <w:tr w14:paraId="0DE1E0E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370" w:type="pct"/>
            <w:vMerge w:val="restart"/>
            <w:noWrap/>
            <w:vAlign w:val="center"/>
          </w:tcPr>
          <w:p w14:paraId="41443BA6">
            <w:pPr>
              <w:pStyle w:val="179"/>
              <w:rPr>
                <w:rFonts w:cs="Times New Roman"/>
              </w:rPr>
            </w:pPr>
            <w:r>
              <w:rPr>
                <w:rFonts w:cs="Times New Roman"/>
              </w:rPr>
              <w:t>地表水</w:t>
            </w:r>
          </w:p>
        </w:tc>
        <w:tc>
          <w:tcPr>
            <w:tcW w:w="829" w:type="pct"/>
            <w:noWrap/>
            <w:vAlign w:val="center"/>
          </w:tcPr>
          <w:p w14:paraId="015F6599">
            <w:pPr>
              <w:pStyle w:val="179"/>
              <w:rPr>
                <w:rFonts w:cs="Times New Roman"/>
              </w:rPr>
            </w:pPr>
            <w:r>
              <w:rPr>
                <w:rFonts w:hint="eastAsia" w:cs="Times New Roman"/>
              </w:rPr>
              <w:t>马厂河</w:t>
            </w:r>
          </w:p>
        </w:tc>
        <w:tc>
          <w:tcPr>
            <w:tcW w:w="444" w:type="pct"/>
            <w:noWrap/>
            <w:vAlign w:val="center"/>
          </w:tcPr>
          <w:p w14:paraId="2154E4F4">
            <w:pPr>
              <w:pStyle w:val="179"/>
              <w:rPr>
                <w:rFonts w:cs="Times New Roman"/>
              </w:rPr>
            </w:pPr>
            <w:r>
              <w:rPr>
                <w:rFonts w:hint="eastAsia" w:cs="Times New Roman"/>
              </w:rPr>
              <w:t>SW</w:t>
            </w:r>
          </w:p>
        </w:tc>
        <w:tc>
          <w:tcPr>
            <w:tcW w:w="913" w:type="pct"/>
            <w:gridSpan w:val="2"/>
            <w:noWrap/>
            <w:vAlign w:val="center"/>
          </w:tcPr>
          <w:p w14:paraId="1EECCB63">
            <w:pPr>
              <w:pStyle w:val="179"/>
              <w:rPr>
                <w:rFonts w:cs="Times New Roman"/>
              </w:rPr>
            </w:pPr>
            <w:r>
              <w:rPr>
                <w:rFonts w:cs="Times New Roman"/>
              </w:rPr>
              <w:t>距矿区</w:t>
            </w:r>
            <w:r>
              <w:rPr>
                <w:rFonts w:hint="eastAsia" w:cs="Times New Roman"/>
              </w:rPr>
              <w:t>5</w:t>
            </w:r>
            <w:r>
              <w:rPr>
                <w:rFonts w:cs="Times New Roman"/>
              </w:rPr>
              <w:t>0m</w:t>
            </w:r>
          </w:p>
        </w:tc>
        <w:tc>
          <w:tcPr>
            <w:tcW w:w="1010" w:type="pct"/>
            <w:gridSpan w:val="2"/>
            <w:noWrap/>
            <w:vAlign w:val="center"/>
          </w:tcPr>
          <w:p w14:paraId="71CC04E1">
            <w:pPr>
              <w:pStyle w:val="179"/>
              <w:rPr>
                <w:rFonts w:cs="Times New Roman"/>
              </w:rPr>
            </w:pPr>
            <w:r>
              <w:rPr>
                <w:rFonts w:cs="Times New Roman"/>
              </w:rPr>
              <w:t>/</w:t>
            </w:r>
          </w:p>
        </w:tc>
        <w:tc>
          <w:tcPr>
            <w:tcW w:w="1434" w:type="pct"/>
            <w:vMerge w:val="restart"/>
            <w:noWrap/>
            <w:vAlign w:val="center"/>
          </w:tcPr>
          <w:p w14:paraId="0223B5D8">
            <w:pPr>
              <w:pStyle w:val="179"/>
              <w:rPr>
                <w:rFonts w:cs="Times New Roman"/>
              </w:rPr>
            </w:pPr>
            <w:r>
              <w:rPr>
                <w:rFonts w:cs="Times New Roman"/>
              </w:rPr>
              <w:t>《地表水环境质量标准》（GB3838-2002）</w:t>
            </w:r>
            <w:r>
              <w:rPr>
                <w:rFonts w:hint="eastAsia" w:ascii="宋体" w:hAnsi="宋体" w:cs="Times New Roman"/>
              </w:rPr>
              <w:t>Ⅳ</w:t>
            </w:r>
            <w:r>
              <w:rPr>
                <w:rFonts w:cs="Times New Roman"/>
              </w:rPr>
              <w:t>类</w:t>
            </w:r>
          </w:p>
        </w:tc>
      </w:tr>
      <w:tr w14:paraId="05161E4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370" w:type="pct"/>
            <w:vMerge w:val="continue"/>
            <w:noWrap/>
            <w:vAlign w:val="center"/>
          </w:tcPr>
          <w:p w14:paraId="0A9386B7">
            <w:pPr>
              <w:pStyle w:val="179"/>
              <w:rPr>
                <w:rFonts w:cs="Times New Roman"/>
              </w:rPr>
            </w:pPr>
          </w:p>
        </w:tc>
        <w:tc>
          <w:tcPr>
            <w:tcW w:w="829" w:type="pct"/>
            <w:noWrap/>
            <w:vAlign w:val="center"/>
          </w:tcPr>
          <w:p w14:paraId="75F6BDF4">
            <w:pPr>
              <w:pStyle w:val="179"/>
              <w:rPr>
                <w:rFonts w:cs="Times New Roman"/>
              </w:rPr>
            </w:pPr>
            <w:r>
              <w:rPr>
                <w:rFonts w:hint="eastAsia" w:cs="Times New Roman"/>
              </w:rPr>
              <w:t>塔溪</w:t>
            </w:r>
            <w:r>
              <w:rPr>
                <w:rFonts w:cs="Times New Roman"/>
              </w:rPr>
              <w:t>河</w:t>
            </w:r>
          </w:p>
        </w:tc>
        <w:tc>
          <w:tcPr>
            <w:tcW w:w="444" w:type="pct"/>
            <w:noWrap/>
            <w:vAlign w:val="center"/>
          </w:tcPr>
          <w:p w14:paraId="74E748AE">
            <w:pPr>
              <w:pStyle w:val="179"/>
              <w:rPr>
                <w:rFonts w:cs="Times New Roman"/>
              </w:rPr>
            </w:pPr>
            <w:r>
              <w:rPr>
                <w:rFonts w:cs="Times New Roman"/>
              </w:rPr>
              <w:t>N</w:t>
            </w:r>
          </w:p>
        </w:tc>
        <w:tc>
          <w:tcPr>
            <w:tcW w:w="913" w:type="pct"/>
            <w:gridSpan w:val="2"/>
            <w:noWrap/>
            <w:vAlign w:val="center"/>
          </w:tcPr>
          <w:p w14:paraId="3567BBAF">
            <w:pPr>
              <w:pStyle w:val="179"/>
              <w:rPr>
                <w:rFonts w:cs="Times New Roman"/>
              </w:rPr>
            </w:pPr>
            <w:r>
              <w:rPr>
                <w:rFonts w:cs="Times New Roman"/>
              </w:rPr>
              <w:t>距矿区</w:t>
            </w:r>
            <w:r>
              <w:rPr>
                <w:rFonts w:hint="eastAsia" w:cs="Times New Roman"/>
              </w:rPr>
              <w:t>4.7</w:t>
            </w:r>
            <w:r>
              <w:rPr>
                <w:rFonts w:cs="Times New Roman"/>
              </w:rPr>
              <w:t>km</w:t>
            </w:r>
          </w:p>
        </w:tc>
        <w:tc>
          <w:tcPr>
            <w:tcW w:w="1010" w:type="pct"/>
            <w:gridSpan w:val="2"/>
            <w:noWrap/>
            <w:vAlign w:val="center"/>
          </w:tcPr>
          <w:p w14:paraId="1146AC65">
            <w:pPr>
              <w:pStyle w:val="179"/>
              <w:rPr>
                <w:rFonts w:cs="Times New Roman"/>
              </w:rPr>
            </w:pPr>
            <w:r>
              <w:rPr>
                <w:rFonts w:cs="Times New Roman"/>
              </w:rPr>
              <w:t>/</w:t>
            </w:r>
          </w:p>
        </w:tc>
        <w:tc>
          <w:tcPr>
            <w:tcW w:w="1434" w:type="pct"/>
            <w:vMerge w:val="continue"/>
            <w:noWrap/>
            <w:vAlign w:val="center"/>
          </w:tcPr>
          <w:p w14:paraId="08199873">
            <w:pPr>
              <w:pStyle w:val="179"/>
              <w:rPr>
                <w:rFonts w:cs="Times New Roman"/>
              </w:rPr>
            </w:pPr>
          </w:p>
        </w:tc>
      </w:tr>
      <w:tr w14:paraId="3395462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370" w:type="pct"/>
            <w:noWrap/>
            <w:vAlign w:val="center"/>
          </w:tcPr>
          <w:p w14:paraId="2015E796">
            <w:pPr>
              <w:pStyle w:val="179"/>
              <w:rPr>
                <w:rFonts w:cs="Times New Roman"/>
              </w:rPr>
            </w:pPr>
            <w:r>
              <w:rPr>
                <w:rFonts w:cs="Times New Roman"/>
              </w:rPr>
              <w:t>声环境</w:t>
            </w:r>
          </w:p>
        </w:tc>
        <w:tc>
          <w:tcPr>
            <w:tcW w:w="829" w:type="pct"/>
            <w:noWrap/>
            <w:vAlign w:val="center"/>
          </w:tcPr>
          <w:p w14:paraId="4DB5571A">
            <w:pPr>
              <w:pStyle w:val="179"/>
              <w:rPr>
                <w:rFonts w:cs="Times New Roman"/>
              </w:rPr>
            </w:pPr>
            <w:r>
              <w:rPr>
                <w:rFonts w:cs="Times New Roman"/>
              </w:rPr>
              <w:t>厂界周边</w:t>
            </w:r>
          </w:p>
        </w:tc>
        <w:tc>
          <w:tcPr>
            <w:tcW w:w="2367" w:type="pct"/>
            <w:gridSpan w:val="5"/>
            <w:noWrap/>
            <w:vAlign w:val="center"/>
          </w:tcPr>
          <w:p w14:paraId="099F1244">
            <w:pPr>
              <w:pStyle w:val="179"/>
              <w:rPr>
                <w:rFonts w:cs="Times New Roman"/>
              </w:rPr>
            </w:pPr>
            <w:r>
              <w:rPr>
                <w:rFonts w:cs="Times New Roman"/>
              </w:rPr>
              <w:t>项目四周200m范围内无声环境保护目标</w:t>
            </w:r>
          </w:p>
        </w:tc>
        <w:tc>
          <w:tcPr>
            <w:tcW w:w="1434" w:type="pct"/>
            <w:noWrap/>
            <w:vAlign w:val="center"/>
          </w:tcPr>
          <w:p w14:paraId="7033FB79">
            <w:pPr>
              <w:pStyle w:val="179"/>
              <w:rPr>
                <w:rFonts w:cs="Times New Roman"/>
              </w:rPr>
            </w:pPr>
            <w:r>
              <w:rPr>
                <w:rFonts w:cs="Times New Roman"/>
              </w:rPr>
              <w:t>《声环境质量标准》（GB3096-2008）</w:t>
            </w:r>
            <w:r>
              <w:rPr>
                <w:rFonts w:hint="eastAsia" w:cs="Times New Roman"/>
              </w:rPr>
              <w:t>1类</w:t>
            </w:r>
            <w:r>
              <w:rPr>
                <w:rFonts w:cs="Times New Roman"/>
              </w:rPr>
              <w:t>标准</w:t>
            </w:r>
          </w:p>
        </w:tc>
      </w:tr>
      <w:tr w14:paraId="7BD6AA4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370" w:type="pct"/>
            <w:vMerge w:val="restart"/>
            <w:noWrap/>
            <w:vAlign w:val="center"/>
          </w:tcPr>
          <w:p w14:paraId="75D5062C">
            <w:pPr>
              <w:pStyle w:val="179"/>
              <w:rPr>
                <w:rFonts w:cs="Times New Roman"/>
              </w:rPr>
            </w:pPr>
            <w:r>
              <w:rPr>
                <w:rFonts w:cs="Times New Roman"/>
              </w:rPr>
              <w:t>土壤环境</w:t>
            </w:r>
          </w:p>
        </w:tc>
        <w:tc>
          <w:tcPr>
            <w:tcW w:w="829" w:type="pct"/>
            <w:noWrap/>
            <w:vAlign w:val="center"/>
          </w:tcPr>
          <w:p w14:paraId="76BF6B87">
            <w:pPr>
              <w:pStyle w:val="179"/>
              <w:rPr>
                <w:rFonts w:cs="Times New Roman"/>
              </w:rPr>
            </w:pPr>
            <w:r>
              <w:rPr>
                <w:rFonts w:cs="Times New Roman"/>
              </w:rPr>
              <w:t>评价区域范围内土壤</w:t>
            </w:r>
          </w:p>
        </w:tc>
        <w:tc>
          <w:tcPr>
            <w:tcW w:w="2367" w:type="pct"/>
            <w:gridSpan w:val="5"/>
            <w:noWrap/>
            <w:vAlign w:val="center"/>
          </w:tcPr>
          <w:p w14:paraId="1A0D34E8">
            <w:pPr>
              <w:pStyle w:val="179"/>
              <w:rPr>
                <w:rFonts w:cs="Times New Roman"/>
              </w:rPr>
            </w:pPr>
            <w:r>
              <w:rPr>
                <w:rFonts w:cs="Times New Roman"/>
              </w:rPr>
              <w:t>土壤评价范围内</w:t>
            </w:r>
          </w:p>
        </w:tc>
        <w:tc>
          <w:tcPr>
            <w:tcW w:w="1434" w:type="pct"/>
            <w:vMerge w:val="restart"/>
            <w:noWrap/>
            <w:vAlign w:val="center"/>
          </w:tcPr>
          <w:p w14:paraId="276AE85B">
            <w:pPr>
              <w:pStyle w:val="179"/>
              <w:rPr>
                <w:rFonts w:cs="Times New Roman"/>
              </w:rPr>
            </w:pPr>
            <w:r>
              <w:rPr>
                <w:rFonts w:cs="Times New Roman"/>
              </w:rPr>
              <w:t>《土壤环境质量 建设用地土壤污染风险管控标准（试行）》（GB36600-2018）筛选值</w:t>
            </w:r>
          </w:p>
        </w:tc>
      </w:tr>
      <w:tr w14:paraId="1A8E9D1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370" w:type="pct"/>
            <w:vMerge w:val="continue"/>
            <w:noWrap/>
            <w:vAlign w:val="center"/>
          </w:tcPr>
          <w:p w14:paraId="34894A2D">
            <w:pPr>
              <w:pStyle w:val="179"/>
              <w:rPr>
                <w:rFonts w:cs="Times New Roman"/>
              </w:rPr>
            </w:pPr>
          </w:p>
        </w:tc>
        <w:tc>
          <w:tcPr>
            <w:tcW w:w="829" w:type="pct"/>
            <w:noWrap/>
            <w:vAlign w:val="center"/>
          </w:tcPr>
          <w:p w14:paraId="6135BD70">
            <w:pPr>
              <w:pStyle w:val="179"/>
              <w:rPr>
                <w:rFonts w:cs="Times New Roman"/>
              </w:rPr>
            </w:pPr>
            <w:r>
              <w:rPr>
                <w:rFonts w:hint="eastAsia" w:cs="Times New Roman"/>
              </w:rPr>
              <w:t>耕地</w:t>
            </w:r>
          </w:p>
        </w:tc>
        <w:tc>
          <w:tcPr>
            <w:tcW w:w="504" w:type="pct"/>
            <w:gridSpan w:val="2"/>
            <w:noWrap/>
            <w:vAlign w:val="center"/>
          </w:tcPr>
          <w:p w14:paraId="78712535">
            <w:pPr>
              <w:pStyle w:val="179"/>
              <w:rPr>
                <w:rFonts w:cs="Times New Roman"/>
              </w:rPr>
            </w:pPr>
            <w:r>
              <w:rPr>
                <w:rFonts w:hint="eastAsia" w:cs="Times New Roman"/>
              </w:rPr>
              <w:t>NW</w:t>
            </w:r>
          </w:p>
        </w:tc>
        <w:tc>
          <w:tcPr>
            <w:tcW w:w="910" w:type="pct"/>
            <w:gridSpan w:val="2"/>
            <w:vAlign w:val="center"/>
          </w:tcPr>
          <w:p w14:paraId="749A80D8">
            <w:pPr>
              <w:pStyle w:val="179"/>
              <w:rPr>
                <w:rFonts w:cs="Times New Roman"/>
              </w:rPr>
            </w:pPr>
            <w:r>
              <w:rPr>
                <w:rFonts w:hint="eastAsia" w:cs="Times New Roman"/>
              </w:rPr>
              <w:t>20m</w:t>
            </w:r>
          </w:p>
        </w:tc>
        <w:tc>
          <w:tcPr>
            <w:tcW w:w="953" w:type="pct"/>
            <w:vAlign w:val="center"/>
          </w:tcPr>
          <w:p w14:paraId="7224EAC3">
            <w:pPr>
              <w:pStyle w:val="179"/>
              <w:rPr>
                <w:rFonts w:cs="Times New Roman"/>
              </w:rPr>
            </w:pPr>
            <w:r>
              <w:rPr>
                <w:rFonts w:cs="Times New Roman"/>
              </w:rPr>
              <w:t>/</w:t>
            </w:r>
          </w:p>
        </w:tc>
        <w:tc>
          <w:tcPr>
            <w:tcW w:w="1434" w:type="pct"/>
            <w:vMerge w:val="continue"/>
            <w:noWrap/>
            <w:vAlign w:val="center"/>
          </w:tcPr>
          <w:p w14:paraId="0563DE75">
            <w:pPr>
              <w:pStyle w:val="179"/>
              <w:rPr>
                <w:rFonts w:cs="Times New Roman"/>
              </w:rPr>
            </w:pPr>
          </w:p>
        </w:tc>
      </w:tr>
      <w:tr w14:paraId="453087C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370" w:type="pct"/>
            <w:noWrap/>
            <w:vAlign w:val="center"/>
          </w:tcPr>
          <w:p w14:paraId="04CAFE0F">
            <w:pPr>
              <w:pStyle w:val="179"/>
              <w:rPr>
                <w:rFonts w:cs="Times New Roman"/>
              </w:rPr>
            </w:pPr>
            <w:r>
              <w:rPr>
                <w:rFonts w:cs="Times New Roman"/>
              </w:rPr>
              <w:t>环境风险</w:t>
            </w:r>
          </w:p>
        </w:tc>
        <w:tc>
          <w:tcPr>
            <w:tcW w:w="3196" w:type="pct"/>
            <w:gridSpan w:val="6"/>
            <w:noWrap/>
            <w:vAlign w:val="center"/>
          </w:tcPr>
          <w:p w14:paraId="264660BE">
            <w:pPr>
              <w:pStyle w:val="179"/>
              <w:rPr>
                <w:rFonts w:cs="Times New Roman"/>
              </w:rPr>
            </w:pPr>
            <w:r>
              <w:rPr>
                <w:rFonts w:cs="Times New Roman"/>
              </w:rPr>
              <w:t>项目仅进行简要分析，不设评价范围</w:t>
            </w:r>
          </w:p>
        </w:tc>
        <w:tc>
          <w:tcPr>
            <w:tcW w:w="1434" w:type="pct"/>
            <w:noWrap/>
            <w:vAlign w:val="center"/>
          </w:tcPr>
          <w:p w14:paraId="2EFB882F">
            <w:pPr>
              <w:pStyle w:val="179"/>
              <w:rPr>
                <w:rFonts w:cs="Times New Roman"/>
              </w:rPr>
            </w:pPr>
            <w:r>
              <w:rPr>
                <w:rFonts w:hint="eastAsia" w:cs="Times New Roman"/>
              </w:rPr>
              <w:t>/</w:t>
            </w:r>
          </w:p>
        </w:tc>
      </w:tr>
      <w:tr w14:paraId="7FC544C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370" w:type="pct"/>
            <w:vMerge w:val="restart"/>
            <w:noWrap/>
            <w:vAlign w:val="center"/>
          </w:tcPr>
          <w:p w14:paraId="540D4A28">
            <w:pPr>
              <w:pStyle w:val="179"/>
              <w:rPr>
                <w:rFonts w:cs="Times New Roman"/>
              </w:rPr>
            </w:pPr>
            <w:r>
              <w:rPr>
                <w:rFonts w:cs="Times New Roman"/>
              </w:rPr>
              <w:t>生态环境</w:t>
            </w:r>
          </w:p>
        </w:tc>
        <w:tc>
          <w:tcPr>
            <w:tcW w:w="3196" w:type="pct"/>
            <w:gridSpan w:val="6"/>
            <w:noWrap/>
            <w:vAlign w:val="center"/>
          </w:tcPr>
          <w:p w14:paraId="59E48B0A">
            <w:pPr>
              <w:pStyle w:val="179"/>
              <w:rPr>
                <w:rFonts w:cs="Times New Roman"/>
              </w:rPr>
            </w:pPr>
            <w:r>
              <w:rPr>
                <w:rFonts w:cs="Times New Roman"/>
              </w:rPr>
              <w:t>项目所在区域范围边界外扩</w:t>
            </w:r>
            <w:r>
              <w:rPr>
                <w:rFonts w:hint="eastAsia" w:cs="Times New Roman"/>
              </w:rPr>
              <w:t>30</w:t>
            </w:r>
            <w:r>
              <w:rPr>
                <w:rFonts w:cs="Times New Roman"/>
              </w:rPr>
              <w:t>0m的影响区生态环境</w:t>
            </w:r>
          </w:p>
        </w:tc>
        <w:tc>
          <w:tcPr>
            <w:tcW w:w="1434" w:type="pct"/>
            <w:vMerge w:val="restart"/>
            <w:noWrap/>
            <w:vAlign w:val="center"/>
          </w:tcPr>
          <w:p w14:paraId="6585EDB6">
            <w:pPr>
              <w:pStyle w:val="179"/>
              <w:rPr>
                <w:rFonts w:cs="Times New Roman"/>
              </w:rPr>
            </w:pPr>
            <w:r>
              <w:rPr>
                <w:rFonts w:hint="eastAsia" w:cs="Times New Roman"/>
              </w:rPr>
              <w:t>保证生态质量不下降</w:t>
            </w:r>
          </w:p>
        </w:tc>
      </w:tr>
      <w:tr w14:paraId="53787B1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370" w:type="pct"/>
            <w:vMerge w:val="continue"/>
            <w:noWrap/>
            <w:vAlign w:val="center"/>
          </w:tcPr>
          <w:p w14:paraId="666DA3EC">
            <w:pPr>
              <w:pStyle w:val="179"/>
              <w:rPr>
                <w:rFonts w:cs="Times New Roman"/>
              </w:rPr>
            </w:pPr>
          </w:p>
        </w:tc>
        <w:tc>
          <w:tcPr>
            <w:tcW w:w="3196" w:type="pct"/>
            <w:gridSpan w:val="6"/>
            <w:noWrap/>
            <w:vAlign w:val="center"/>
          </w:tcPr>
          <w:p w14:paraId="07506ECD">
            <w:pPr>
              <w:pStyle w:val="179"/>
              <w:rPr>
                <w:rFonts w:cs="Times New Roman"/>
              </w:rPr>
            </w:pPr>
            <w:r>
              <w:rPr>
                <w:rFonts w:hint="eastAsia" w:cs="Times New Roman"/>
              </w:rPr>
              <w:t>嫩江市</w:t>
            </w:r>
            <w:r>
              <w:rPr>
                <w:rFonts w:cs="Times New Roman"/>
              </w:rPr>
              <w:t>生态保护红线</w:t>
            </w:r>
            <w:r>
              <w:rPr>
                <w:rFonts w:hint="eastAsia" w:cs="Times New Roman"/>
              </w:rPr>
              <w:t>——水源涵养功能极重要区</w:t>
            </w:r>
          </w:p>
        </w:tc>
        <w:tc>
          <w:tcPr>
            <w:tcW w:w="1434" w:type="pct"/>
            <w:vMerge w:val="continue"/>
            <w:noWrap/>
            <w:vAlign w:val="center"/>
          </w:tcPr>
          <w:p w14:paraId="17C5E175">
            <w:pPr>
              <w:pStyle w:val="179"/>
              <w:rPr>
                <w:rFonts w:cs="Times New Roman"/>
              </w:rPr>
            </w:pPr>
          </w:p>
        </w:tc>
      </w:tr>
    </w:tbl>
    <w:p w14:paraId="2E76B0FB">
      <w:pPr>
        <w:pStyle w:val="178"/>
      </w:pPr>
      <w:r>
        <w:rPr>
          <w:rFonts w:hint="eastAsia"/>
        </w:rPr>
        <w:t>表1.5-1 生态环境敏感目标一览表</w:t>
      </w:r>
    </w:p>
    <w:tbl>
      <w:tblPr>
        <w:tblStyle w:val="36"/>
        <w:tblW w:w="4999" w:type="pct"/>
        <w:jc w:val="center"/>
        <w:tblBorders>
          <w:top w:val="single" w:color="auto" w:sz="12" w:space="0"/>
          <w:left w:val="single" w:color="auto" w:sz="12" w:space="0"/>
          <w:bottom w:val="single" w:color="auto" w:sz="12" w:space="0"/>
          <w:right w:val="single" w:color="auto" w:sz="12" w:space="0"/>
          <w:insideH w:val="single" w:color="000000" w:sz="2" w:space="0"/>
          <w:insideV w:val="single" w:color="000000" w:sz="4" w:space="0"/>
        </w:tblBorders>
        <w:tblLayout w:type="fixed"/>
        <w:tblCellMar>
          <w:top w:w="0" w:type="dxa"/>
          <w:left w:w="108" w:type="dxa"/>
          <w:bottom w:w="0" w:type="dxa"/>
          <w:right w:w="108" w:type="dxa"/>
        </w:tblCellMar>
      </w:tblPr>
      <w:tblGrid>
        <w:gridCol w:w="643"/>
        <w:gridCol w:w="2258"/>
        <w:gridCol w:w="2116"/>
        <w:gridCol w:w="1558"/>
        <w:gridCol w:w="1952"/>
      </w:tblGrid>
      <w:tr w14:paraId="33915E5E">
        <w:tblPrEx>
          <w:tblBorders>
            <w:top w:val="single" w:color="auto" w:sz="12" w:space="0"/>
            <w:left w:val="single" w:color="auto" w:sz="12" w:space="0"/>
            <w:bottom w:val="single" w:color="auto" w:sz="12" w:space="0"/>
            <w:right w:val="single" w:color="auto" w:sz="12" w:space="0"/>
            <w:insideH w:val="single" w:color="000000" w:sz="2" w:space="0"/>
            <w:insideV w:val="single" w:color="000000" w:sz="4" w:space="0"/>
          </w:tblBorders>
        </w:tblPrEx>
        <w:trPr>
          <w:trHeight w:val="340" w:hRule="atLeast"/>
          <w:jc w:val="center"/>
        </w:trPr>
        <w:tc>
          <w:tcPr>
            <w:tcW w:w="643" w:type="dxa"/>
            <w:noWrap/>
            <w:vAlign w:val="center"/>
          </w:tcPr>
          <w:p w14:paraId="1EC5773D">
            <w:pPr>
              <w:pStyle w:val="179"/>
              <w:rPr>
                <w:b/>
              </w:rPr>
            </w:pPr>
            <w:r>
              <w:rPr>
                <w:rFonts w:hint="eastAsia"/>
                <w:b/>
              </w:rPr>
              <w:t>序号</w:t>
            </w:r>
          </w:p>
        </w:tc>
        <w:tc>
          <w:tcPr>
            <w:tcW w:w="2258" w:type="dxa"/>
            <w:noWrap/>
            <w:vAlign w:val="center"/>
          </w:tcPr>
          <w:p w14:paraId="491BF05B">
            <w:pPr>
              <w:pStyle w:val="179"/>
              <w:rPr>
                <w:b/>
              </w:rPr>
            </w:pPr>
            <w:r>
              <w:rPr>
                <w:rFonts w:hint="eastAsia"/>
                <w:b/>
              </w:rPr>
              <w:t>敏感目标</w:t>
            </w:r>
          </w:p>
        </w:tc>
        <w:tc>
          <w:tcPr>
            <w:tcW w:w="2116" w:type="dxa"/>
            <w:noWrap/>
            <w:vAlign w:val="center"/>
          </w:tcPr>
          <w:p w14:paraId="41580F30">
            <w:pPr>
              <w:pStyle w:val="179"/>
              <w:rPr>
                <w:b/>
              </w:rPr>
            </w:pPr>
            <w:r>
              <w:rPr>
                <w:rFonts w:hint="eastAsia"/>
                <w:b/>
              </w:rPr>
              <w:t>与工程区位置关系</w:t>
            </w:r>
          </w:p>
        </w:tc>
        <w:tc>
          <w:tcPr>
            <w:tcW w:w="1558" w:type="dxa"/>
            <w:noWrap/>
            <w:vAlign w:val="center"/>
          </w:tcPr>
          <w:p w14:paraId="3BAA9D5C">
            <w:pPr>
              <w:pStyle w:val="179"/>
              <w:rPr>
                <w:b/>
              </w:rPr>
            </w:pPr>
            <w:r>
              <w:rPr>
                <w:rFonts w:hint="eastAsia"/>
                <w:b/>
              </w:rPr>
              <w:t>保护等级</w:t>
            </w:r>
          </w:p>
        </w:tc>
        <w:tc>
          <w:tcPr>
            <w:tcW w:w="1952" w:type="dxa"/>
            <w:noWrap/>
            <w:vAlign w:val="center"/>
          </w:tcPr>
          <w:p w14:paraId="18CB4FC1">
            <w:pPr>
              <w:pStyle w:val="179"/>
              <w:rPr>
                <w:b/>
              </w:rPr>
            </w:pPr>
            <w:r>
              <w:rPr>
                <w:rFonts w:hint="eastAsia"/>
                <w:b/>
              </w:rPr>
              <w:t>保护类别/对象</w:t>
            </w:r>
          </w:p>
        </w:tc>
      </w:tr>
      <w:tr w14:paraId="41DBECBC">
        <w:tblPrEx>
          <w:tblBorders>
            <w:top w:val="single" w:color="auto" w:sz="12" w:space="0"/>
            <w:left w:val="single" w:color="auto" w:sz="12" w:space="0"/>
            <w:bottom w:val="single" w:color="auto" w:sz="12" w:space="0"/>
            <w:right w:val="single" w:color="auto" w:sz="12" w:space="0"/>
            <w:insideH w:val="single" w:color="000000" w:sz="2" w:space="0"/>
            <w:insideV w:val="single" w:color="000000" w:sz="4" w:space="0"/>
          </w:tblBorders>
          <w:tblCellMar>
            <w:top w:w="0" w:type="dxa"/>
            <w:left w:w="108" w:type="dxa"/>
            <w:bottom w:w="0" w:type="dxa"/>
            <w:right w:w="108" w:type="dxa"/>
          </w:tblCellMar>
        </w:tblPrEx>
        <w:trPr>
          <w:trHeight w:val="340" w:hRule="atLeast"/>
          <w:jc w:val="center"/>
        </w:trPr>
        <w:tc>
          <w:tcPr>
            <w:tcW w:w="643" w:type="dxa"/>
            <w:noWrap/>
            <w:vAlign w:val="center"/>
          </w:tcPr>
          <w:p w14:paraId="65453D8A">
            <w:pPr>
              <w:pStyle w:val="179"/>
            </w:pPr>
            <w:r>
              <w:rPr>
                <w:rFonts w:hint="eastAsia"/>
              </w:rPr>
              <w:t>1</w:t>
            </w:r>
          </w:p>
        </w:tc>
        <w:tc>
          <w:tcPr>
            <w:tcW w:w="2258" w:type="dxa"/>
            <w:noWrap/>
            <w:vAlign w:val="center"/>
          </w:tcPr>
          <w:p w14:paraId="3AEC5172">
            <w:pPr>
              <w:pStyle w:val="179"/>
            </w:pPr>
            <w:r>
              <w:rPr>
                <w:rFonts w:hint="eastAsia"/>
              </w:rPr>
              <w:t>嫩江市松嫩平原生物多样性维护功能生态保护红线-水源涵养生态功能重要区</w:t>
            </w:r>
          </w:p>
        </w:tc>
        <w:tc>
          <w:tcPr>
            <w:tcW w:w="2116" w:type="dxa"/>
            <w:noWrap/>
            <w:vAlign w:val="center"/>
          </w:tcPr>
          <w:p w14:paraId="1048E008">
            <w:pPr>
              <w:pStyle w:val="179"/>
            </w:pPr>
            <w:r>
              <w:rPr>
                <w:rFonts w:hint="eastAsia"/>
              </w:rPr>
              <w:t>评价范围内</w:t>
            </w:r>
          </w:p>
        </w:tc>
        <w:tc>
          <w:tcPr>
            <w:tcW w:w="1558" w:type="dxa"/>
            <w:noWrap/>
            <w:vAlign w:val="center"/>
          </w:tcPr>
          <w:p w14:paraId="21FCF006">
            <w:pPr>
              <w:pStyle w:val="179"/>
            </w:pPr>
            <w:r>
              <w:rPr>
                <w:rFonts w:hint="eastAsia"/>
              </w:rPr>
              <w:t>/</w:t>
            </w:r>
          </w:p>
        </w:tc>
        <w:tc>
          <w:tcPr>
            <w:tcW w:w="1952" w:type="dxa"/>
            <w:noWrap/>
            <w:vAlign w:val="center"/>
          </w:tcPr>
          <w:p w14:paraId="79A793AB">
            <w:pPr>
              <w:pStyle w:val="179"/>
            </w:pPr>
            <w:r>
              <w:t>水源涵养与生物多样性</w:t>
            </w:r>
          </w:p>
        </w:tc>
      </w:tr>
      <w:tr w14:paraId="7F7B4369">
        <w:tblPrEx>
          <w:tblBorders>
            <w:top w:val="single" w:color="auto" w:sz="12" w:space="0"/>
            <w:left w:val="single" w:color="auto" w:sz="12" w:space="0"/>
            <w:bottom w:val="single" w:color="auto" w:sz="12" w:space="0"/>
            <w:right w:val="single" w:color="auto" w:sz="12" w:space="0"/>
            <w:insideH w:val="single" w:color="000000" w:sz="2" w:space="0"/>
            <w:insideV w:val="single" w:color="000000" w:sz="4" w:space="0"/>
          </w:tblBorders>
          <w:tblCellMar>
            <w:top w:w="0" w:type="dxa"/>
            <w:left w:w="108" w:type="dxa"/>
            <w:bottom w:w="0" w:type="dxa"/>
            <w:right w:w="108" w:type="dxa"/>
          </w:tblCellMar>
        </w:tblPrEx>
        <w:trPr>
          <w:trHeight w:val="340" w:hRule="atLeast"/>
          <w:jc w:val="center"/>
        </w:trPr>
        <w:tc>
          <w:tcPr>
            <w:tcW w:w="643" w:type="dxa"/>
            <w:noWrap/>
            <w:vAlign w:val="center"/>
          </w:tcPr>
          <w:p w14:paraId="3F78DC24">
            <w:pPr>
              <w:pStyle w:val="179"/>
            </w:pPr>
            <w:r>
              <w:rPr>
                <w:rFonts w:hint="eastAsia"/>
              </w:rPr>
              <w:t>2</w:t>
            </w:r>
          </w:p>
        </w:tc>
        <w:tc>
          <w:tcPr>
            <w:tcW w:w="2258" w:type="dxa"/>
            <w:noWrap/>
            <w:vAlign w:val="center"/>
          </w:tcPr>
          <w:p w14:paraId="6D3BB9DF">
            <w:pPr>
              <w:pStyle w:val="179"/>
            </w:pPr>
            <w:r>
              <w:rPr>
                <w:rFonts w:hint="eastAsia"/>
              </w:rPr>
              <w:t>重要物种</w:t>
            </w:r>
          </w:p>
        </w:tc>
        <w:tc>
          <w:tcPr>
            <w:tcW w:w="2116" w:type="dxa"/>
            <w:noWrap/>
            <w:vAlign w:val="center"/>
          </w:tcPr>
          <w:p w14:paraId="2E2DEE29">
            <w:pPr>
              <w:pStyle w:val="179"/>
            </w:pPr>
            <w:r>
              <w:rPr>
                <w:rFonts w:hint="eastAsia"/>
              </w:rPr>
              <w:t>评价范围内</w:t>
            </w:r>
          </w:p>
        </w:tc>
        <w:tc>
          <w:tcPr>
            <w:tcW w:w="1558" w:type="dxa"/>
            <w:noWrap/>
            <w:vAlign w:val="center"/>
          </w:tcPr>
          <w:p w14:paraId="637C381C">
            <w:pPr>
              <w:pStyle w:val="179"/>
            </w:pPr>
            <w:r>
              <w:rPr>
                <w:rFonts w:hint="eastAsia"/>
              </w:rPr>
              <w:t>国家二级</w:t>
            </w:r>
          </w:p>
        </w:tc>
        <w:tc>
          <w:tcPr>
            <w:tcW w:w="1952" w:type="dxa"/>
            <w:noWrap/>
            <w:vAlign w:val="center"/>
          </w:tcPr>
          <w:p w14:paraId="1E8035A8">
            <w:pPr>
              <w:pStyle w:val="179"/>
            </w:pPr>
            <w:r>
              <w:rPr>
                <w:rFonts w:hint="eastAsia"/>
              </w:rPr>
              <w:t>动物：苍鹰、雪兔、红隼</w:t>
            </w:r>
          </w:p>
        </w:tc>
      </w:tr>
    </w:tbl>
    <w:p w14:paraId="31D61327">
      <w:pPr>
        <w:ind w:firstLine="480"/>
      </w:pPr>
    </w:p>
    <w:p w14:paraId="35FA18DD">
      <w:pPr>
        <w:ind w:firstLine="480"/>
      </w:pPr>
    </w:p>
    <w:p w14:paraId="54EEB480">
      <w:pPr>
        <w:ind w:firstLine="480"/>
        <w:sectPr>
          <w:headerReference r:id="rId15" w:type="default"/>
          <w:footerReference r:id="rId16" w:type="default"/>
          <w:pgSz w:w="11907" w:h="16840"/>
          <w:pgMar w:top="1440" w:right="1797" w:bottom="1440" w:left="1797" w:header="850" w:footer="1236" w:gutter="0"/>
          <w:cols w:space="720" w:num="1"/>
          <w:docGrid w:linePitch="326" w:charSpace="0"/>
        </w:sectPr>
      </w:pPr>
    </w:p>
    <w:p w14:paraId="5A38CF13">
      <w:pPr>
        <w:pStyle w:val="178"/>
      </w:pPr>
      <w:r>
        <w:rPr>
          <w:rFonts w:hint="eastAsia"/>
        </w:rPr>
        <w:drawing>
          <wp:anchor distT="0" distB="0" distL="114300" distR="114300" simplePos="0" relativeHeight="251664384" behindDoc="0" locked="0" layoutInCell="1" allowOverlap="1">
            <wp:simplePos x="0" y="0"/>
            <wp:positionH relativeFrom="column">
              <wp:posOffset>6530340</wp:posOffset>
            </wp:positionH>
            <wp:positionV relativeFrom="paragraph">
              <wp:posOffset>0</wp:posOffset>
            </wp:positionV>
            <wp:extent cx="1276350" cy="1224915"/>
            <wp:effectExtent l="19050" t="0" r="0" b="0"/>
            <wp:wrapNone/>
            <wp:docPr id="1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
                    <pic:cNvPicPr>
                      <a:picLocks noChangeAspect="1" noChangeArrowheads="1"/>
                    </pic:cNvPicPr>
                  </pic:nvPicPr>
                  <pic:blipFill>
                    <a:blip r:embed="rId38" cstate="print"/>
                    <a:srcRect/>
                    <a:stretch>
                      <a:fillRect/>
                    </a:stretch>
                  </pic:blipFill>
                  <pic:spPr>
                    <a:xfrm>
                      <a:off x="0" y="0"/>
                      <a:ext cx="1276350" cy="1224643"/>
                    </a:xfrm>
                    <a:prstGeom prst="rect">
                      <a:avLst/>
                    </a:prstGeom>
                    <a:noFill/>
                    <a:ln w="9525">
                      <a:noFill/>
                      <a:miter lim="800000"/>
                      <a:headEnd/>
                      <a:tailEnd/>
                    </a:ln>
                  </pic:spPr>
                </pic:pic>
              </a:graphicData>
            </a:graphic>
          </wp:anchor>
        </w:drawing>
      </w:r>
      <w:r>
        <w:drawing>
          <wp:inline distT="0" distB="0" distL="0" distR="0">
            <wp:extent cx="7202170" cy="5399405"/>
            <wp:effectExtent l="19050" t="0" r="0" b="0"/>
            <wp:docPr id="3" name="图片 35" descr="G:\安然的工作\挣大钱\北测项目\1-塔溪乡马厂河采石场\6-计算\评价范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5" descr="G:\安然的工作\挣大钱\北测项目\1-塔溪乡马厂河采石场\6-计算\评价范围.jpg"/>
                    <pic:cNvPicPr>
                      <a:picLocks noChangeAspect="1" noChangeArrowheads="1"/>
                    </pic:cNvPicPr>
                  </pic:nvPicPr>
                  <pic:blipFill>
                    <a:blip r:embed="rId39"/>
                    <a:srcRect/>
                    <a:stretch>
                      <a:fillRect/>
                    </a:stretch>
                  </pic:blipFill>
                  <pic:spPr>
                    <a:xfrm>
                      <a:off x="0" y="0"/>
                      <a:ext cx="7202485" cy="5400000"/>
                    </a:xfrm>
                    <a:prstGeom prst="rect">
                      <a:avLst/>
                    </a:prstGeom>
                    <a:noFill/>
                    <a:ln w="9525">
                      <a:noFill/>
                      <a:miter lim="800000"/>
                      <a:headEnd/>
                      <a:tailEnd/>
                    </a:ln>
                  </pic:spPr>
                </pic:pic>
              </a:graphicData>
            </a:graphic>
          </wp:inline>
        </w:drawing>
      </w:r>
    </w:p>
    <w:p w14:paraId="51713C85">
      <w:pPr>
        <w:pStyle w:val="178"/>
      </w:pPr>
      <w:r>
        <w:t>图2.</w:t>
      </w:r>
      <w:r>
        <w:rPr>
          <w:rFonts w:hint="eastAsia"/>
        </w:rPr>
        <w:t>7</w:t>
      </w:r>
      <w:r>
        <w:t>-1  本项目评价范围及环境保护目标情况示意图（采区）</w:t>
      </w:r>
    </w:p>
    <w:p w14:paraId="004EFD7C">
      <w:pPr>
        <w:pStyle w:val="179"/>
      </w:pPr>
      <w:r>
        <w:drawing>
          <wp:anchor distT="0" distB="0" distL="114300" distR="114300" simplePos="0" relativeHeight="251665408" behindDoc="0" locked="0" layoutInCell="1" allowOverlap="1">
            <wp:simplePos x="0" y="0"/>
            <wp:positionH relativeFrom="column">
              <wp:posOffset>6536055</wp:posOffset>
            </wp:positionH>
            <wp:positionV relativeFrom="paragraph">
              <wp:posOffset>10795</wp:posOffset>
            </wp:positionV>
            <wp:extent cx="1276350" cy="1224915"/>
            <wp:effectExtent l="19050" t="0" r="0" b="0"/>
            <wp:wrapNone/>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noChangeArrowheads="1"/>
                    </pic:cNvPicPr>
                  </pic:nvPicPr>
                  <pic:blipFill>
                    <a:blip r:embed="rId38" cstate="print"/>
                    <a:srcRect/>
                    <a:stretch>
                      <a:fillRect/>
                    </a:stretch>
                  </pic:blipFill>
                  <pic:spPr>
                    <a:xfrm>
                      <a:off x="0" y="0"/>
                      <a:ext cx="1276350" cy="1224642"/>
                    </a:xfrm>
                    <a:prstGeom prst="rect">
                      <a:avLst/>
                    </a:prstGeom>
                    <a:noFill/>
                    <a:ln w="9525">
                      <a:noFill/>
                      <a:miter lim="800000"/>
                      <a:headEnd/>
                      <a:tailEnd/>
                    </a:ln>
                  </pic:spPr>
                </pic:pic>
              </a:graphicData>
            </a:graphic>
          </wp:anchor>
        </w:drawing>
      </w:r>
      <w:r>
        <w:drawing>
          <wp:inline distT="0" distB="0" distL="0" distR="0">
            <wp:extent cx="7229475" cy="5398770"/>
            <wp:effectExtent l="19050" t="0" r="9439" b="0"/>
            <wp:docPr id="4" name="图片 36" descr="G:\安然的工作\挣大钱\北测项目\1-塔溪乡马厂河采石场\6-计算\运输路线保护目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6" descr="G:\安然的工作\挣大钱\北测项目\1-塔溪乡马厂河采石场\6-计算\运输路线保护目标.jpg"/>
                    <pic:cNvPicPr>
                      <a:picLocks noChangeAspect="1" noChangeArrowheads="1"/>
                    </pic:cNvPicPr>
                  </pic:nvPicPr>
                  <pic:blipFill>
                    <a:blip r:embed="rId40"/>
                    <a:srcRect r="621"/>
                    <a:stretch>
                      <a:fillRect/>
                    </a:stretch>
                  </pic:blipFill>
                  <pic:spPr>
                    <a:xfrm>
                      <a:off x="0" y="0"/>
                      <a:ext cx="7229561" cy="5399314"/>
                    </a:xfrm>
                    <a:prstGeom prst="rect">
                      <a:avLst/>
                    </a:prstGeom>
                    <a:noFill/>
                    <a:ln w="9525">
                      <a:noFill/>
                      <a:miter lim="800000"/>
                      <a:headEnd/>
                      <a:tailEnd/>
                    </a:ln>
                  </pic:spPr>
                </pic:pic>
              </a:graphicData>
            </a:graphic>
          </wp:inline>
        </w:drawing>
      </w:r>
    </w:p>
    <w:p w14:paraId="4C8C6F40">
      <w:pPr>
        <w:pStyle w:val="178"/>
        <w:rPr>
          <w:rFonts w:hAnsi="Times New Roman"/>
        </w:rPr>
      </w:pPr>
      <w:r>
        <w:t>图2.</w:t>
      </w:r>
      <w:r>
        <w:rPr>
          <w:rFonts w:hint="eastAsia"/>
        </w:rPr>
        <w:t>7</w:t>
      </w:r>
      <w:r>
        <w:t>-</w:t>
      </w:r>
      <w:r>
        <w:rPr>
          <w:rFonts w:hint="eastAsia"/>
        </w:rPr>
        <w:t>2</w:t>
      </w:r>
      <w:r>
        <w:t xml:space="preserve">  本项目</w:t>
      </w:r>
      <w:r>
        <w:rPr>
          <w:rFonts w:hint="eastAsia"/>
        </w:rPr>
        <w:t>运输</w:t>
      </w:r>
      <w:r>
        <w:t>道路环境保护目标情况示意图</w:t>
      </w:r>
    </w:p>
    <w:p w14:paraId="02F5D06F">
      <w:pPr>
        <w:topLinePunct/>
        <w:ind w:firstLine="480"/>
        <w:rPr>
          <w:rFonts w:hAnsi="Times New Roman" w:cs="Times New Roman"/>
        </w:rPr>
        <w:sectPr>
          <w:pgSz w:w="16840" w:h="11907" w:orient="landscape"/>
          <w:pgMar w:top="1440" w:right="1797" w:bottom="1440" w:left="1797" w:header="850" w:footer="1236" w:gutter="0"/>
          <w:cols w:space="720" w:num="1"/>
        </w:sectPr>
      </w:pPr>
    </w:p>
    <w:p w14:paraId="56ED644E">
      <w:pPr>
        <w:pStyle w:val="4"/>
        <w:spacing w:before="234" w:after="156"/>
      </w:pPr>
      <w:r>
        <w:t>厂区周围环境特征</w:t>
      </w:r>
    </w:p>
    <w:p w14:paraId="391F1050">
      <w:pPr>
        <w:ind w:firstLine="480"/>
      </w:pPr>
      <w:r>
        <w:t>本项目</w:t>
      </w:r>
      <w:r>
        <w:rPr>
          <w:rFonts w:hint="eastAsia"/>
        </w:rPr>
        <w:t>矿区四周均为林地，评价范围内林地为重点商品林</w:t>
      </w:r>
      <w:r>
        <w:t>。本项目现场照片见图2.</w:t>
      </w:r>
      <w:r>
        <w:rPr>
          <w:rFonts w:hint="eastAsia"/>
        </w:rPr>
        <w:t>6</w:t>
      </w:r>
      <w:r>
        <w:t>-1。</w:t>
      </w:r>
    </w:p>
    <w:p w14:paraId="55425DB9">
      <w:pPr>
        <w:pStyle w:val="179"/>
      </w:pPr>
      <w:r>
        <w:drawing>
          <wp:inline distT="0" distB="0" distL="0" distR="0">
            <wp:extent cx="2519680" cy="1889125"/>
            <wp:effectExtent l="19050" t="0" r="0" b="0"/>
            <wp:docPr id="50" name="图片 40" descr="G:\安然的工作\挣大钱\北测项目\1-塔溪乡马厂河采石场\1-准备材料\微信图片_20260514125929_1768_2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40" descr="G:\安然的工作\挣大钱\北测项目\1-塔溪乡马厂河采石场\1-准备材料\微信图片_20260514125929_1768_255.jpg"/>
                    <pic:cNvPicPr>
                      <a:picLocks noChangeAspect="1" noChangeArrowheads="1"/>
                    </pic:cNvPicPr>
                  </pic:nvPicPr>
                  <pic:blipFill>
                    <a:blip r:embed="rId41" cstate="print"/>
                    <a:srcRect/>
                    <a:stretch>
                      <a:fillRect/>
                    </a:stretch>
                  </pic:blipFill>
                  <pic:spPr>
                    <a:xfrm>
                      <a:off x="0" y="0"/>
                      <a:ext cx="2520000" cy="1889405"/>
                    </a:xfrm>
                    <a:prstGeom prst="rect">
                      <a:avLst/>
                    </a:prstGeom>
                    <a:noFill/>
                    <a:ln w="9525">
                      <a:noFill/>
                      <a:miter lim="800000"/>
                      <a:headEnd/>
                      <a:tailEnd/>
                    </a:ln>
                  </pic:spPr>
                </pic:pic>
              </a:graphicData>
            </a:graphic>
          </wp:inline>
        </w:drawing>
      </w:r>
      <w:r>
        <w:drawing>
          <wp:inline distT="0" distB="0" distL="0" distR="0">
            <wp:extent cx="2519680" cy="1889125"/>
            <wp:effectExtent l="19050" t="0" r="0" b="0"/>
            <wp:docPr id="51" name="图片 39" descr="G:\安然的工作\挣大钱\北测项目\1-塔溪乡马厂河采石场\1-准备材料\微信图片_20260514125933_1774_2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39" descr="G:\安然的工作\挣大钱\北测项目\1-塔溪乡马厂河采石场\1-准备材料\微信图片_20260514125933_1774_255.jpg"/>
                    <pic:cNvPicPr>
                      <a:picLocks noChangeAspect="1" noChangeArrowheads="1"/>
                    </pic:cNvPicPr>
                  </pic:nvPicPr>
                  <pic:blipFill>
                    <a:blip r:embed="rId42" cstate="print"/>
                    <a:srcRect/>
                    <a:stretch>
                      <a:fillRect/>
                    </a:stretch>
                  </pic:blipFill>
                  <pic:spPr>
                    <a:xfrm>
                      <a:off x="0" y="0"/>
                      <a:ext cx="2520000" cy="1889406"/>
                    </a:xfrm>
                    <a:prstGeom prst="rect">
                      <a:avLst/>
                    </a:prstGeom>
                    <a:noFill/>
                    <a:ln w="9525">
                      <a:noFill/>
                      <a:miter lim="800000"/>
                      <a:headEnd/>
                      <a:tailEnd/>
                    </a:ln>
                  </pic:spPr>
                </pic:pic>
              </a:graphicData>
            </a:graphic>
          </wp:inline>
        </w:drawing>
      </w:r>
      <w:r>
        <w:drawing>
          <wp:inline distT="0" distB="0" distL="0" distR="0">
            <wp:extent cx="2519680" cy="1889125"/>
            <wp:effectExtent l="19050" t="0" r="0" b="0"/>
            <wp:docPr id="54" name="图片 38" descr="G:\安然的工作\挣大钱\北测项目\1-塔溪乡马厂河采石场\1-准备材料\微信图片_20260514125931_1772_2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38" descr="G:\安然的工作\挣大钱\北测项目\1-塔溪乡马厂河采石场\1-准备材料\微信图片_20260514125931_1772_255.jpg"/>
                    <pic:cNvPicPr>
                      <a:picLocks noChangeAspect="1" noChangeArrowheads="1"/>
                    </pic:cNvPicPr>
                  </pic:nvPicPr>
                  <pic:blipFill>
                    <a:blip r:embed="rId43" cstate="print"/>
                    <a:srcRect/>
                    <a:stretch>
                      <a:fillRect/>
                    </a:stretch>
                  </pic:blipFill>
                  <pic:spPr>
                    <a:xfrm>
                      <a:off x="0" y="0"/>
                      <a:ext cx="2520000" cy="1889406"/>
                    </a:xfrm>
                    <a:prstGeom prst="rect">
                      <a:avLst/>
                    </a:prstGeom>
                    <a:noFill/>
                    <a:ln w="9525">
                      <a:noFill/>
                      <a:miter lim="800000"/>
                      <a:headEnd/>
                      <a:tailEnd/>
                    </a:ln>
                  </pic:spPr>
                </pic:pic>
              </a:graphicData>
            </a:graphic>
          </wp:inline>
        </w:drawing>
      </w:r>
      <w:r>
        <w:drawing>
          <wp:inline distT="0" distB="0" distL="0" distR="0">
            <wp:extent cx="2519680" cy="1889125"/>
            <wp:effectExtent l="19050" t="0" r="0" b="0"/>
            <wp:docPr id="55" name="图片 41" descr="G:\安然的工作\挣大钱\北测项目\1-塔溪乡马厂河采石场\1-准备材料\微信图片_20260514125930_1769_2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41" descr="G:\安然的工作\挣大钱\北测项目\1-塔溪乡马厂河采石场\1-准备材料\微信图片_20260514125930_1769_255.jpg"/>
                    <pic:cNvPicPr>
                      <a:picLocks noChangeAspect="1" noChangeArrowheads="1"/>
                    </pic:cNvPicPr>
                  </pic:nvPicPr>
                  <pic:blipFill>
                    <a:blip r:embed="rId44" cstate="print"/>
                    <a:srcRect/>
                    <a:stretch>
                      <a:fillRect/>
                    </a:stretch>
                  </pic:blipFill>
                  <pic:spPr>
                    <a:xfrm>
                      <a:off x="0" y="0"/>
                      <a:ext cx="2520000" cy="1889675"/>
                    </a:xfrm>
                    <a:prstGeom prst="rect">
                      <a:avLst/>
                    </a:prstGeom>
                    <a:noFill/>
                    <a:ln w="9525">
                      <a:noFill/>
                      <a:miter lim="800000"/>
                      <a:headEnd/>
                      <a:tailEnd/>
                    </a:ln>
                  </pic:spPr>
                </pic:pic>
              </a:graphicData>
            </a:graphic>
          </wp:inline>
        </w:drawing>
      </w:r>
    </w:p>
    <w:p w14:paraId="2124C166">
      <w:pPr>
        <w:pStyle w:val="178"/>
      </w:pPr>
      <w:r>
        <w:t>图2.5-1本项目</w:t>
      </w:r>
      <w:r>
        <w:rPr>
          <w:rFonts w:hint="eastAsia"/>
        </w:rPr>
        <w:t>开采区现状</w:t>
      </w:r>
      <w:r>
        <w:t>照片</w:t>
      </w:r>
    </w:p>
    <w:p w14:paraId="651E727E">
      <w:pPr>
        <w:ind w:firstLine="480"/>
      </w:pPr>
    </w:p>
    <w:p w14:paraId="0937CB4E">
      <w:pPr>
        <w:ind w:left="480" w:firstLine="0" w:firstLineChars="0"/>
        <w:sectPr>
          <w:pgSz w:w="11907" w:h="16840"/>
          <w:pgMar w:top="1134" w:right="1797" w:bottom="1134" w:left="1797" w:header="1020" w:footer="1077" w:gutter="0"/>
          <w:cols w:space="720" w:num="1"/>
          <w:docGrid w:type="linesAndChars" w:linePitch="312" w:charSpace="0"/>
        </w:sectPr>
      </w:pPr>
    </w:p>
    <w:p w14:paraId="501844FE">
      <w:pPr>
        <w:pStyle w:val="2"/>
        <w:spacing w:before="156" w:after="234"/>
        <w:rPr>
          <w:rFonts w:cs="Times New Roman"/>
        </w:rPr>
      </w:pPr>
      <w:bookmarkStart w:id="104" w:name="_Toc234927689"/>
      <w:r>
        <w:rPr>
          <w:rFonts w:cs="Times New Roman"/>
        </w:rPr>
        <w:t>建设项目工程分析</w:t>
      </w:r>
      <w:bookmarkEnd w:id="104"/>
    </w:p>
    <w:p w14:paraId="3BB212D2">
      <w:pPr>
        <w:pStyle w:val="3"/>
        <w:spacing w:before="234" w:after="156"/>
        <w:rPr>
          <w:rFonts w:cs="Times New Roman"/>
          <w:bCs/>
        </w:rPr>
      </w:pPr>
      <w:bookmarkStart w:id="105" w:name="bookmark21"/>
      <w:bookmarkEnd w:id="105"/>
      <w:bookmarkStart w:id="106" w:name="bookmark20"/>
      <w:bookmarkEnd w:id="106"/>
      <w:bookmarkStart w:id="107" w:name="_Toc234927690"/>
      <w:r>
        <w:rPr>
          <w:rFonts w:cs="Times New Roman"/>
        </w:rPr>
        <w:t>建设项目概况</w:t>
      </w:r>
      <w:bookmarkEnd w:id="107"/>
    </w:p>
    <w:p w14:paraId="11614DD4">
      <w:pPr>
        <w:pStyle w:val="4"/>
        <w:spacing w:before="234" w:after="156"/>
        <w:rPr>
          <w:rFonts w:hAnsi="Times New Roman" w:cs="Times New Roman"/>
        </w:rPr>
      </w:pPr>
      <w:r>
        <w:rPr>
          <w:rFonts w:hAnsi="Times New Roman" w:cs="Times New Roman"/>
        </w:rPr>
        <w:t>工程基本情况</w:t>
      </w:r>
    </w:p>
    <w:p w14:paraId="5CCAB3A3">
      <w:pPr>
        <w:ind w:firstLine="480"/>
        <w:rPr>
          <w:rFonts w:hAnsi="Times New Roman" w:cs="Times New Roman"/>
        </w:rPr>
      </w:pPr>
      <w:r>
        <w:rPr>
          <w:rFonts w:hAnsi="Times New Roman" w:cs="Times New Roman"/>
        </w:rPr>
        <w:t>工程名称：黑龙江省嫩江市塔溪乡马厂河采石场建筑用凝灰岩矿</w:t>
      </w:r>
    </w:p>
    <w:p w14:paraId="08C9DD8D">
      <w:pPr>
        <w:ind w:firstLine="480"/>
        <w:rPr>
          <w:rFonts w:hAnsi="Times New Roman" w:cs="Times New Roman"/>
        </w:rPr>
      </w:pPr>
      <w:r>
        <w:rPr>
          <w:rFonts w:hAnsi="Times New Roman" w:cs="Times New Roman"/>
        </w:rPr>
        <w:t>项目性质：新建</w:t>
      </w:r>
    </w:p>
    <w:p w14:paraId="4F665E0D">
      <w:pPr>
        <w:ind w:firstLine="480"/>
        <w:rPr>
          <w:rFonts w:hAnsi="Times New Roman" w:cs="Times New Roman"/>
        </w:rPr>
      </w:pPr>
      <w:r>
        <w:rPr>
          <w:rFonts w:hAnsi="Times New Roman" w:cs="Times New Roman"/>
        </w:rPr>
        <w:t>建设单位：黑河市瑞峰建筑工程有限责任公司</w:t>
      </w:r>
    </w:p>
    <w:p w14:paraId="4C896D6E">
      <w:pPr>
        <w:ind w:firstLine="480"/>
        <w:rPr>
          <w:rFonts w:hAnsi="Times New Roman" w:cs="Times New Roman"/>
        </w:rPr>
      </w:pPr>
      <w:r>
        <w:rPr>
          <w:rFonts w:hAnsi="Times New Roman" w:cs="Times New Roman"/>
        </w:rPr>
        <w:t>建设地点：矿区位于黑龙江省嫩江市塔溪乡马厂河北东50m处，嫩江镇北东直距87.00km，塔溪乡乡直南5.0km，东距黑河口岸123km，行政区属嫩江市塔溪乡管辖。有矿山所修沙石公路相通，全年可通行，交通较为便利。</w:t>
      </w:r>
    </w:p>
    <w:p w14:paraId="37E98C47">
      <w:pPr>
        <w:ind w:firstLine="480"/>
        <w:rPr>
          <w:rFonts w:hAnsi="Times New Roman" w:cs="Times New Roman"/>
        </w:rPr>
      </w:pPr>
      <w:r>
        <w:rPr>
          <w:rFonts w:hAnsi="Times New Roman" w:cs="Times New Roman"/>
        </w:rPr>
        <w:t>矿区范围：该矿山为新建矿山，采矿权人为黑河市瑞峰建筑工程有限责任公司，采矿许可证证</w:t>
      </w:r>
      <w:r>
        <w:rPr>
          <w:rFonts w:hint="eastAsia" w:hAnsi="Times New Roman" w:cs="Times New Roman"/>
        </w:rPr>
        <w:t>号</w:t>
      </w:r>
      <w:r>
        <w:rPr>
          <w:rFonts w:hAnsi="Times New Roman" w:cs="Times New Roman"/>
        </w:rPr>
        <w:t>：XC2311832025117160000001，开采矿种为建筑</w:t>
      </w:r>
      <w:r>
        <w:rPr>
          <w:rFonts w:hint="eastAsia" w:hAnsi="Times New Roman" w:cs="Times New Roman"/>
        </w:rPr>
        <w:t>用</w:t>
      </w:r>
      <w:r>
        <w:rPr>
          <w:rFonts w:hAnsi="Times New Roman" w:cs="Times New Roman"/>
        </w:rPr>
        <w:t>石料（凝灰岩），开采方式为露天开采，有效期限</w:t>
      </w:r>
      <w:r>
        <w:rPr>
          <w:rFonts w:hint="eastAsia" w:hAnsi="Times New Roman" w:cs="Times New Roman"/>
        </w:rPr>
        <w:t>拾</w:t>
      </w:r>
      <w:r>
        <w:rPr>
          <w:rFonts w:hAnsi="Times New Roman" w:cs="Times New Roman"/>
        </w:rPr>
        <w:t>年（202</w:t>
      </w:r>
      <w:r>
        <w:rPr>
          <w:rFonts w:hint="eastAsia" w:hAnsi="Times New Roman" w:cs="Times New Roman"/>
        </w:rPr>
        <w:t>5</w:t>
      </w:r>
      <w:r>
        <w:rPr>
          <w:rFonts w:hAnsi="Times New Roman" w:cs="Times New Roman"/>
        </w:rPr>
        <w:t>年1</w:t>
      </w:r>
      <w:r>
        <w:rPr>
          <w:rFonts w:hint="eastAsia" w:hAnsi="Times New Roman" w:cs="Times New Roman"/>
        </w:rPr>
        <w:t>1</w:t>
      </w:r>
      <w:r>
        <w:rPr>
          <w:rFonts w:hAnsi="Times New Roman" w:cs="Times New Roman"/>
        </w:rPr>
        <w:t>月2</w:t>
      </w:r>
      <w:r>
        <w:rPr>
          <w:rFonts w:hint="eastAsia" w:hAnsi="Times New Roman" w:cs="Times New Roman"/>
        </w:rPr>
        <w:t>8</w:t>
      </w:r>
      <w:r>
        <w:rPr>
          <w:rFonts w:hAnsi="Times New Roman" w:cs="Times New Roman"/>
        </w:rPr>
        <w:t>日～20</w:t>
      </w:r>
      <w:r>
        <w:rPr>
          <w:rFonts w:hint="eastAsia" w:hAnsi="Times New Roman" w:cs="Times New Roman"/>
        </w:rPr>
        <w:t>35</w:t>
      </w:r>
      <w:r>
        <w:rPr>
          <w:rFonts w:hAnsi="Times New Roman" w:cs="Times New Roman"/>
        </w:rPr>
        <w:t>年1</w:t>
      </w:r>
      <w:r>
        <w:rPr>
          <w:rFonts w:hint="eastAsia" w:hAnsi="Times New Roman" w:cs="Times New Roman"/>
        </w:rPr>
        <w:t>1</w:t>
      </w:r>
      <w:r>
        <w:rPr>
          <w:rFonts w:hAnsi="Times New Roman" w:cs="Times New Roman"/>
        </w:rPr>
        <w:t>月25日），矿区范围由</w:t>
      </w:r>
      <w:r>
        <w:rPr>
          <w:rFonts w:hint="eastAsia" w:hAnsi="Times New Roman" w:cs="Times New Roman"/>
        </w:rPr>
        <w:t>5</w:t>
      </w:r>
      <w:r>
        <w:rPr>
          <w:rFonts w:hAnsi="Times New Roman" w:cs="Times New Roman"/>
        </w:rPr>
        <w:t>个拐点坐标圈定，矿区面积为0.1101km</w:t>
      </w:r>
      <w:r>
        <w:rPr>
          <w:rFonts w:hAnsi="Times New Roman" w:cs="Times New Roman"/>
          <w:vertAlign w:val="superscript"/>
        </w:rPr>
        <w:t>2</w:t>
      </w:r>
      <w:r>
        <w:rPr>
          <w:rFonts w:hAnsi="Times New Roman" w:cs="Times New Roman"/>
        </w:rPr>
        <w:t>，矿山开采标高为+523.50m至+420.00m。矿区范围拐点坐标见下表。</w:t>
      </w:r>
    </w:p>
    <w:p w14:paraId="7163B836">
      <w:pPr>
        <w:pStyle w:val="178"/>
      </w:pPr>
      <w:r>
        <w:t>表3.</w:t>
      </w:r>
      <w:r>
        <w:rPr>
          <w:rFonts w:hint="eastAsia"/>
        </w:rPr>
        <w:t>1</w:t>
      </w:r>
      <w:r>
        <w:t>-1  矿区范围拐点坐标表</w:t>
      </w:r>
    </w:p>
    <w:tbl>
      <w:tblPr>
        <w:tblStyle w:val="36"/>
        <w:tblW w:w="4998"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523"/>
        <w:gridCol w:w="3134"/>
        <w:gridCol w:w="3869"/>
      </w:tblGrid>
      <w:tr w14:paraId="42D4757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93" w:type="pct"/>
            <w:noWrap/>
            <w:vAlign w:val="center"/>
          </w:tcPr>
          <w:p w14:paraId="72DBF939">
            <w:pPr>
              <w:pStyle w:val="179"/>
            </w:pPr>
            <w:r>
              <w:t>拐点</w:t>
            </w:r>
          </w:p>
        </w:tc>
        <w:tc>
          <w:tcPr>
            <w:tcW w:w="1838" w:type="pct"/>
            <w:noWrap/>
            <w:vAlign w:val="center"/>
          </w:tcPr>
          <w:p w14:paraId="3A7F15CC">
            <w:pPr>
              <w:pStyle w:val="179"/>
            </w:pPr>
            <w:r>
              <w:t>X</w:t>
            </w:r>
          </w:p>
        </w:tc>
        <w:tc>
          <w:tcPr>
            <w:tcW w:w="2269" w:type="pct"/>
            <w:noWrap/>
            <w:vAlign w:val="center"/>
          </w:tcPr>
          <w:p w14:paraId="3C001935">
            <w:pPr>
              <w:pStyle w:val="179"/>
            </w:pPr>
            <w:r>
              <w:t>Y</w:t>
            </w:r>
          </w:p>
        </w:tc>
      </w:tr>
      <w:tr w14:paraId="07E3BBF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93" w:type="pct"/>
            <w:noWrap/>
            <w:vAlign w:val="center"/>
          </w:tcPr>
          <w:p w14:paraId="47CA5BF3">
            <w:pPr>
              <w:pStyle w:val="179"/>
            </w:pPr>
            <w:r>
              <w:t>1</w:t>
            </w:r>
          </w:p>
        </w:tc>
        <w:tc>
          <w:tcPr>
            <w:tcW w:w="1838" w:type="pct"/>
            <w:noWrap/>
            <w:vAlign w:val="center"/>
          </w:tcPr>
          <w:p w14:paraId="3249EADC">
            <w:pPr>
              <w:pStyle w:val="179"/>
              <w:rPr>
                <w:szCs w:val="28"/>
              </w:rPr>
            </w:pPr>
            <w:r>
              <w:t>5479710.23</w:t>
            </w:r>
          </w:p>
        </w:tc>
        <w:tc>
          <w:tcPr>
            <w:tcW w:w="2269" w:type="pct"/>
            <w:noWrap/>
            <w:vAlign w:val="center"/>
          </w:tcPr>
          <w:p w14:paraId="3566A4D8">
            <w:pPr>
              <w:pStyle w:val="179"/>
              <w:rPr>
                <w:szCs w:val="28"/>
              </w:rPr>
            </w:pPr>
            <w:r>
              <w:t>42521951.96</w:t>
            </w:r>
          </w:p>
        </w:tc>
      </w:tr>
      <w:tr w14:paraId="29F5513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93" w:type="pct"/>
            <w:noWrap/>
            <w:vAlign w:val="center"/>
          </w:tcPr>
          <w:p w14:paraId="7FD2D704">
            <w:pPr>
              <w:pStyle w:val="179"/>
            </w:pPr>
            <w:r>
              <w:t>2</w:t>
            </w:r>
          </w:p>
        </w:tc>
        <w:tc>
          <w:tcPr>
            <w:tcW w:w="1838" w:type="pct"/>
            <w:noWrap/>
            <w:vAlign w:val="center"/>
          </w:tcPr>
          <w:p w14:paraId="71D4FCF9">
            <w:pPr>
              <w:pStyle w:val="179"/>
              <w:rPr>
                <w:szCs w:val="28"/>
              </w:rPr>
            </w:pPr>
            <w:r>
              <w:t>5479331.29</w:t>
            </w:r>
          </w:p>
        </w:tc>
        <w:tc>
          <w:tcPr>
            <w:tcW w:w="2269" w:type="pct"/>
            <w:noWrap/>
            <w:vAlign w:val="center"/>
          </w:tcPr>
          <w:p w14:paraId="2A0E3DBA">
            <w:pPr>
              <w:pStyle w:val="179"/>
              <w:rPr>
                <w:szCs w:val="28"/>
              </w:rPr>
            </w:pPr>
            <w:r>
              <w:t>42522324.45</w:t>
            </w:r>
          </w:p>
        </w:tc>
      </w:tr>
      <w:tr w14:paraId="4972743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93" w:type="pct"/>
            <w:noWrap/>
            <w:vAlign w:val="center"/>
          </w:tcPr>
          <w:p w14:paraId="04A65DAC">
            <w:pPr>
              <w:pStyle w:val="179"/>
            </w:pPr>
            <w:r>
              <w:t>3</w:t>
            </w:r>
          </w:p>
        </w:tc>
        <w:tc>
          <w:tcPr>
            <w:tcW w:w="1838" w:type="pct"/>
            <w:noWrap/>
            <w:vAlign w:val="center"/>
          </w:tcPr>
          <w:p w14:paraId="6AF34760">
            <w:pPr>
              <w:pStyle w:val="179"/>
              <w:rPr>
                <w:sz w:val="22"/>
                <w:szCs w:val="28"/>
              </w:rPr>
            </w:pPr>
            <w:r>
              <w:rPr>
                <w:kern w:val="0"/>
              </w:rPr>
              <w:t>5479193.53</w:t>
            </w:r>
          </w:p>
        </w:tc>
        <w:tc>
          <w:tcPr>
            <w:tcW w:w="2269" w:type="pct"/>
            <w:noWrap/>
            <w:vAlign w:val="center"/>
          </w:tcPr>
          <w:p w14:paraId="5BD7D343">
            <w:pPr>
              <w:pStyle w:val="179"/>
              <w:rPr>
                <w:sz w:val="22"/>
                <w:szCs w:val="28"/>
              </w:rPr>
            </w:pPr>
            <w:r>
              <w:rPr>
                <w:kern w:val="0"/>
              </w:rPr>
              <w:t>42522171.24</w:t>
            </w:r>
          </w:p>
        </w:tc>
      </w:tr>
      <w:tr w14:paraId="1FD12EA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93" w:type="pct"/>
            <w:noWrap/>
            <w:vAlign w:val="center"/>
          </w:tcPr>
          <w:p w14:paraId="4284E7D7">
            <w:pPr>
              <w:pStyle w:val="179"/>
            </w:pPr>
            <w:r>
              <w:t>4</w:t>
            </w:r>
          </w:p>
        </w:tc>
        <w:tc>
          <w:tcPr>
            <w:tcW w:w="1838" w:type="pct"/>
            <w:noWrap/>
            <w:vAlign w:val="center"/>
          </w:tcPr>
          <w:p w14:paraId="00101E64">
            <w:pPr>
              <w:pStyle w:val="179"/>
              <w:rPr>
                <w:sz w:val="22"/>
                <w:szCs w:val="28"/>
              </w:rPr>
            </w:pPr>
            <w:r>
              <w:rPr>
                <w:kern w:val="0"/>
              </w:rPr>
              <w:t>5479195.21</w:t>
            </w:r>
          </w:p>
        </w:tc>
        <w:tc>
          <w:tcPr>
            <w:tcW w:w="2269" w:type="pct"/>
            <w:noWrap/>
            <w:vAlign w:val="center"/>
          </w:tcPr>
          <w:p w14:paraId="5350CAC2">
            <w:pPr>
              <w:pStyle w:val="179"/>
              <w:rPr>
                <w:sz w:val="22"/>
                <w:szCs w:val="28"/>
              </w:rPr>
            </w:pPr>
            <w:r>
              <w:rPr>
                <w:kern w:val="0"/>
              </w:rPr>
              <w:t>42522163.81</w:t>
            </w:r>
          </w:p>
        </w:tc>
      </w:tr>
      <w:tr w14:paraId="5CFBEFC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93" w:type="pct"/>
            <w:noWrap/>
            <w:vAlign w:val="center"/>
          </w:tcPr>
          <w:p w14:paraId="7C257C2B">
            <w:pPr>
              <w:pStyle w:val="179"/>
            </w:pPr>
            <w:r>
              <w:rPr>
                <w:rFonts w:hint="eastAsia"/>
              </w:rPr>
              <w:t>5</w:t>
            </w:r>
          </w:p>
        </w:tc>
        <w:tc>
          <w:tcPr>
            <w:tcW w:w="1838" w:type="pct"/>
            <w:noWrap/>
            <w:vAlign w:val="center"/>
          </w:tcPr>
          <w:p w14:paraId="1B97CE3F">
            <w:pPr>
              <w:pStyle w:val="179"/>
              <w:rPr>
                <w:kern w:val="0"/>
              </w:rPr>
            </w:pPr>
            <w:r>
              <w:rPr>
                <w:kern w:val="0"/>
              </w:rPr>
              <w:t>5479559.49</w:t>
            </w:r>
          </w:p>
        </w:tc>
        <w:tc>
          <w:tcPr>
            <w:tcW w:w="2269" w:type="pct"/>
            <w:noWrap/>
            <w:vAlign w:val="center"/>
          </w:tcPr>
          <w:p w14:paraId="367ECE9D">
            <w:pPr>
              <w:pStyle w:val="179"/>
              <w:rPr>
                <w:kern w:val="0"/>
              </w:rPr>
            </w:pPr>
            <w:r>
              <w:rPr>
                <w:kern w:val="0"/>
              </w:rPr>
              <w:t>42521805.70</w:t>
            </w:r>
          </w:p>
        </w:tc>
      </w:tr>
      <w:tr w14:paraId="3BF6794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00" w:type="pct"/>
            <w:gridSpan w:val="3"/>
            <w:noWrap/>
            <w:vAlign w:val="center"/>
          </w:tcPr>
          <w:p w14:paraId="6A591B2D">
            <w:pPr>
              <w:pStyle w:val="179"/>
            </w:pPr>
            <w:r>
              <w:t>2000国家大地坐标系，开采深度：+523.50m至+420.00m</w:t>
            </w:r>
          </w:p>
        </w:tc>
      </w:tr>
    </w:tbl>
    <w:p w14:paraId="7D31E939">
      <w:pPr>
        <w:ind w:firstLine="480"/>
      </w:pPr>
      <w:r>
        <w:t>矿山规模：生产规模30.00万</w:t>
      </w:r>
      <w:r>
        <w:rPr>
          <w:rFonts w:hint="eastAsia"/>
        </w:rPr>
        <w:t>m</w:t>
      </w:r>
      <w:r>
        <w:rPr>
          <w:rFonts w:hint="eastAsia"/>
          <w:vertAlign w:val="superscript"/>
        </w:rPr>
        <w:t>3</w:t>
      </w:r>
      <w:r>
        <w:t>/年。年工作</w:t>
      </w:r>
      <w:r>
        <w:rPr>
          <w:rFonts w:hint="eastAsia"/>
        </w:rPr>
        <w:t>180</w:t>
      </w:r>
      <w:r>
        <w:t>d，采用</w:t>
      </w:r>
      <w:r>
        <w:rPr>
          <w:rFonts w:hint="eastAsia"/>
        </w:rPr>
        <w:t>露天</w:t>
      </w:r>
      <w:r>
        <w:t>开采方式，服务年限为</w:t>
      </w:r>
      <w:r>
        <w:rPr>
          <w:rFonts w:hint="eastAsia"/>
        </w:rPr>
        <w:t>10</w:t>
      </w:r>
      <w:r>
        <w:t>年。</w:t>
      </w:r>
    </w:p>
    <w:p w14:paraId="6711BE74">
      <w:pPr>
        <w:ind w:firstLine="480"/>
      </w:pPr>
      <w:r>
        <w:t>工程投资：项目总投资</w:t>
      </w:r>
      <w:r>
        <w:rPr>
          <w:rFonts w:hint="eastAsia"/>
        </w:rPr>
        <w:t>3500万</w:t>
      </w:r>
      <w:r>
        <w:t>元。</w:t>
      </w:r>
    </w:p>
    <w:p w14:paraId="4786CD26">
      <w:pPr>
        <w:ind w:firstLine="480"/>
      </w:pPr>
      <w:r>
        <w:rPr>
          <w:rFonts w:hint="eastAsia"/>
        </w:rPr>
        <w:t>工程进度：本项目于2025年11月开始施工，进行场地平整及矿区运输道路施工，现状道路附近表土剥离已完成，目前已停止施工。</w:t>
      </w:r>
    </w:p>
    <w:p w14:paraId="3F660C46">
      <w:pPr>
        <w:ind w:firstLine="480"/>
      </w:pPr>
      <w:r>
        <w:t>工作制度：劳动定员</w:t>
      </w:r>
      <w:r>
        <w:rPr>
          <w:rFonts w:hint="eastAsia"/>
        </w:rPr>
        <w:t>10</w:t>
      </w:r>
      <w:r>
        <w:t>人，年工作</w:t>
      </w:r>
      <w:r>
        <w:rPr>
          <w:rFonts w:hint="eastAsia"/>
        </w:rPr>
        <w:t>180</w:t>
      </w:r>
      <w:r>
        <w:t>天，一班8小时制。矿区内无食堂，无宿舍。</w:t>
      </w:r>
    </w:p>
    <w:p w14:paraId="50EC18E8">
      <w:pPr>
        <w:pStyle w:val="4"/>
        <w:spacing w:before="234" w:after="156"/>
        <w:rPr>
          <w:rFonts w:hAnsi="Times New Roman" w:cs="Times New Roman"/>
        </w:rPr>
      </w:pPr>
      <w:bookmarkStart w:id="108" w:name="_Toc10665"/>
      <w:bookmarkStart w:id="109" w:name="_Toc17863"/>
      <w:r>
        <w:rPr>
          <w:rFonts w:hAnsi="Times New Roman" w:cs="Times New Roman"/>
        </w:rPr>
        <w:t>建设</w:t>
      </w:r>
      <w:r>
        <w:rPr>
          <w:rFonts w:hint="eastAsia" w:hAnsi="Times New Roman" w:cs="Times New Roman"/>
        </w:rPr>
        <w:t>项目</w:t>
      </w:r>
      <w:r>
        <w:rPr>
          <w:rFonts w:hAnsi="Times New Roman" w:cs="Times New Roman"/>
        </w:rPr>
        <w:t>组成</w:t>
      </w:r>
    </w:p>
    <w:p w14:paraId="1BD1F879">
      <w:pPr>
        <w:pStyle w:val="5"/>
        <w:spacing w:before="156" w:after="156"/>
      </w:pPr>
      <w:r>
        <w:t>工程组成内容</w:t>
      </w:r>
    </w:p>
    <w:p w14:paraId="0F12A396">
      <w:pPr>
        <w:ind w:firstLine="480"/>
      </w:pPr>
      <w:r>
        <w:t>本项目主要建设内容一览表见表3.</w:t>
      </w:r>
      <w:r>
        <w:rPr>
          <w:rFonts w:hint="eastAsia"/>
        </w:rPr>
        <w:t>1</w:t>
      </w:r>
      <w:r>
        <w:t>-</w:t>
      </w:r>
      <w:r>
        <w:rPr>
          <w:rFonts w:hint="eastAsia"/>
        </w:rPr>
        <w:t>2</w:t>
      </w:r>
      <w:r>
        <w:t>。</w:t>
      </w:r>
    </w:p>
    <w:p w14:paraId="32B51F3B">
      <w:pPr>
        <w:pStyle w:val="178"/>
      </w:pPr>
      <w:r>
        <w:rPr>
          <w:rFonts w:hint="eastAsia"/>
        </w:rPr>
        <w:t>表3.1-2  项目组成一览表</w:t>
      </w:r>
    </w:p>
    <w:tbl>
      <w:tblPr>
        <w:tblStyle w:val="36"/>
        <w:tblW w:w="8505"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
      <w:tblGrid>
        <w:gridCol w:w="624"/>
        <w:gridCol w:w="1315"/>
        <w:gridCol w:w="5244"/>
        <w:gridCol w:w="1322"/>
      </w:tblGrid>
      <w:tr w14:paraId="5407796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tblHeader/>
          <w:jc w:val="center"/>
        </w:trPr>
        <w:tc>
          <w:tcPr>
            <w:tcW w:w="1140" w:type="pct"/>
            <w:gridSpan w:val="2"/>
            <w:vAlign w:val="center"/>
          </w:tcPr>
          <w:p w14:paraId="5E0261C4">
            <w:pPr>
              <w:pStyle w:val="179"/>
              <w:rPr>
                <w:b/>
              </w:rPr>
            </w:pPr>
            <w:r>
              <w:rPr>
                <w:b/>
              </w:rPr>
              <w:t>建设内容</w:t>
            </w:r>
          </w:p>
        </w:tc>
        <w:tc>
          <w:tcPr>
            <w:tcW w:w="3083" w:type="pct"/>
            <w:vAlign w:val="center"/>
          </w:tcPr>
          <w:p w14:paraId="113A21FC">
            <w:pPr>
              <w:pStyle w:val="179"/>
              <w:rPr>
                <w:b/>
              </w:rPr>
            </w:pPr>
            <w:r>
              <w:rPr>
                <w:b/>
              </w:rPr>
              <w:t>建设规模及内容</w:t>
            </w:r>
          </w:p>
        </w:tc>
        <w:tc>
          <w:tcPr>
            <w:tcW w:w="777" w:type="pct"/>
            <w:vAlign w:val="center"/>
          </w:tcPr>
          <w:p w14:paraId="7A2955B0">
            <w:pPr>
              <w:pStyle w:val="179"/>
              <w:rPr>
                <w:b/>
              </w:rPr>
            </w:pPr>
            <w:r>
              <w:rPr>
                <w:b/>
              </w:rPr>
              <w:t>备注</w:t>
            </w:r>
          </w:p>
        </w:tc>
      </w:tr>
      <w:tr w14:paraId="1FB681F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67" w:type="pct"/>
            <w:vAlign w:val="center"/>
          </w:tcPr>
          <w:p w14:paraId="31C320BB">
            <w:pPr>
              <w:pStyle w:val="179"/>
            </w:pPr>
            <w:r>
              <w:t>主体工程</w:t>
            </w:r>
          </w:p>
        </w:tc>
        <w:tc>
          <w:tcPr>
            <w:tcW w:w="773" w:type="pct"/>
            <w:vAlign w:val="center"/>
          </w:tcPr>
          <w:p w14:paraId="70D8E160">
            <w:pPr>
              <w:pStyle w:val="179"/>
            </w:pPr>
            <w:r>
              <w:t>开采区</w:t>
            </w:r>
          </w:p>
        </w:tc>
        <w:tc>
          <w:tcPr>
            <w:tcW w:w="3083" w:type="pct"/>
            <w:vAlign w:val="center"/>
          </w:tcPr>
          <w:p w14:paraId="5EA2986E">
            <w:pPr>
              <w:pStyle w:val="179"/>
              <w:jc w:val="both"/>
            </w:pPr>
            <w:r>
              <w:t>开采矿种为建筑用</w:t>
            </w:r>
            <w:r>
              <w:rPr>
                <w:rFonts w:hint="eastAsia"/>
              </w:rPr>
              <w:t>凝灰岩</w:t>
            </w:r>
            <w:r>
              <w:t>，矿</w:t>
            </w:r>
            <w:r>
              <w:rPr>
                <w:rFonts w:cs="Times New Roman"/>
              </w:rPr>
              <w:t>区面积</w:t>
            </w:r>
            <w:r>
              <w:rPr>
                <w:rFonts w:hint="eastAsia" w:cs="Times New Roman"/>
              </w:rPr>
              <w:t>0.1101km</w:t>
            </w:r>
            <w:r>
              <w:rPr>
                <w:rFonts w:hint="eastAsia" w:cs="Times New Roman"/>
                <w:vertAlign w:val="superscript"/>
              </w:rPr>
              <w:t>2</w:t>
            </w:r>
            <w:r>
              <w:rPr>
                <w:rFonts w:cs="Times New Roman"/>
              </w:rPr>
              <w:t>，边坡内资源量为320.38×10</w:t>
            </w:r>
            <w:r>
              <w:rPr>
                <w:rFonts w:cs="Times New Roman"/>
                <w:vertAlign w:val="superscript"/>
              </w:rPr>
              <w:t>4</w:t>
            </w:r>
            <w:r>
              <w:rPr>
                <w:rFonts w:cs="Times New Roman"/>
              </w:rPr>
              <w:t>m</w:t>
            </w:r>
            <w:r>
              <w:rPr>
                <w:rFonts w:cs="Times New Roman"/>
                <w:vertAlign w:val="superscript"/>
              </w:rPr>
              <w:t>3</w:t>
            </w:r>
            <w:r>
              <w:rPr>
                <w:rFonts w:cs="Times New Roman"/>
              </w:rPr>
              <w:t>，可采资源量304.36×10</w:t>
            </w:r>
            <w:r>
              <w:rPr>
                <w:rFonts w:cs="Times New Roman"/>
                <w:vertAlign w:val="superscript"/>
              </w:rPr>
              <w:t>4</w:t>
            </w:r>
            <w:r>
              <w:rPr>
                <w:rFonts w:cs="Times New Roman"/>
              </w:rPr>
              <w:t>m</w:t>
            </w:r>
            <w:r>
              <w:rPr>
                <w:rFonts w:cs="Times New Roman"/>
                <w:vertAlign w:val="superscript"/>
              </w:rPr>
              <w:t>3</w:t>
            </w:r>
            <w:r>
              <w:rPr>
                <w:rFonts w:cs="Times New Roman"/>
              </w:rPr>
              <w:t>，开采规模30.00×10</w:t>
            </w:r>
            <w:r>
              <w:rPr>
                <w:rFonts w:cs="Times New Roman"/>
                <w:vertAlign w:val="superscript"/>
              </w:rPr>
              <w:t>4</w:t>
            </w:r>
            <w:r>
              <w:rPr>
                <w:rFonts w:cs="Times New Roman"/>
              </w:rPr>
              <w:t>m</w:t>
            </w:r>
            <w:r>
              <w:rPr>
                <w:rFonts w:cs="Times New Roman"/>
                <w:vertAlign w:val="superscript"/>
              </w:rPr>
              <w:t>3</w:t>
            </w:r>
            <w:r>
              <w:rPr>
                <w:rFonts w:cs="Times New Roman"/>
              </w:rPr>
              <w:t>/a，矿山服务年限为</w:t>
            </w:r>
            <w:r>
              <w:rPr>
                <w:rFonts w:hint="eastAsia" w:cs="Times New Roman"/>
              </w:rPr>
              <w:t>10</w:t>
            </w:r>
            <w:r>
              <w:rPr>
                <w:rFonts w:cs="Times New Roman"/>
              </w:rPr>
              <w:t>年。采用公路运输。设计矿山开采方式为露天开采。采用自上而下水平分台阶机械化开</w:t>
            </w:r>
            <w:r>
              <w:t>采</w:t>
            </w:r>
            <w:r>
              <w:rPr>
                <w:rFonts w:hint="eastAsia"/>
              </w:rPr>
              <w:t>。</w:t>
            </w:r>
          </w:p>
        </w:tc>
        <w:tc>
          <w:tcPr>
            <w:tcW w:w="777" w:type="pct"/>
            <w:vAlign w:val="center"/>
          </w:tcPr>
          <w:p w14:paraId="30E35F8F">
            <w:pPr>
              <w:pStyle w:val="179"/>
            </w:pPr>
            <w:r>
              <w:rPr>
                <w:rFonts w:hint="eastAsia"/>
              </w:rPr>
              <w:t>占地类型为乔木林地。</w:t>
            </w:r>
          </w:p>
        </w:tc>
      </w:tr>
      <w:tr w14:paraId="344C912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67" w:type="pct"/>
            <w:vMerge w:val="restart"/>
            <w:vAlign w:val="center"/>
          </w:tcPr>
          <w:p w14:paraId="6AC70D0C">
            <w:pPr>
              <w:pStyle w:val="179"/>
            </w:pPr>
            <w:r>
              <w:t>储运工程</w:t>
            </w:r>
          </w:p>
        </w:tc>
        <w:tc>
          <w:tcPr>
            <w:tcW w:w="773" w:type="pct"/>
            <w:vAlign w:val="center"/>
          </w:tcPr>
          <w:p w14:paraId="307E220B">
            <w:pPr>
              <w:pStyle w:val="179"/>
            </w:pPr>
            <w:r>
              <w:rPr>
                <w:rFonts w:hint="eastAsia"/>
              </w:rPr>
              <w:t>进场道路</w:t>
            </w:r>
          </w:p>
        </w:tc>
        <w:tc>
          <w:tcPr>
            <w:tcW w:w="3083" w:type="pct"/>
            <w:vAlign w:val="center"/>
          </w:tcPr>
          <w:p w14:paraId="7B28C806">
            <w:pPr>
              <w:pStyle w:val="179"/>
              <w:jc w:val="both"/>
            </w:pPr>
            <w:r>
              <w:rPr>
                <w:rFonts w:hint="eastAsia"/>
              </w:rPr>
              <w:t>项目产品</w:t>
            </w:r>
            <w:r>
              <w:t>采用自卸汽车运输方式</w:t>
            </w:r>
            <w:r>
              <w:rPr>
                <w:rFonts w:hint="eastAsia"/>
              </w:rPr>
              <w:t>，进场道路</w:t>
            </w:r>
            <w:r>
              <w:t>长</w:t>
            </w:r>
            <w:r>
              <w:rPr>
                <w:rFonts w:hint="eastAsia"/>
              </w:rPr>
              <w:t>20</w:t>
            </w:r>
            <w:r>
              <w:t>m，宽6m，为砂石路</w:t>
            </w:r>
            <w:r>
              <w:rPr>
                <w:rFonts w:hint="eastAsia"/>
              </w:rPr>
              <w:t>。进场道路与现有道路衔接，现有道路满足运输车辆需求。</w:t>
            </w:r>
          </w:p>
        </w:tc>
        <w:tc>
          <w:tcPr>
            <w:tcW w:w="777" w:type="pct"/>
            <w:vAlign w:val="center"/>
          </w:tcPr>
          <w:p w14:paraId="6AF2F9BD">
            <w:pPr>
              <w:pStyle w:val="179"/>
            </w:pPr>
            <w:r>
              <w:rPr>
                <w:rFonts w:hint="eastAsia"/>
              </w:rPr>
              <w:t>新建/依托</w:t>
            </w:r>
          </w:p>
        </w:tc>
      </w:tr>
      <w:tr w14:paraId="241BDBB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67" w:type="pct"/>
            <w:vMerge w:val="continue"/>
            <w:vAlign w:val="center"/>
          </w:tcPr>
          <w:p w14:paraId="00E66BB8">
            <w:pPr>
              <w:pStyle w:val="179"/>
            </w:pPr>
          </w:p>
        </w:tc>
        <w:tc>
          <w:tcPr>
            <w:tcW w:w="773" w:type="pct"/>
            <w:vAlign w:val="center"/>
          </w:tcPr>
          <w:p w14:paraId="12AF6165">
            <w:pPr>
              <w:pStyle w:val="179"/>
            </w:pPr>
            <w:r>
              <w:rPr>
                <w:rFonts w:hint="eastAsia"/>
              </w:rPr>
              <w:t>成品</w:t>
            </w:r>
            <w:r>
              <w:t>堆场</w:t>
            </w:r>
          </w:p>
        </w:tc>
        <w:tc>
          <w:tcPr>
            <w:tcW w:w="3083" w:type="pct"/>
            <w:vAlign w:val="center"/>
          </w:tcPr>
          <w:p w14:paraId="68DA6F1B">
            <w:pPr>
              <w:pStyle w:val="179"/>
              <w:jc w:val="both"/>
            </w:pPr>
            <w:r>
              <w:t>本项目</w:t>
            </w:r>
            <w:r>
              <w:rPr>
                <w:rFonts w:hint="eastAsia"/>
              </w:rPr>
              <w:t>不设置成品堆场</w:t>
            </w:r>
            <w:r>
              <w:t>，</w:t>
            </w:r>
            <w:r>
              <w:rPr>
                <w:rFonts w:hint="eastAsia"/>
              </w:rPr>
              <w:t>成品料临时堆放在开采区底部，随开采作业面移动，成品堆场（堆土场）面积约2000m</w:t>
            </w:r>
            <w:r>
              <w:rPr>
                <w:rFonts w:hint="eastAsia"/>
                <w:vertAlign w:val="superscript"/>
              </w:rPr>
              <w:t>2</w:t>
            </w:r>
            <w:r>
              <w:rPr>
                <w:rFonts w:hint="eastAsia"/>
              </w:rPr>
              <w:t>。</w:t>
            </w:r>
          </w:p>
        </w:tc>
        <w:tc>
          <w:tcPr>
            <w:tcW w:w="777" w:type="pct"/>
            <w:vAlign w:val="center"/>
          </w:tcPr>
          <w:p w14:paraId="1911147D">
            <w:pPr>
              <w:pStyle w:val="179"/>
            </w:pPr>
            <w:r>
              <w:t>/</w:t>
            </w:r>
          </w:p>
        </w:tc>
      </w:tr>
      <w:tr w14:paraId="2B500F9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67" w:type="pct"/>
            <w:vMerge w:val="continue"/>
            <w:vAlign w:val="center"/>
          </w:tcPr>
          <w:p w14:paraId="7E73331F">
            <w:pPr>
              <w:pStyle w:val="179"/>
            </w:pPr>
          </w:p>
        </w:tc>
        <w:tc>
          <w:tcPr>
            <w:tcW w:w="773" w:type="pct"/>
            <w:vAlign w:val="center"/>
          </w:tcPr>
          <w:p w14:paraId="0F8BA155">
            <w:pPr>
              <w:pStyle w:val="179"/>
            </w:pPr>
            <w:r>
              <w:rPr>
                <w:rFonts w:hint="eastAsia"/>
              </w:rPr>
              <w:t>排土场</w:t>
            </w:r>
          </w:p>
        </w:tc>
        <w:tc>
          <w:tcPr>
            <w:tcW w:w="3083" w:type="pct"/>
            <w:vAlign w:val="center"/>
          </w:tcPr>
          <w:p w14:paraId="05F647A4">
            <w:pPr>
              <w:pStyle w:val="179"/>
              <w:jc w:val="both"/>
            </w:pPr>
            <w:r>
              <w:t>项目废石废土产生量较少，不设置排土场，少量废石临时堆放在开采区，用于台阶边坡防护</w:t>
            </w:r>
          </w:p>
        </w:tc>
        <w:tc>
          <w:tcPr>
            <w:tcW w:w="777" w:type="pct"/>
            <w:vAlign w:val="center"/>
          </w:tcPr>
          <w:p w14:paraId="7C4BF476">
            <w:pPr>
              <w:pStyle w:val="179"/>
            </w:pPr>
            <w:r>
              <w:t>/</w:t>
            </w:r>
          </w:p>
        </w:tc>
      </w:tr>
      <w:tr w14:paraId="5D54928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67" w:type="pct"/>
            <w:vMerge w:val="continue"/>
            <w:vAlign w:val="center"/>
          </w:tcPr>
          <w:p w14:paraId="659EE10E">
            <w:pPr>
              <w:pStyle w:val="179"/>
            </w:pPr>
          </w:p>
        </w:tc>
        <w:tc>
          <w:tcPr>
            <w:tcW w:w="773" w:type="pct"/>
            <w:vAlign w:val="center"/>
          </w:tcPr>
          <w:p w14:paraId="162172DE">
            <w:pPr>
              <w:pStyle w:val="179"/>
            </w:pPr>
            <w:r>
              <w:rPr>
                <w:rFonts w:hint="eastAsia"/>
              </w:rPr>
              <w:t>表土堆场</w:t>
            </w:r>
          </w:p>
        </w:tc>
        <w:tc>
          <w:tcPr>
            <w:tcW w:w="3083" w:type="pct"/>
            <w:vAlign w:val="center"/>
          </w:tcPr>
          <w:p w14:paraId="151DF496">
            <w:pPr>
              <w:pStyle w:val="179"/>
              <w:jc w:val="both"/>
            </w:pPr>
            <w:r>
              <w:rPr>
                <w:rFonts w:hint="eastAsia"/>
              </w:rPr>
              <w:t>位于矿区占地内，用于堆放剥离的表土，总占地面积</w:t>
            </w:r>
            <w:r>
              <w:rPr>
                <w:rFonts w:hint="eastAsia" w:cs="Times New Roman"/>
              </w:rPr>
              <w:t>1.02h</w:t>
            </w:r>
            <w:r>
              <w:t>m</w:t>
            </w:r>
            <w:r>
              <w:rPr>
                <w:rFonts w:hint="eastAsia"/>
                <w:vertAlign w:val="superscript"/>
              </w:rPr>
              <w:t>2</w:t>
            </w:r>
            <w:r>
              <w:rPr>
                <w:rFonts w:hint="eastAsia"/>
              </w:rPr>
              <w:t>，项目剥离表土量</w:t>
            </w:r>
            <w:r>
              <w:t>5502</w:t>
            </w:r>
            <w:r>
              <w:rPr>
                <w:rFonts w:hint="eastAsia"/>
              </w:rPr>
              <w:t>6</w:t>
            </w:r>
            <w:r>
              <w:t>m</w:t>
            </w:r>
            <w:r>
              <w:rPr>
                <w:vertAlign w:val="superscript"/>
              </w:rPr>
              <w:t>3</w:t>
            </w:r>
            <w:r>
              <w:rPr>
                <w:rFonts w:hint="eastAsia"/>
              </w:rPr>
              <w:t>，堆土高度3</w:t>
            </w:r>
            <w:r>
              <w:t>m</w:t>
            </w:r>
            <w:r>
              <w:rPr>
                <w:rFonts w:hint="eastAsia"/>
              </w:rPr>
              <w:t>，最大存储量30</w:t>
            </w:r>
            <w:r>
              <w:t>000m</w:t>
            </w:r>
            <w:r>
              <w:rPr>
                <w:vertAlign w:val="superscript"/>
              </w:rPr>
              <w:t>3</w:t>
            </w:r>
            <w:r>
              <w:rPr>
                <w:rFonts w:hint="eastAsia"/>
              </w:rPr>
              <w:t>。</w:t>
            </w:r>
            <w:r>
              <w:t>本项目剥离的表土暂存于表土场，用于后期生态恢复</w:t>
            </w:r>
            <w:r>
              <w:rPr>
                <w:rFonts w:hint="eastAsia"/>
              </w:rPr>
              <w:t>。由于项目采用边开采边恢复方式，表土最大暂存量为</w:t>
            </w:r>
            <w:r>
              <w:t>27513 m</w:t>
            </w:r>
            <w:r>
              <w:rPr>
                <w:vertAlign w:val="superscript"/>
              </w:rPr>
              <w:t>3</w:t>
            </w:r>
            <w:r>
              <w:t>，表土堆场面积符合容纳需求。</w:t>
            </w:r>
          </w:p>
        </w:tc>
        <w:tc>
          <w:tcPr>
            <w:tcW w:w="777" w:type="pct"/>
            <w:vAlign w:val="center"/>
          </w:tcPr>
          <w:p w14:paraId="0B3B58BB">
            <w:pPr>
              <w:pStyle w:val="179"/>
            </w:pPr>
            <w:r>
              <w:rPr>
                <w:rFonts w:hint="eastAsia"/>
              </w:rPr>
              <w:t>占地类型为乔木林地</w:t>
            </w:r>
          </w:p>
        </w:tc>
      </w:tr>
      <w:tr w14:paraId="74859E0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67" w:type="pct"/>
            <w:vMerge w:val="restart"/>
            <w:vAlign w:val="center"/>
          </w:tcPr>
          <w:p w14:paraId="126EBFF0">
            <w:pPr>
              <w:pStyle w:val="179"/>
            </w:pPr>
            <w:r>
              <w:t>公用工程</w:t>
            </w:r>
          </w:p>
        </w:tc>
        <w:tc>
          <w:tcPr>
            <w:tcW w:w="773" w:type="pct"/>
            <w:vAlign w:val="center"/>
          </w:tcPr>
          <w:p w14:paraId="375D25B3">
            <w:pPr>
              <w:pStyle w:val="179"/>
            </w:pPr>
            <w:r>
              <w:t>给水</w:t>
            </w:r>
          </w:p>
        </w:tc>
        <w:tc>
          <w:tcPr>
            <w:tcW w:w="3083" w:type="pct"/>
            <w:vAlign w:val="center"/>
          </w:tcPr>
          <w:p w14:paraId="1C45F34C">
            <w:pPr>
              <w:pStyle w:val="179"/>
              <w:jc w:val="both"/>
            </w:pPr>
            <w:r>
              <w:rPr>
                <w:rFonts w:hint="eastAsia"/>
              </w:rPr>
              <w:t>矿区内生活用水外购，生产用水优先采用矿区汇水，不足部分用水由洒水车由塔溪乡乡直运输，运距6.5km，采区矿区汇水汇入630</w:t>
            </w:r>
            <w:r>
              <w:t>m</w:t>
            </w:r>
            <w:r>
              <w:rPr>
                <w:vertAlign w:val="superscript"/>
              </w:rPr>
              <w:t>3</w:t>
            </w:r>
            <w:r>
              <w:rPr>
                <w:rFonts w:hint="eastAsia"/>
              </w:rPr>
              <w:t>贮水池。</w:t>
            </w:r>
          </w:p>
        </w:tc>
        <w:tc>
          <w:tcPr>
            <w:tcW w:w="777" w:type="pct"/>
            <w:vAlign w:val="center"/>
          </w:tcPr>
          <w:p w14:paraId="2125C556">
            <w:pPr>
              <w:pStyle w:val="179"/>
            </w:pPr>
            <w:r>
              <w:rPr>
                <w:rFonts w:hint="eastAsia"/>
              </w:rPr>
              <w:t>新建</w:t>
            </w:r>
          </w:p>
        </w:tc>
      </w:tr>
      <w:tr w14:paraId="3FDCA6C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67" w:type="pct"/>
            <w:vMerge w:val="continue"/>
            <w:vAlign w:val="center"/>
          </w:tcPr>
          <w:p w14:paraId="0B270804">
            <w:pPr>
              <w:pStyle w:val="179"/>
            </w:pPr>
          </w:p>
        </w:tc>
        <w:tc>
          <w:tcPr>
            <w:tcW w:w="773" w:type="pct"/>
            <w:vAlign w:val="center"/>
          </w:tcPr>
          <w:p w14:paraId="1720A8CE">
            <w:pPr>
              <w:pStyle w:val="179"/>
            </w:pPr>
            <w:r>
              <w:t>供热</w:t>
            </w:r>
          </w:p>
        </w:tc>
        <w:tc>
          <w:tcPr>
            <w:tcW w:w="3083" w:type="pct"/>
            <w:vAlign w:val="center"/>
          </w:tcPr>
          <w:p w14:paraId="5EDCF016">
            <w:pPr>
              <w:pStyle w:val="179"/>
              <w:jc w:val="both"/>
            </w:pPr>
            <w:r>
              <w:rPr>
                <w:rFonts w:hint="eastAsia"/>
              </w:rPr>
              <w:t>冬季不生产，无需采暖。</w:t>
            </w:r>
          </w:p>
        </w:tc>
        <w:tc>
          <w:tcPr>
            <w:tcW w:w="777" w:type="pct"/>
            <w:vAlign w:val="center"/>
          </w:tcPr>
          <w:p w14:paraId="226E0363">
            <w:pPr>
              <w:pStyle w:val="179"/>
            </w:pPr>
            <w:r>
              <w:t>新建</w:t>
            </w:r>
          </w:p>
        </w:tc>
      </w:tr>
      <w:tr w14:paraId="2113929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67" w:type="pct"/>
            <w:vMerge w:val="continue"/>
            <w:vAlign w:val="center"/>
          </w:tcPr>
          <w:p w14:paraId="4A35003B">
            <w:pPr>
              <w:pStyle w:val="179"/>
            </w:pPr>
          </w:p>
        </w:tc>
        <w:tc>
          <w:tcPr>
            <w:tcW w:w="773" w:type="pct"/>
            <w:vAlign w:val="center"/>
          </w:tcPr>
          <w:p w14:paraId="0BC6A471">
            <w:pPr>
              <w:pStyle w:val="179"/>
            </w:pPr>
            <w:r>
              <w:t>供电</w:t>
            </w:r>
          </w:p>
        </w:tc>
        <w:tc>
          <w:tcPr>
            <w:tcW w:w="3083" w:type="pct"/>
            <w:vAlign w:val="center"/>
          </w:tcPr>
          <w:p w14:paraId="59C67C9E">
            <w:pPr>
              <w:pStyle w:val="179"/>
              <w:jc w:val="both"/>
            </w:pPr>
            <w:r>
              <w:t>本项目无办公区，无需生产生活用电</w:t>
            </w:r>
            <w:r>
              <w:rPr>
                <w:rFonts w:hint="eastAsia"/>
              </w:rPr>
              <w:t>。</w:t>
            </w:r>
          </w:p>
        </w:tc>
        <w:tc>
          <w:tcPr>
            <w:tcW w:w="777" w:type="pct"/>
            <w:vAlign w:val="center"/>
          </w:tcPr>
          <w:p w14:paraId="0EE3C35F">
            <w:pPr>
              <w:pStyle w:val="179"/>
            </w:pPr>
            <w:r>
              <w:t>新建</w:t>
            </w:r>
          </w:p>
        </w:tc>
      </w:tr>
      <w:tr w14:paraId="095A4C1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67" w:type="pct"/>
            <w:vMerge w:val="continue"/>
            <w:vAlign w:val="center"/>
          </w:tcPr>
          <w:p w14:paraId="61420E0F">
            <w:pPr>
              <w:pStyle w:val="179"/>
            </w:pPr>
          </w:p>
        </w:tc>
        <w:tc>
          <w:tcPr>
            <w:tcW w:w="773" w:type="pct"/>
            <w:vAlign w:val="center"/>
          </w:tcPr>
          <w:p w14:paraId="14D18160">
            <w:pPr>
              <w:pStyle w:val="179"/>
            </w:pPr>
            <w:r>
              <w:t>排水</w:t>
            </w:r>
          </w:p>
        </w:tc>
        <w:tc>
          <w:tcPr>
            <w:tcW w:w="3083" w:type="pct"/>
            <w:vAlign w:val="center"/>
          </w:tcPr>
          <w:p w14:paraId="01B08C0F">
            <w:pPr>
              <w:pStyle w:val="179"/>
              <w:jc w:val="both"/>
            </w:pPr>
            <w:r>
              <w:t>根据地势</w:t>
            </w:r>
            <w:r>
              <w:rPr>
                <w:rFonts w:hint="eastAsia"/>
              </w:rPr>
              <w:t>（东北高西南低）</w:t>
            </w:r>
            <w:r>
              <w:t>在</w:t>
            </w:r>
            <w:r>
              <w:rPr>
                <w:rFonts w:hint="eastAsia"/>
              </w:rPr>
              <w:t>矿区四周</w:t>
            </w:r>
            <w:r>
              <w:t>设置底宽0.</w:t>
            </w:r>
            <w:r>
              <w:rPr>
                <w:rFonts w:hint="eastAsia"/>
              </w:rPr>
              <w:t>6</w:t>
            </w:r>
            <w:r>
              <w:t>m，深0.</w:t>
            </w:r>
            <w:r>
              <w:rPr>
                <w:rFonts w:hint="eastAsia"/>
              </w:rPr>
              <w:t>5</w:t>
            </w:r>
            <w:r>
              <w:t>m，</w:t>
            </w:r>
            <w:r>
              <w:rPr>
                <w:rFonts w:hint="eastAsia"/>
              </w:rPr>
              <w:t>长1466</w:t>
            </w:r>
            <w:r>
              <w:t>m截流沟（靠近生态保护红线一侧设置</w:t>
            </w:r>
            <w:r>
              <w:rPr>
                <w:rFonts w:hint="eastAsia"/>
              </w:rPr>
              <w:t xml:space="preserve"> 于开采境界内</w:t>
            </w:r>
            <w:r>
              <w:t>），在开采境界内</w:t>
            </w:r>
            <w:r>
              <w:rPr>
                <w:rFonts w:hint="eastAsia"/>
              </w:rPr>
              <w:t>径流污水通过</w:t>
            </w:r>
            <w:r>
              <w:rPr>
                <w:rFonts w:hint="eastAsia"/>
                <w:lang w:bidi="en-US"/>
              </w:rPr>
              <w:t>底宽1.5m，深0.5m，长400m导流渠</w:t>
            </w:r>
            <w:r>
              <w:t>汇水汇入</w:t>
            </w:r>
            <w:r>
              <w:rPr>
                <w:rFonts w:hint="eastAsia"/>
              </w:rPr>
              <w:t>630</w:t>
            </w:r>
            <w:r>
              <w:t>m</w:t>
            </w:r>
            <w:r>
              <w:rPr>
                <w:vertAlign w:val="superscript"/>
              </w:rPr>
              <w:t>3</w:t>
            </w:r>
            <w:r>
              <w:t>的贮水池中，贮水池设置在采区</w:t>
            </w:r>
            <w:r>
              <w:rPr>
                <w:rFonts w:hint="eastAsia"/>
              </w:rPr>
              <w:t>西</w:t>
            </w:r>
            <w:r>
              <w:t>部，作为降尘用水使用；生活污水排入防渗旱厕，定期清掏，外运堆肥。</w:t>
            </w:r>
          </w:p>
        </w:tc>
        <w:tc>
          <w:tcPr>
            <w:tcW w:w="777" w:type="pct"/>
            <w:vAlign w:val="center"/>
          </w:tcPr>
          <w:p w14:paraId="1EF011D9">
            <w:pPr>
              <w:pStyle w:val="179"/>
            </w:pPr>
            <w:r>
              <w:t>新建</w:t>
            </w:r>
          </w:p>
        </w:tc>
      </w:tr>
      <w:tr w14:paraId="1AFFBA8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67" w:type="pct"/>
            <w:vMerge w:val="continue"/>
            <w:vAlign w:val="center"/>
          </w:tcPr>
          <w:p w14:paraId="34E27C7F">
            <w:pPr>
              <w:pStyle w:val="179"/>
            </w:pPr>
          </w:p>
        </w:tc>
        <w:tc>
          <w:tcPr>
            <w:tcW w:w="773" w:type="pct"/>
            <w:vAlign w:val="center"/>
          </w:tcPr>
          <w:p w14:paraId="0EF25DF8">
            <w:pPr>
              <w:pStyle w:val="179"/>
            </w:pPr>
            <w:r>
              <w:t>加油</w:t>
            </w:r>
          </w:p>
        </w:tc>
        <w:tc>
          <w:tcPr>
            <w:tcW w:w="3083" w:type="pct"/>
            <w:vAlign w:val="center"/>
          </w:tcPr>
          <w:p w14:paraId="63D427FA">
            <w:pPr>
              <w:pStyle w:val="179"/>
              <w:jc w:val="both"/>
            </w:pPr>
            <w:r>
              <w:t>本项目不设置柴油罐，机械设备和矿山车辆</w:t>
            </w:r>
            <w:r>
              <w:rPr>
                <w:rFonts w:hint="eastAsia"/>
              </w:rPr>
              <w:t>加油</w:t>
            </w:r>
            <w:r>
              <w:t>依托当地加油站</w:t>
            </w:r>
            <w:r>
              <w:rPr>
                <w:rFonts w:hint="eastAsia"/>
              </w:rPr>
              <w:t>。</w:t>
            </w:r>
          </w:p>
        </w:tc>
        <w:tc>
          <w:tcPr>
            <w:tcW w:w="777" w:type="pct"/>
            <w:vAlign w:val="center"/>
          </w:tcPr>
          <w:p w14:paraId="752D53DA">
            <w:pPr>
              <w:pStyle w:val="179"/>
            </w:pPr>
            <w:r>
              <w:t>/</w:t>
            </w:r>
          </w:p>
        </w:tc>
      </w:tr>
      <w:tr w14:paraId="1F5126D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67" w:type="pct"/>
            <w:vMerge w:val="restart"/>
            <w:vAlign w:val="center"/>
          </w:tcPr>
          <w:p w14:paraId="6C6687D2">
            <w:pPr>
              <w:pStyle w:val="179"/>
            </w:pPr>
            <w:r>
              <w:rPr>
                <w:rFonts w:hint="eastAsia"/>
              </w:rPr>
              <w:t>环保工程</w:t>
            </w:r>
          </w:p>
        </w:tc>
        <w:tc>
          <w:tcPr>
            <w:tcW w:w="773" w:type="pct"/>
            <w:vAlign w:val="center"/>
          </w:tcPr>
          <w:p w14:paraId="6FED98FF">
            <w:pPr>
              <w:pStyle w:val="179"/>
            </w:pPr>
            <w:r>
              <w:t>废气</w:t>
            </w:r>
          </w:p>
        </w:tc>
        <w:tc>
          <w:tcPr>
            <w:tcW w:w="3083" w:type="pct"/>
            <w:vAlign w:val="center"/>
          </w:tcPr>
          <w:p w14:paraId="1FB015C0">
            <w:pPr>
              <w:pStyle w:val="179"/>
              <w:jc w:val="both"/>
            </w:pPr>
            <w:r>
              <w:t>运输车辆加盖篷布，装卸过程采用湿式作业</w:t>
            </w:r>
            <w:r>
              <w:rPr>
                <w:rFonts w:hint="eastAsia"/>
              </w:rPr>
              <w:t>；</w:t>
            </w:r>
          </w:p>
          <w:p w14:paraId="441D3251">
            <w:pPr>
              <w:pStyle w:val="179"/>
              <w:jc w:val="both"/>
            </w:pPr>
            <w:r>
              <w:rPr>
                <w:rFonts w:hint="eastAsia"/>
              </w:rPr>
              <w:t>表土</w:t>
            </w:r>
            <w:r>
              <w:t>堆场采用苫布覆盖、洒水降尘；</w:t>
            </w:r>
          </w:p>
          <w:p w14:paraId="1EF83D49">
            <w:pPr>
              <w:pStyle w:val="179"/>
              <w:jc w:val="both"/>
            </w:pPr>
            <w:r>
              <w:t>集堆铲装过程产生的粉尘采取洒水降尘</w:t>
            </w:r>
            <w:r>
              <w:rPr>
                <w:rFonts w:hint="eastAsia"/>
              </w:rPr>
              <w:t>。</w:t>
            </w:r>
          </w:p>
        </w:tc>
        <w:tc>
          <w:tcPr>
            <w:tcW w:w="777" w:type="pct"/>
            <w:vAlign w:val="center"/>
          </w:tcPr>
          <w:p w14:paraId="2A71A005">
            <w:pPr>
              <w:pStyle w:val="179"/>
            </w:pPr>
            <w:r>
              <w:t>新建</w:t>
            </w:r>
          </w:p>
        </w:tc>
      </w:tr>
      <w:tr w14:paraId="07C4724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67" w:type="pct"/>
            <w:vMerge w:val="continue"/>
            <w:vAlign w:val="center"/>
          </w:tcPr>
          <w:p w14:paraId="468C23B2">
            <w:pPr>
              <w:pStyle w:val="179"/>
            </w:pPr>
          </w:p>
        </w:tc>
        <w:tc>
          <w:tcPr>
            <w:tcW w:w="773" w:type="pct"/>
            <w:vAlign w:val="center"/>
          </w:tcPr>
          <w:p w14:paraId="1B113667">
            <w:pPr>
              <w:pStyle w:val="179"/>
            </w:pPr>
            <w:r>
              <w:t>废水</w:t>
            </w:r>
          </w:p>
        </w:tc>
        <w:tc>
          <w:tcPr>
            <w:tcW w:w="3083" w:type="pct"/>
            <w:vAlign w:val="center"/>
          </w:tcPr>
          <w:p w14:paraId="55E08CC9">
            <w:pPr>
              <w:pStyle w:val="179"/>
              <w:jc w:val="both"/>
            </w:pPr>
            <w:r>
              <w:rPr>
                <w:rFonts w:hint="eastAsia"/>
              </w:rPr>
              <w:t>本项目现场不设置机械维修点，施工机械故障后统一运至指定机械维修场所进行维修，故项目不产生施工机械废水。</w:t>
            </w:r>
          </w:p>
          <w:p w14:paraId="3CDB5DD8">
            <w:pPr>
              <w:pStyle w:val="179"/>
              <w:jc w:val="both"/>
            </w:pPr>
            <w:r>
              <w:rPr>
                <w:rFonts w:hint="eastAsia"/>
              </w:rPr>
              <w:t>本项目车辆清洗不在厂区内进行，不产生车辆清洗废水。</w:t>
            </w:r>
          </w:p>
          <w:p w14:paraId="5E367222">
            <w:pPr>
              <w:pStyle w:val="179"/>
              <w:jc w:val="both"/>
            </w:pPr>
            <w:r>
              <w:rPr>
                <w:rFonts w:hint="eastAsia"/>
              </w:rPr>
              <w:t>为减少采掘过程起尘和运输过程的扬尘，需洒水抑尘，降尘用水全部蒸发掉，无废水排放。</w:t>
            </w:r>
          </w:p>
          <w:p w14:paraId="62C9DE3A">
            <w:pPr>
              <w:pStyle w:val="179"/>
              <w:jc w:val="both"/>
            </w:pPr>
            <w:r>
              <w:t>生活污水排入防渗旱厕，定期清掏，外运堆肥</w:t>
            </w:r>
            <w:r>
              <w:rPr>
                <w:rFonts w:hint="eastAsia"/>
              </w:rPr>
              <w:t>。</w:t>
            </w:r>
          </w:p>
        </w:tc>
        <w:tc>
          <w:tcPr>
            <w:tcW w:w="777" w:type="pct"/>
            <w:vAlign w:val="center"/>
          </w:tcPr>
          <w:p w14:paraId="4AD27610">
            <w:pPr>
              <w:pStyle w:val="179"/>
            </w:pPr>
            <w:r>
              <w:t>新建</w:t>
            </w:r>
          </w:p>
        </w:tc>
      </w:tr>
      <w:tr w14:paraId="02C3FB9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67" w:type="pct"/>
            <w:vMerge w:val="continue"/>
            <w:vAlign w:val="center"/>
          </w:tcPr>
          <w:p w14:paraId="5E529AFD">
            <w:pPr>
              <w:pStyle w:val="179"/>
            </w:pPr>
          </w:p>
        </w:tc>
        <w:tc>
          <w:tcPr>
            <w:tcW w:w="773" w:type="pct"/>
            <w:vAlign w:val="center"/>
          </w:tcPr>
          <w:p w14:paraId="5608F487">
            <w:pPr>
              <w:pStyle w:val="179"/>
            </w:pPr>
            <w:r>
              <w:t>噪声</w:t>
            </w:r>
          </w:p>
        </w:tc>
        <w:tc>
          <w:tcPr>
            <w:tcW w:w="3083" w:type="pct"/>
            <w:vAlign w:val="center"/>
          </w:tcPr>
          <w:p w14:paraId="2837B8B0">
            <w:pPr>
              <w:pStyle w:val="179"/>
              <w:jc w:val="both"/>
            </w:pPr>
            <w:r>
              <w:rPr>
                <w:rFonts w:hint="eastAsia"/>
              </w:rPr>
              <w:t>厂区机械定期维修，禁止夜间开采，大型产噪设备安装减振降噪装置。</w:t>
            </w:r>
          </w:p>
        </w:tc>
        <w:tc>
          <w:tcPr>
            <w:tcW w:w="777" w:type="pct"/>
            <w:vAlign w:val="center"/>
          </w:tcPr>
          <w:p w14:paraId="319142AD">
            <w:pPr>
              <w:pStyle w:val="179"/>
            </w:pPr>
            <w:r>
              <w:t>新建</w:t>
            </w:r>
          </w:p>
        </w:tc>
      </w:tr>
      <w:tr w14:paraId="0DC1850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67" w:type="pct"/>
            <w:vMerge w:val="continue"/>
            <w:vAlign w:val="center"/>
          </w:tcPr>
          <w:p w14:paraId="3E7DFB6A">
            <w:pPr>
              <w:pStyle w:val="179"/>
            </w:pPr>
          </w:p>
        </w:tc>
        <w:tc>
          <w:tcPr>
            <w:tcW w:w="773" w:type="pct"/>
            <w:vAlign w:val="center"/>
          </w:tcPr>
          <w:p w14:paraId="679A237C">
            <w:pPr>
              <w:pStyle w:val="179"/>
            </w:pPr>
            <w:r>
              <w:t>固废</w:t>
            </w:r>
          </w:p>
        </w:tc>
        <w:tc>
          <w:tcPr>
            <w:tcW w:w="3083" w:type="pct"/>
            <w:vAlign w:val="center"/>
          </w:tcPr>
          <w:p w14:paraId="454A37B0">
            <w:pPr>
              <w:pStyle w:val="179"/>
              <w:jc w:val="both"/>
            </w:pPr>
            <w:r>
              <w:t>生活垃圾由市政部门统一处理；</w:t>
            </w:r>
          </w:p>
          <w:p w14:paraId="2A33F67B">
            <w:pPr>
              <w:pStyle w:val="179"/>
              <w:jc w:val="both"/>
            </w:pPr>
            <w:r>
              <w:t>贮水池</w:t>
            </w:r>
            <w:r>
              <w:rPr>
                <w:rFonts w:hint="eastAsia"/>
              </w:rPr>
              <w:t>沉渣</w:t>
            </w:r>
            <w:r>
              <w:t>定期清掏，用于矿区土地平整等</w:t>
            </w:r>
            <w:r>
              <w:rPr>
                <w:rFonts w:hint="eastAsia"/>
              </w:rPr>
              <w:t>。</w:t>
            </w:r>
          </w:p>
          <w:p w14:paraId="2B32E3DE">
            <w:pPr>
              <w:pStyle w:val="179"/>
              <w:jc w:val="both"/>
            </w:pPr>
            <w:r>
              <w:rPr>
                <w:rFonts w:hint="eastAsia"/>
              </w:rPr>
              <w:t>本项目现场不进行机械维修，施工机械故障后统一运至指定机械维修场所进行维修，故项目不产生废机油等危险废物。</w:t>
            </w:r>
          </w:p>
        </w:tc>
        <w:tc>
          <w:tcPr>
            <w:tcW w:w="777" w:type="pct"/>
            <w:vAlign w:val="center"/>
          </w:tcPr>
          <w:p w14:paraId="25281F14">
            <w:pPr>
              <w:pStyle w:val="179"/>
            </w:pPr>
            <w:r>
              <w:t>新建</w:t>
            </w:r>
          </w:p>
        </w:tc>
      </w:tr>
      <w:tr w14:paraId="14C8D9D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67" w:type="pct"/>
            <w:vMerge w:val="continue"/>
            <w:vAlign w:val="center"/>
          </w:tcPr>
          <w:p w14:paraId="78ABFA09">
            <w:pPr>
              <w:pStyle w:val="179"/>
            </w:pPr>
          </w:p>
        </w:tc>
        <w:tc>
          <w:tcPr>
            <w:tcW w:w="773" w:type="pct"/>
            <w:vAlign w:val="center"/>
          </w:tcPr>
          <w:p w14:paraId="6C2135B1">
            <w:pPr>
              <w:pStyle w:val="179"/>
            </w:pPr>
            <w:r>
              <w:t>生态</w:t>
            </w:r>
          </w:p>
        </w:tc>
        <w:tc>
          <w:tcPr>
            <w:tcW w:w="3083" w:type="pct"/>
            <w:vAlign w:val="center"/>
          </w:tcPr>
          <w:p w14:paraId="567ABF47">
            <w:pPr>
              <w:pStyle w:val="179"/>
              <w:jc w:val="both"/>
            </w:pPr>
            <w:r>
              <w:rPr>
                <w:rFonts w:hint="eastAsia"/>
              </w:rPr>
              <w:t>（1）开采前进行表土剥离，临时堆场采取先拦挡后堆置的防护措施；</w:t>
            </w:r>
          </w:p>
          <w:p w14:paraId="69D68F60">
            <w:pPr>
              <w:pStyle w:val="179"/>
              <w:jc w:val="both"/>
            </w:pPr>
            <w:r>
              <w:rPr>
                <w:rFonts w:hint="eastAsia"/>
              </w:rPr>
              <w:t>（2）取料结束后进行植被恢复，选择当地物种进行种植绿化；</w:t>
            </w:r>
          </w:p>
          <w:p w14:paraId="6DB4E803">
            <w:pPr>
              <w:pStyle w:val="179"/>
              <w:jc w:val="both"/>
            </w:pPr>
            <w:r>
              <w:rPr>
                <w:rFonts w:hint="eastAsia"/>
              </w:rPr>
              <w:t>（3）取料结束后回覆表土，进行植被恢复，选择当地物种进行种植绿化；</w:t>
            </w:r>
          </w:p>
          <w:p w14:paraId="6405AFD5">
            <w:pPr>
              <w:pStyle w:val="179"/>
              <w:jc w:val="both"/>
            </w:pPr>
            <w:r>
              <w:rPr>
                <w:rFonts w:hint="eastAsia"/>
              </w:rPr>
              <w:t>（4）加强职工的行为管理，建立严格的生态保护制度。</w:t>
            </w:r>
          </w:p>
        </w:tc>
        <w:tc>
          <w:tcPr>
            <w:tcW w:w="777" w:type="pct"/>
            <w:vAlign w:val="center"/>
          </w:tcPr>
          <w:p w14:paraId="25E19C32">
            <w:pPr>
              <w:pStyle w:val="179"/>
            </w:pPr>
            <w:r>
              <w:t>新建</w:t>
            </w:r>
          </w:p>
        </w:tc>
      </w:tr>
    </w:tbl>
    <w:p w14:paraId="06E438FC">
      <w:pPr>
        <w:pStyle w:val="178"/>
      </w:pPr>
      <w:r>
        <w:t>表3.</w:t>
      </w:r>
      <w:r>
        <w:rPr>
          <w:rFonts w:hint="eastAsia"/>
        </w:rPr>
        <w:t>1</w:t>
      </w:r>
      <w:r>
        <w:t>-</w:t>
      </w:r>
      <w:r>
        <w:rPr>
          <w:rFonts w:hint="eastAsia"/>
        </w:rPr>
        <w:t xml:space="preserve">3  </w:t>
      </w:r>
      <w:r>
        <w:t>主要技术经济指标表</w:t>
      </w:r>
    </w:p>
    <w:tbl>
      <w:tblPr>
        <w:tblStyle w:val="36"/>
        <w:tblW w:w="8530"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631"/>
        <w:gridCol w:w="2313"/>
        <w:gridCol w:w="1001"/>
        <w:gridCol w:w="2827"/>
        <w:gridCol w:w="1758"/>
      </w:tblGrid>
      <w:tr w14:paraId="1E7D4BE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70" w:type="pct"/>
            <w:vAlign w:val="center"/>
          </w:tcPr>
          <w:p w14:paraId="44B39B27">
            <w:pPr>
              <w:pStyle w:val="179"/>
              <w:rPr>
                <w:b/>
              </w:rPr>
            </w:pPr>
            <w:r>
              <w:rPr>
                <w:rFonts w:hint="eastAsia"/>
                <w:b/>
              </w:rPr>
              <w:t>序号</w:t>
            </w:r>
          </w:p>
        </w:tc>
        <w:tc>
          <w:tcPr>
            <w:tcW w:w="1356" w:type="pct"/>
            <w:vAlign w:val="center"/>
          </w:tcPr>
          <w:p w14:paraId="3D3BED25">
            <w:pPr>
              <w:pStyle w:val="179"/>
              <w:rPr>
                <w:b/>
              </w:rPr>
            </w:pPr>
            <w:r>
              <w:rPr>
                <w:rFonts w:hint="eastAsia"/>
                <w:b/>
              </w:rPr>
              <w:t>指标名称</w:t>
            </w:r>
          </w:p>
        </w:tc>
        <w:tc>
          <w:tcPr>
            <w:tcW w:w="587" w:type="pct"/>
            <w:vAlign w:val="center"/>
          </w:tcPr>
          <w:p w14:paraId="3D932006">
            <w:pPr>
              <w:pStyle w:val="179"/>
              <w:rPr>
                <w:b/>
              </w:rPr>
            </w:pPr>
            <w:r>
              <w:rPr>
                <w:rFonts w:hint="eastAsia"/>
                <w:b/>
              </w:rPr>
              <w:t>单位</w:t>
            </w:r>
          </w:p>
        </w:tc>
        <w:tc>
          <w:tcPr>
            <w:tcW w:w="1657" w:type="pct"/>
            <w:vAlign w:val="center"/>
          </w:tcPr>
          <w:p w14:paraId="0D61ACE1">
            <w:pPr>
              <w:pStyle w:val="179"/>
              <w:rPr>
                <w:b/>
              </w:rPr>
            </w:pPr>
            <w:r>
              <w:rPr>
                <w:b/>
              </w:rPr>
              <w:t>指标</w:t>
            </w:r>
          </w:p>
        </w:tc>
        <w:tc>
          <w:tcPr>
            <w:tcW w:w="1030" w:type="pct"/>
          </w:tcPr>
          <w:p w14:paraId="1F2696B4">
            <w:pPr>
              <w:pStyle w:val="179"/>
              <w:rPr>
                <w:b/>
              </w:rPr>
            </w:pPr>
            <w:r>
              <w:rPr>
                <w:rFonts w:hint="eastAsia"/>
                <w:b/>
              </w:rPr>
              <w:t>备注</w:t>
            </w:r>
          </w:p>
        </w:tc>
      </w:tr>
      <w:tr w14:paraId="3752754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70" w:type="pct"/>
            <w:vAlign w:val="center"/>
          </w:tcPr>
          <w:p w14:paraId="21F08008">
            <w:pPr>
              <w:pStyle w:val="179"/>
              <w:rPr>
                <w:b/>
              </w:rPr>
            </w:pPr>
            <w:r>
              <w:rPr>
                <w:rFonts w:hint="eastAsia"/>
                <w:b/>
              </w:rPr>
              <w:t>一</w:t>
            </w:r>
          </w:p>
        </w:tc>
        <w:tc>
          <w:tcPr>
            <w:tcW w:w="1356" w:type="pct"/>
            <w:vAlign w:val="center"/>
          </w:tcPr>
          <w:p w14:paraId="64C7E693">
            <w:pPr>
              <w:pStyle w:val="179"/>
              <w:rPr>
                <w:b/>
              </w:rPr>
            </w:pPr>
            <w:r>
              <w:rPr>
                <w:rFonts w:hint="eastAsia"/>
                <w:b/>
              </w:rPr>
              <w:t>地质</w:t>
            </w:r>
          </w:p>
        </w:tc>
        <w:tc>
          <w:tcPr>
            <w:tcW w:w="587" w:type="pct"/>
            <w:vAlign w:val="center"/>
          </w:tcPr>
          <w:p w14:paraId="06AF949D">
            <w:pPr>
              <w:pStyle w:val="179"/>
              <w:rPr>
                <w:b/>
              </w:rPr>
            </w:pPr>
          </w:p>
        </w:tc>
        <w:tc>
          <w:tcPr>
            <w:tcW w:w="1657" w:type="pct"/>
            <w:vAlign w:val="center"/>
          </w:tcPr>
          <w:p w14:paraId="6314E61C">
            <w:pPr>
              <w:pStyle w:val="179"/>
              <w:rPr>
                <w:b/>
              </w:rPr>
            </w:pPr>
          </w:p>
        </w:tc>
        <w:tc>
          <w:tcPr>
            <w:tcW w:w="1030" w:type="pct"/>
          </w:tcPr>
          <w:p w14:paraId="44D5C98E">
            <w:pPr>
              <w:pStyle w:val="179"/>
              <w:rPr>
                <w:b/>
              </w:rPr>
            </w:pPr>
          </w:p>
        </w:tc>
      </w:tr>
      <w:tr w14:paraId="5E172B5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70" w:type="pct"/>
            <w:vAlign w:val="center"/>
          </w:tcPr>
          <w:p w14:paraId="378A1CD3">
            <w:pPr>
              <w:pStyle w:val="179"/>
            </w:pPr>
            <w:r>
              <w:rPr>
                <w:rFonts w:hint="eastAsia"/>
              </w:rPr>
              <w:t>1</w:t>
            </w:r>
          </w:p>
        </w:tc>
        <w:tc>
          <w:tcPr>
            <w:tcW w:w="1356" w:type="pct"/>
            <w:vAlign w:val="center"/>
          </w:tcPr>
          <w:p w14:paraId="48AB0BAA">
            <w:pPr>
              <w:pStyle w:val="179"/>
            </w:pPr>
            <w:r>
              <w:rPr>
                <w:rFonts w:hint="eastAsia"/>
              </w:rPr>
              <w:t>矿山资源量</w:t>
            </w:r>
          </w:p>
        </w:tc>
        <w:tc>
          <w:tcPr>
            <w:tcW w:w="587" w:type="pct"/>
            <w:vAlign w:val="center"/>
          </w:tcPr>
          <w:p w14:paraId="50E3A0FB">
            <w:pPr>
              <w:pStyle w:val="179"/>
            </w:pPr>
            <w:r>
              <w:rPr>
                <w:rFonts w:hint="eastAsia"/>
              </w:rPr>
              <w:t>万m</w:t>
            </w:r>
            <w:r>
              <w:rPr>
                <w:rFonts w:hint="eastAsia"/>
                <w:vertAlign w:val="superscript"/>
              </w:rPr>
              <w:t>3</w:t>
            </w:r>
          </w:p>
        </w:tc>
        <w:tc>
          <w:tcPr>
            <w:tcW w:w="1657" w:type="pct"/>
            <w:vAlign w:val="center"/>
          </w:tcPr>
          <w:p w14:paraId="141DC914">
            <w:pPr>
              <w:pStyle w:val="179"/>
            </w:pPr>
            <w:r>
              <w:rPr>
                <w:rFonts w:hint="eastAsia"/>
              </w:rPr>
              <w:t>320.38</w:t>
            </w:r>
          </w:p>
        </w:tc>
        <w:tc>
          <w:tcPr>
            <w:tcW w:w="1030" w:type="pct"/>
          </w:tcPr>
          <w:p w14:paraId="6B854A85">
            <w:pPr>
              <w:pStyle w:val="179"/>
            </w:pPr>
          </w:p>
        </w:tc>
      </w:tr>
      <w:tr w14:paraId="0F7D6CA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70" w:type="pct"/>
            <w:vAlign w:val="center"/>
          </w:tcPr>
          <w:p w14:paraId="05908E4D">
            <w:pPr>
              <w:pStyle w:val="179"/>
            </w:pPr>
            <w:r>
              <w:rPr>
                <w:rFonts w:hint="eastAsia"/>
              </w:rPr>
              <w:t>2</w:t>
            </w:r>
          </w:p>
        </w:tc>
        <w:tc>
          <w:tcPr>
            <w:tcW w:w="1356" w:type="pct"/>
            <w:vAlign w:val="center"/>
          </w:tcPr>
          <w:p w14:paraId="5BB4A702">
            <w:pPr>
              <w:pStyle w:val="179"/>
            </w:pPr>
            <w:r>
              <w:rPr>
                <w:rFonts w:hint="eastAsia"/>
              </w:rPr>
              <w:t>矿体水平面积</w:t>
            </w:r>
          </w:p>
        </w:tc>
        <w:tc>
          <w:tcPr>
            <w:tcW w:w="587" w:type="pct"/>
            <w:vAlign w:val="center"/>
          </w:tcPr>
          <w:p w14:paraId="0C89BD2F">
            <w:pPr>
              <w:pStyle w:val="179"/>
            </w:pPr>
            <w:r>
              <w:rPr>
                <w:rFonts w:hint="eastAsia" w:cs="Times New Roman"/>
              </w:rPr>
              <w:t>km</w:t>
            </w:r>
            <w:r>
              <w:rPr>
                <w:rFonts w:hint="eastAsia" w:cs="Times New Roman"/>
                <w:vertAlign w:val="superscript"/>
              </w:rPr>
              <w:t>2</w:t>
            </w:r>
          </w:p>
        </w:tc>
        <w:tc>
          <w:tcPr>
            <w:tcW w:w="1657" w:type="pct"/>
            <w:vAlign w:val="center"/>
          </w:tcPr>
          <w:p w14:paraId="591E83DA">
            <w:pPr>
              <w:pStyle w:val="179"/>
            </w:pPr>
            <w:r>
              <w:rPr>
                <w:rFonts w:hint="eastAsia" w:cs="Times New Roman"/>
              </w:rPr>
              <w:t>0.1101</w:t>
            </w:r>
          </w:p>
        </w:tc>
        <w:tc>
          <w:tcPr>
            <w:tcW w:w="1030" w:type="pct"/>
          </w:tcPr>
          <w:p w14:paraId="47C366A2">
            <w:pPr>
              <w:pStyle w:val="179"/>
              <w:rPr>
                <w:rFonts w:cs="Times New Roman"/>
              </w:rPr>
            </w:pPr>
          </w:p>
        </w:tc>
      </w:tr>
      <w:tr w14:paraId="2D35DF6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70" w:type="pct"/>
            <w:vAlign w:val="center"/>
          </w:tcPr>
          <w:p w14:paraId="730FD286">
            <w:pPr>
              <w:pStyle w:val="179"/>
            </w:pPr>
            <w:r>
              <w:rPr>
                <w:rFonts w:hint="eastAsia"/>
              </w:rPr>
              <w:t>3</w:t>
            </w:r>
          </w:p>
        </w:tc>
        <w:tc>
          <w:tcPr>
            <w:tcW w:w="1356" w:type="pct"/>
            <w:vAlign w:val="center"/>
          </w:tcPr>
          <w:p w14:paraId="687CDBE6">
            <w:pPr>
              <w:pStyle w:val="179"/>
            </w:pPr>
            <w:r>
              <w:rPr>
                <w:rFonts w:hint="eastAsia"/>
              </w:rPr>
              <w:t>矿体平均厚度</w:t>
            </w:r>
          </w:p>
        </w:tc>
        <w:tc>
          <w:tcPr>
            <w:tcW w:w="587" w:type="pct"/>
            <w:vAlign w:val="center"/>
          </w:tcPr>
          <w:p w14:paraId="70BAB9F1">
            <w:pPr>
              <w:pStyle w:val="179"/>
            </w:pPr>
            <w:r>
              <w:rPr>
                <w:rFonts w:hint="eastAsia"/>
              </w:rPr>
              <w:t>m</w:t>
            </w:r>
          </w:p>
        </w:tc>
        <w:tc>
          <w:tcPr>
            <w:tcW w:w="1657" w:type="pct"/>
            <w:vAlign w:val="center"/>
          </w:tcPr>
          <w:p w14:paraId="56C48673">
            <w:pPr>
              <w:pStyle w:val="179"/>
            </w:pPr>
            <w:r>
              <w:rPr>
                <w:rFonts w:hint="eastAsia"/>
              </w:rPr>
              <w:t>29.1</w:t>
            </w:r>
          </w:p>
        </w:tc>
        <w:tc>
          <w:tcPr>
            <w:tcW w:w="1030" w:type="pct"/>
          </w:tcPr>
          <w:p w14:paraId="39B15B46">
            <w:pPr>
              <w:pStyle w:val="179"/>
            </w:pPr>
          </w:p>
        </w:tc>
      </w:tr>
      <w:tr w14:paraId="7F8CE8E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70" w:type="pct"/>
            <w:vAlign w:val="center"/>
          </w:tcPr>
          <w:p w14:paraId="1F3CBBA5">
            <w:pPr>
              <w:pStyle w:val="179"/>
            </w:pPr>
            <w:r>
              <w:rPr>
                <w:rFonts w:hint="eastAsia"/>
              </w:rPr>
              <w:t>4</w:t>
            </w:r>
          </w:p>
        </w:tc>
        <w:tc>
          <w:tcPr>
            <w:tcW w:w="1356" w:type="pct"/>
            <w:vAlign w:val="center"/>
          </w:tcPr>
          <w:p w14:paraId="41E4011D">
            <w:pPr>
              <w:pStyle w:val="179"/>
            </w:pPr>
            <w:r>
              <w:rPr>
                <w:rFonts w:hint="eastAsia"/>
              </w:rPr>
              <w:t>边坡内资源量</w:t>
            </w:r>
          </w:p>
        </w:tc>
        <w:tc>
          <w:tcPr>
            <w:tcW w:w="587" w:type="pct"/>
            <w:vAlign w:val="center"/>
          </w:tcPr>
          <w:p w14:paraId="1C98AA04">
            <w:pPr>
              <w:pStyle w:val="179"/>
            </w:pPr>
            <w:r>
              <w:rPr>
                <w:rFonts w:hint="eastAsia"/>
              </w:rPr>
              <w:t>万</w:t>
            </w:r>
            <w:r>
              <w:t>m</w:t>
            </w:r>
            <w:r>
              <w:rPr>
                <w:vertAlign w:val="superscript"/>
              </w:rPr>
              <w:t>3</w:t>
            </w:r>
          </w:p>
        </w:tc>
        <w:tc>
          <w:tcPr>
            <w:tcW w:w="1657" w:type="pct"/>
            <w:vAlign w:val="center"/>
          </w:tcPr>
          <w:p w14:paraId="329190E8">
            <w:pPr>
              <w:pStyle w:val="179"/>
            </w:pPr>
            <w:r>
              <w:rPr>
                <w:rFonts w:hint="eastAsia"/>
              </w:rPr>
              <w:t>320.38</w:t>
            </w:r>
          </w:p>
        </w:tc>
        <w:tc>
          <w:tcPr>
            <w:tcW w:w="1030" w:type="pct"/>
          </w:tcPr>
          <w:p w14:paraId="49CD9ACC">
            <w:pPr>
              <w:pStyle w:val="179"/>
            </w:pPr>
          </w:p>
        </w:tc>
      </w:tr>
      <w:tr w14:paraId="39688E0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70" w:type="pct"/>
            <w:vAlign w:val="center"/>
          </w:tcPr>
          <w:p w14:paraId="50FB929F">
            <w:pPr>
              <w:pStyle w:val="179"/>
            </w:pPr>
            <w:r>
              <w:rPr>
                <w:rFonts w:hint="eastAsia"/>
              </w:rPr>
              <w:t>5</w:t>
            </w:r>
          </w:p>
        </w:tc>
        <w:tc>
          <w:tcPr>
            <w:tcW w:w="1356" w:type="pct"/>
            <w:vAlign w:val="center"/>
          </w:tcPr>
          <w:p w14:paraId="11409B66">
            <w:pPr>
              <w:pStyle w:val="179"/>
            </w:pPr>
            <w:r>
              <w:rPr>
                <w:rFonts w:hint="eastAsia"/>
              </w:rPr>
              <w:t>可采资源量</w:t>
            </w:r>
          </w:p>
        </w:tc>
        <w:tc>
          <w:tcPr>
            <w:tcW w:w="587" w:type="pct"/>
            <w:vAlign w:val="center"/>
          </w:tcPr>
          <w:p w14:paraId="1FB7F5EC">
            <w:pPr>
              <w:pStyle w:val="179"/>
            </w:pPr>
            <w:r>
              <w:rPr>
                <w:rFonts w:hint="eastAsia"/>
              </w:rPr>
              <w:t>万</w:t>
            </w:r>
            <w:r>
              <w:t>m</w:t>
            </w:r>
            <w:r>
              <w:rPr>
                <w:vertAlign w:val="superscript"/>
              </w:rPr>
              <w:t>3</w:t>
            </w:r>
          </w:p>
        </w:tc>
        <w:tc>
          <w:tcPr>
            <w:tcW w:w="1657" w:type="pct"/>
            <w:vAlign w:val="center"/>
          </w:tcPr>
          <w:p w14:paraId="29B613A8">
            <w:pPr>
              <w:pStyle w:val="179"/>
            </w:pPr>
            <w:r>
              <w:rPr>
                <w:rFonts w:hint="eastAsia"/>
              </w:rPr>
              <w:t>304.36</w:t>
            </w:r>
          </w:p>
        </w:tc>
        <w:tc>
          <w:tcPr>
            <w:tcW w:w="1030" w:type="pct"/>
          </w:tcPr>
          <w:p w14:paraId="1D1B28EB">
            <w:pPr>
              <w:pStyle w:val="179"/>
            </w:pPr>
          </w:p>
        </w:tc>
      </w:tr>
      <w:tr w14:paraId="73F6F75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70" w:type="pct"/>
            <w:vAlign w:val="center"/>
          </w:tcPr>
          <w:p w14:paraId="25079DA6">
            <w:pPr>
              <w:pStyle w:val="179"/>
              <w:rPr>
                <w:b/>
              </w:rPr>
            </w:pPr>
            <w:r>
              <w:rPr>
                <w:rFonts w:hint="eastAsia"/>
                <w:b/>
              </w:rPr>
              <w:t>二</w:t>
            </w:r>
          </w:p>
        </w:tc>
        <w:tc>
          <w:tcPr>
            <w:tcW w:w="1356" w:type="pct"/>
            <w:vAlign w:val="center"/>
          </w:tcPr>
          <w:p w14:paraId="52C14367">
            <w:pPr>
              <w:pStyle w:val="179"/>
              <w:rPr>
                <w:b/>
              </w:rPr>
            </w:pPr>
            <w:r>
              <w:rPr>
                <w:rFonts w:hint="eastAsia"/>
                <w:b/>
              </w:rPr>
              <w:t>采矿</w:t>
            </w:r>
          </w:p>
        </w:tc>
        <w:tc>
          <w:tcPr>
            <w:tcW w:w="587" w:type="pct"/>
            <w:vAlign w:val="center"/>
          </w:tcPr>
          <w:p w14:paraId="615C9E39">
            <w:pPr>
              <w:pStyle w:val="179"/>
              <w:rPr>
                <w:b/>
              </w:rPr>
            </w:pPr>
          </w:p>
        </w:tc>
        <w:tc>
          <w:tcPr>
            <w:tcW w:w="1657" w:type="pct"/>
            <w:vAlign w:val="center"/>
          </w:tcPr>
          <w:p w14:paraId="3204A63A">
            <w:pPr>
              <w:pStyle w:val="179"/>
              <w:rPr>
                <w:b/>
              </w:rPr>
            </w:pPr>
          </w:p>
        </w:tc>
        <w:tc>
          <w:tcPr>
            <w:tcW w:w="1030" w:type="pct"/>
          </w:tcPr>
          <w:p w14:paraId="226349DB">
            <w:pPr>
              <w:pStyle w:val="179"/>
              <w:rPr>
                <w:b/>
              </w:rPr>
            </w:pPr>
          </w:p>
        </w:tc>
      </w:tr>
      <w:tr w14:paraId="0FD533F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70" w:type="pct"/>
            <w:vAlign w:val="center"/>
          </w:tcPr>
          <w:p w14:paraId="75FEE086">
            <w:pPr>
              <w:pStyle w:val="179"/>
            </w:pPr>
            <w:r>
              <w:rPr>
                <w:rFonts w:hint="eastAsia"/>
              </w:rPr>
              <w:t>1</w:t>
            </w:r>
          </w:p>
        </w:tc>
        <w:tc>
          <w:tcPr>
            <w:tcW w:w="1356" w:type="pct"/>
            <w:vAlign w:val="center"/>
          </w:tcPr>
          <w:p w14:paraId="61735C9A">
            <w:pPr>
              <w:pStyle w:val="179"/>
            </w:pPr>
            <w:r>
              <w:rPr>
                <w:rFonts w:hint="eastAsia"/>
              </w:rPr>
              <w:t>矿山生产能力</w:t>
            </w:r>
          </w:p>
        </w:tc>
        <w:tc>
          <w:tcPr>
            <w:tcW w:w="587" w:type="pct"/>
            <w:vAlign w:val="center"/>
          </w:tcPr>
          <w:p w14:paraId="585C63BE">
            <w:pPr>
              <w:pStyle w:val="179"/>
            </w:pPr>
            <w:r>
              <w:rPr>
                <w:rFonts w:hint="eastAsia"/>
              </w:rPr>
              <w:t>万m</w:t>
            </w:r>
            <w:r>
              <w:rPr>
                <w:rFonts w:hint="eastAsia"/>
                <w:vertAlign w:val="superscript"/>
              </w:rPr>
              <w:t>3</w:t>
            </w:r>
            <w:r>
              <w:rPr>
                <w:rFonts w:hint="eastAsia"/>
              </w:rPr>
              <w:t>/年</w:t>
            </w:r>
          </w:p>
        </w:tc>
        <w:tc>
          <w:tcPr>
            <w:tcW w:w="1657" w:type="pct"/>
            <w:vAlign w:val="center"/>
          </w:tcPr>
          <w:p w14:paraId="2738A2CA">
            <w:pPr>
              <w:pStyle w:val="179"/>
            </w:pPr>
            <w:r>
              <w:rPr>
                <w:rFonts w:hint="eastAsia"/>
              </w:rPr>
              <w:t>30</w:t>
            </w:r>
          </w:p>
        </w:tc>
        <w:tc>
          <w:tcPr>
            <w:tcW w:w="1030" w:type="pct"/>
          </w:tcPr>
          <w:p w14:paraId="20C7DB41">
            <w:pPr>
              <w:pStyle w:val="179"/>
            </w:pPr>
          </w:p>
        </w:tc>
      </w:tr>
      <w:tr w14:paraId="375A79A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70" w:type="pct"/>
            <w:vAlign w:val="center"/>
          </w:tcPr>
          <w:p w14:paraId="50648811">
            <w:pPr>
              <w:pStyle w:val="179"/>
            </w:pPr>
            <w:r>
              <w:rPr>
                <w:rFonts w:hint="eastAsia"/>
              </w:rPr>
              <w:t>2</w:t>
            </w:r>
          </w:p>
        </w:tc>
        <w:tc>
          <w:tcPr>
            <w:tcW w:w="1356" w:type="pct"/>
            <w:vAlign w:val="center"/>
          </w:tcPr>
          <w:p w14:paraId="70A83D57">
            <w:pPr>
              <w:pStyle w:val="179"/>
            </w:pPr>
            <w:r>
              <w:rPr>
                <w:rFonts w:hint="eastAsia"/>
              </w:rPr>
              <w:t>矿山服务年限</w:t>
            </w:r>
          </w:p>
        </w:tc>
        <w:tc>
          <w:tcPr>
            <w:tcW w:w="587" w:type="pct"/>
            <w:vAlign w:val="center"/>
          </w:tcPr>
          <w:p w14:paraId="68D42487">
            <w:pPr>
              <w:pStyle w:val="179"/>
            </w:pPr>
            <w:r>
              <w:rPr>
                <w:rFonts w:hint="eastAsia"/>
              </w:rPr>
              <w:t>年</w:t>
            </w:r>
          </w:p>
        </w:tc>
        <w:tc>
          <w:tcPr>
            <w:tcW w:w="1657" w:type="pct"/>
            <w:vAlign w:val="center"/>
          </w:tcPr>
          <w:p w14:paraId="7D72AE73">
            <w:pPr>
              <w:pStyle w:val="179"/>
            </w:pPr>
            <w:r>
              <w:rPr>
                <w:rFonts w:hint="eastAsia"/>
              </w:rPr>
              <w:t>10</w:t>
            </w:r>
          </w:p>
        </w:tc>
        <w:tc>
          <w:tcPr>
            <w:tcW w:w="1030" w:type="pct"/>
          </w:tcPr>
          <w:p w14:paraId="5C85E247">
            <w:pPr>
              <w:pStyle w:val="179"/>
            </w:pPr>
          </w:p>
        </w:tc>
      </w:tr>
      <w:tr w14:paraId="34AD86C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70" w:type="pct"/>
            <w:vAlign w:val="center"/>
          </w:tcPr>
          <w:p w14:paraId="06570514">
            <w:pPr>
              <w:pStyle w:val="179"/>
            </w:pPr>
            <w:r>
              <w:rPr>
                <w:rFonts w:hint="eastAsia"/>
              </w:rPr>
              <w:t>3</w:t>
            </w:r>
          </w:p>
        </w:tc>
        <w:tc>
          <w:tcPr>
            <w:tcW w:w="1356" w:type="pct"/>
            <w:vAlign w:val="center"/>
          </w:tcPr>
          <w:p w14:paraId="592D1EB3">
            <w:pPr>
              <w:pStyle w:val="179"/>
            </w:pPr>
            <w:r>
              <w:rPr>
                <w:rFonts w:hint="eastAsia"/>
              </w:rPr>
              <w:t>开采方式</w:t>
            </w:r>
          </w:p>
        </w:tc>
        <w:tc>
          <w:tcPr>
            <w:tcW w:w="587" w:type="pct"/>
            <w:vAlign w:val="center"/>
          </w:tcPr>
          <w:p w14:paraId="12E1108F">
            <w:pPr>
              <w:pStyle w:val="179"/>
            </w:pPr>
          </w:p>
        </w:tc>
        <w:tc>
          <w:tcPr>
            <w:tcW w:w="1657" w:type="pct"/>
            <w:vAlign w:val="center"/>
          </w:tcPr>
          <w:p w14:paraId="0921D969">
            <w:pPr>
              <w:pStyle w:val="179"/>
            </w:pPr>
            <w:r>
              <w:t>露天开采</w:t>
            </w:r>
          </w:p>
        </w:tc>
        <w:tc>
          <w:tcPr>
            <w:tcW w:w="1030" w:type="pct"/>
          </w:tcPr>
          <w:p w14:paraId="05A57CC7">
            <w:pPr>
              <w:pStyle w:val="179"/>
            </w:pPr>
          </w:p>
        </w:tc>
      </w:tr>
      <w:tr w14:paraId="0E9C922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70" w:type="pct"/>
            <w:vAlign w:val="center"/>
          </w:tcPr>
          <w:p w14:paraId="12DAF351">
            <w:pPr>
              <w:pStyle w:val="179"/>
            </w:pPr>
            <w:r>
              <w:rPr>
                <w:rFonts w:hint="eastAsia"/>
              </w:rPr>
              <w:t>4</w:t>
            </w:r>
          </w:p>
        </w:tc>
        <w:tc>
          <w:tcPr>
            <w:tcW w:w="1356" w:type="pct"/>
            <w:vAlign w:val="center"/>
          </w:tcPr>
          <w:p w14:paraId="64223375">
            <w:pPr>
              <w:pStyle w:val="179"/>
            </w:pPr>
            <w:r>
              <w:rPr>
                <w:rFonts w:hint="eastAsia"/>
              </w:rPr>
              <w:t>采矿方法</w:t>
            </w:r>
          </w:p>
        </w:tc>
        <w:tc>
          <w:tcPr>
            <w:tcW w:w="587" w:type="pct"/>
            <w:vAlign w:val="center"/>
          </w:tcPr>
          <w:p w14:paraId="58C2EB45">
            <w:pPr>
              <w:pStyle w:val="179"/>
            </w:pPr>
          </w:p>
        </w:tc>
        <w:tc>
          <w:tcPr>
            <w:tcW w:w="1657" w:type="pct"/>
            <w:vAlign w:val="center"/>
          </w:tcPr>
          <w:p w14:paraId="301D59EE">
            <w:pPr>
              <w:pStyle w:val="179"/>
            </w:pPr>
            <w:r>
              <w:t>在生产过程中采用液压破碎锤分层破碎剥离开采，无需碎石筛分，直接挖掘机配合装车即可销售</w:t>
            </w:r>
          </w:p>
        </w:tc>
        <w:tc>
          <w:tcPr>
            <w:tcW w:w="1030" w:type="pct"/>
            <w:vAlign w:val="center"/>
          </w:tcPr>
          <w:p w14:paraId="7952E69E">
            <w:pPr>
              <w:pStyle w:val="179"/>
            </w:pPr>
            <w:r>
              <w:rPr>
                <w:rFonts w:hint="eastAsia"/>
              </w:rPr>
              <w:t>挖掘机8台，配液压破碎锤4台，配挖掘斗4台</w:t>
            </w:r>
          </w:p>
        </w:tc>
      </w:tr>
      <w:tr w14:paraId="4D0ECC7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70" w:type="pct"/>
            <w:vAlign w:val="center"/>
          </w:tcPr>
          <w:p w14:paraId="6F8AA9AD">
            <w:pPr>
              <w:pStyle w:val="179"/>
            </w:pPr>
            <w:r>
              <w:rPr>
                <w:rFonts w:hint="eastAsia"/>
              </w:rPr>
              <w:t>5</w:t>
            </w:r>
          </w:p>
        </w:tc>
        <w:tc>
          <w:tcPr>
            <w:tcW w:w="1356" w:type="pct"/>
            <w:vAlign w:val="center"/>
          </w:tcPr>
          <w:p w14:paraId="25DA4047">
            <w:pPr>
              <w:pStyle w:val="179"/>
            </w:pPr>
            <w:r>
              <w:rPr>
                <w:rFonts w:hint="eastAsia"/>
              </w:rPr>
              <w:t>开采回采率</w:t>
            </w:r>
          </w:p>
        </w:tc>
        <w:tc>
          <w:tcPr>
            <w:tcW w:w="587" w:type="pct"/>
            <w:vAlign w:val="center"/>
          </w:tcPr>
          <w:p w14:paraId="0349E23F">
            <w:pPr>
              <w:pStyle w:val="179"/>
            </w:pPr>
            <w:r>
              <w:rPr>
                <w:rFonts w:hint="eastAsia"/>
              </w:rPr>
              <w:t>%</w:t>
            </w:r>
          </w:p>
        </w:tc>
        <w:tc>
          <w:tcPr>
            <w:tcW w:w="1657" w:type="pct"/>
            <w:vAlign w:val="center"/>
          </w:tcPr>
          <w:p w14:paraId="0276DB38">
            <w:pPr>
              <w:pStyle w:val="179"/>
            </w:pPr>
            <w:r>
              <w:t>95</w:t>
            </w:r>
          </w:p>
        </w:tc>
        <w:tc>
          <w:tcPr>
            <w:tcW w:w="1030" w:type="pct"/>
            <w:vAlign w:val="center"/>
          </w:tcPr>
          <w:p w14:paraId="3677EB61">
            <w:pPr>
              <w:pStyle w:val="179"/>
            </w:pPr>
          </w:p>
        </w:tc>
      </w:tr>
      <w:tr w14:paraId="5E6B248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70" w:type="pct"/>
            <w:vAlign w:val="center"/>
          </w:tcPr>
          <w:p w14:paraId="78E46445">
            <w:pPr>
              <w:pStyle w:val="179"/>
            </w:pPr>
            <w:r>
              <w:rPr>
                <w:rFonts w:hint="eastAsia"/>
              </w:rPr>
              <w:t>6</w:t>
            </w:r>
          </w:p>
        </w:tc>
        <w:tc>
          <w:tcPr>
            <w:tcW w:w="1356" w:type="pct"/>
            <w:vAlign w:val="center"/>
          </w:tcPr>
          <w:p w14:paraId="4E783FD2">
            <w:pPr>
              <w:pStyle w:val="179"/>
            </w:pPr>
            <w:r>
              <w:rPr>
                <w:rFonts w:hint="eastAsia"/>
              </w:rPr>
              <w:t>剥采比</w:t>
            </w:r>
          </w:p>
        </w:tc>
        <w:tc>
          <w:tcPr>
            <w:tcW w:w="587" w:type="pct"/>
            <w:vAlign w:val="center"/>
          </w:tcPr>
          <w:p w14:paraId="488AB437">
            <w:pPr>
              <w:pStyle w:val="179"/>
            </w:pPr>
          </w:p>
        </w:tc>
        <w:tc>
          <w:tcPr>
            <w:tcW w:w="1657" w:type="pct"/>
            <w:vAlign w:val="center"/>
          </w:tcPr>
          <w:p w14:paraId="37679A5C">
            <w:pPr>
              <w:pStyle w:val="179"/>
            </w:pPr>
            <w:r>
              <w:rPr>
                <w:rFonts w:hint="eastAsia"/>
              </w:rPr>
              <w:t>0.02：1</w:t>
            </w:r>
          </w:p>
        </w:tc>
        <w:tc>
          <w:tcPr>
            <w:tcW w:w="1030" w:type="pct"/>
          </w:tcPr>
          <w:p w14:paraId="688FF297">
            <w:pPr>
              <w:pStyle w:val="179"/>
            </w:pPr>
          </w:p>
        </w:tc>
      </w:tr>
      <w:tr w14:paraId="65B7832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370" w:type="pct"/>
            <w:vAlign w:val="center"/>
          </w:tcPr>
          <w:p w14:paraId="6C61F1E5">
            <w:pPr>
              <w:pStyle w:val="179"/>
            </w:pPr>
            <w:r>
              <w:rPr>
                <w:rFonts w:hint="eastAsia"/>
              </w:rPr>
              <w:t>三</w:t>
            </w:r>
          </w:p>
        </w:tc>
        <w:tc>
          <w:tcPr>
            <w:tcW w:w="1356" w:type="pct"/>
            <w:vAlign w:val="center"/>
          </w:tcPr>
          <w:p w14:paraId="1220FE81">
            <w:pPr>
              <w:pStyle w:val="179"/>
            </w:pPr>
            <w:r>
              <w:rPr>
                <w:rFonts w:hint="eastAsia"/>
              </w:rPr>
              <w:t>项目投资</w:t>
            </w:r>
          </w:p>
        </w:tc>
        <w:tc>
          <w:tcPr>
            <w:tcW w:w="587" w:type="pct"/>
            <w:vAlign w:val="center"/>
          </w:tcPr>
          <w:p w14:paraId="219A40C4">
            <w:pPr>
              <w:pStyle w:val="179"/>
            </w:pPr>
          </w:p>
        </w:tc>
        <w:tc>
          <w:tcPr>
            <w:tcW w:w="1657" w:type="pct"/>
            <w:vAlign w:val="center"/>
          </w:tcPr>
          <w:p w14:paraId="7B75D1AD">
            <w:pPr>
              <w:pStyle w:val="179"/>
            </w:pPr>
          </w:p>
        </w:tc>
        <w:tc>
          <w:tcPr>
            <w:tcW w:w="1030" w:type="pct"/>
          </w:tcPr>
          <w:p w14:paraId="2B3DC81F">
            <w:pPr>
              <w:pStyle w:val="179"/>
            </w:pPr>
          </w:p>
        </w:tc>
      </w:tr>
      <w:tr w14:paraId="75D59BA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70" w:type="pct"/>
            <w:vAlign w:val="center"/>
          </w:tcPr>
          <w:p w14:paraId="6AC94937">
            <w:pPr>
              <w:pStyle w:val="179"/>
            </w:pPr>
            <w:r>
              <w:rPr>
                <w:rFonts w:hint="eastAsia"/>
              </w:rPr>
              <w:t>1</w:t>
            </w:r>
          </w:p>
        </w:tc>
        <w:tc>
          <w:tcPr>
            <w:tcW w:w="1356" w:type="pct"/>
            <w:vAlign w:val="center"/>
          </w:tcPr>
          <w:p w14:paraId="480D9558">
            <w:pPr>
              <w:pStyle w:val="179"/>
            </w:pPr>
            <w:r>
              <w:rPr>
                <w:rFonts w:hint="eastAsia"/>
              </w:rPr>
              <w:t>项目总投资</w:t>
            </w:r>
          </w:p>
        </w:tc>
        <w:tc>
          <w:tcPr>
            <w:tcW w:w="587" w:type="pct"/>
            <w:vAlign w:val="center"/>
          </w:tcPr>
          <w:p w14:paraId="0461D2B8">
            <w:pPr>
              <w:pStyle w:val="179"/>
            </w:pPr>
            <w:r>
              <w:rPr>
                <w:rFonts w:hint="eastAsia"/>
              </w:rPr>
              <w:t>万元</w:t>
            </w:r>
          </w:p>
        </w:tc>
        <w:tc>
          <w:tcPr>
            <w:tcW w:w="1657" w:type="pct"/>
            <w:vAlign w:val="center"/>
          </w:tcPr>
          <w:p w14:paraId="0EF59C16">
            <w:pPr>
              <w:pStyle w:val="179"/>
            </w:pPr>
            <w:r>
              <w:rPr>
                <w:rFonts w:hint="eastAsia"/>
              </w:rPr>
              <w:t>3500</w:t>
            </w:r>
          </w:p>
        </w:tc>
        <w:tc>
          <w:tcPr>
            <w:tcW w:w="1030" w:type="pct"/>
          </w:tcPr>
          <w:p w14:paraId="38621B25">
            <w:pPr>
              <w:pStyle w:val="179"/>
            </w:pPr>
          </w:p>
        </w:tc>
      </w:tr>
    </w:tbl>
    <w:p w14:paraId="354172F7">
      <w:pPr>
        <w:pStyle w:val="5"/>
        <w:spacing w:before="156" w:after="156"/>
      </w:pPr>
      <w:r>
        <w:t>主要设备</w:t>
      </w:r>
    </w:p>
    <w:p w14:paraId="7B083246">
      <w:pPr>
        <w:ind w:firstLine="480"/>
      </w:pPr>
      <w:r>
        <w:t>本项目所需主要设备见表3.1-</w:t>
      </w:r>
      <w:r>
        <w:rPr>
          <w:rFonts w:hint="eastAsia"/>
        </w:rPr>
        <w:t>4</w:t>
      </w:r>
      <w:r>
        <w:t>。</w:t>
      </w:r>
    </w:p>
    <w:p w14:paraId="78967445">
      <w:pPr>
        <w:pStyle w:val="178"/>
      </w:pPr>
      <w:r>
        <w:t>表3.1-</w:t>
      </w:r>
      <w:r>
        <w:rPr>
          <w:rFonts w:hint="eastAsia"/>
        </w:rPr>
        <w:t xml:space="preserve">4  </w:t>
      </w:r>
      <w:r>
        <w:t>本项目设备清单</w:t>
      </w:r>
    </w:p>
    <w:tbl>
      <w:tblPr>
        <w:tblStyle w:val="36"/>
        <w:tblW w:w="8529"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675"/>
        <w:gridCol w:w="2269"/>
        <w:gridCol w:w="1418"/>
        <w:gridCol w:w="849"/>
        <w:gridCol w:w="3318"/>
      </w:tblGrid>
      <w:tr w14:paraId="0708A5F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tblHeader/>
          <w:jc w:val="center"/>
        </w:trPr>
        <w:tc>
          <w:tcPr>
            <w:tcW w:w="396" w:type="pct"/>
            <w:vAlign w:val="center"/>
          </w:tcPr>
          <w:p w14:paraId="3EC9D6F1">
            <w:pPr>
              <w:pStyle w:val="179"/>
              <w:rPr>
                <w:b/>
              </w:rPr>
            </w:pPr>
            <w:r>
              <w:rPr>
                <w:b/>
              </w:rPr>
              <w:t>序号</w:t>
            </w:r>
          </w:p>
        </w:tc>
        <w:tc>
          <w:tcPr>
            <w:tcW w:w="1330" w:type="pct"/>
            <w:vAlign w:val="center"/>
          </w:tcPr>
          <w:p w14:paraId="5EAA222B">
            <w:pPr>
              <w:pStyle w:val="179"/>
              <w:rPr>
                <w:b/>
              </w:rPr>
            </w:pPr>
            <w:r>
              <w:rPr>
                <w:b/>
              </w:rPr>
              <w:t>名称</w:t>
            </w:r>
          </w:p>
        </w:tc>
        <w:tc>
          <w:tcPr>
            <w:tcW w:w="831" w:type="pct"/>
            <w:vAlign w:val="center"/>
          </w:tcPr>
          <w:p w14:paraId="12EBABDC">
            <w:pPr>
              <w:pStyle w:val="179"/>
              <w:rPr>
                <w:b/>
              </w:rPr>
            </w:pPr>
            <w:r>
              <w:rPr>
                <w:b/>
              </w:rPr>
              <w:t>规格</w:t>
            </w:r>
          </w:p>
        </w:tc>
        <w:tc>
          <w:tcPr>
            <w:tcW w:w="498" w:type="pct"/>
            <w:vAlign w:val="center"/>
          </w:tcPr>
          <w:p w14:paraId="1BBEE185">
            <w:pPr>
              <w:pStyle w:val="179"/>
              <w:rPr>
                <w:b/>
              </w:rPr>
            </w:pPr>
            <w:r>
              <w:rPr>
                <w:b/>
              </w:rPr>
              <w:t>数量</w:t>
            </w:r>
          </w:p>
        </w:tc>
        <w:tc>
          <w:tcPr>
            <w:tcW w:w="1945" w:type="pct"/>
            <w:vAlign w:val="center"/>
          </w:tcPr>
          <w:p w14:paraId="3C447237">
            <w:pPr>
              <w:pStyle w:val="179"/>
              <w:rPr>
                <w:b/>
              </w:rPr>
            </w:pPr>
            <w:r>
              <w:rPr>
                <w:b/>
              </w:rPr>
              <w:t>备注</w:t>
            </w:r>
          </w:p>
        </w:tc>
      </w:tr>
      <w:tr w14:paraId="386777D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96" w:type="pct"/>
            <w:vAlign w:val="center"/>
          </w:tcPr>
          <w:p w14:paraId="634C2B40">
            <w:pPr>
              <w:pStyle w:val="179"/>
            </w:pPr>
            <w:r>
              <w:rPr>
                <w:rFonts w:hint="eastAsia"/>
              </w:rPr>
              <w:t>1</w:t>
            </w:r>
          </w:p>
        </w:tc>
        <w:tc>
          <w:tcPr>
            <w:tcW w:w="1330" w:type="pct"/>
            <w:vAlign w:val="center"/>
          </w:tcPr>
          <w:p w14:paraId="570553BB">
            <w:pPr>
              <w:pStyle w:val="179"/>
            </w:pPr>
            <w:r>
              <w:rPr>
                <w:rFonts w:hint="eastAsia"/>
              </w:rPr>
              <w:t>挖掘机</w:t>
            </w:r>
          </w:p>
        </w:tc>
        <w:tc>
          <w:tcPr>
            <w:tcW w:w="831" w:type="pct"/>
            <w:vAlign w:val="center"/>
          </w:tcPr>
          <w:p w14:paraId="26D6BADC">
            <w:pPr>
              <w:pStyle w:val="179"/>
            </w:pPr>
            <w:r>
              <w:rPr>
                <w:rFonts w:hint="eastAsia"/>
              </w:rPr>
              <w:t>PC360</w:t>
            </w:r>
          </w:p>
        </w:tc>
        <w:tc>
          <w:tcPr>
            <w:tcW w:w="498" w:type="pct"/>
            <w:vAlign w:val="center"/>
          </w:tcPr>
          <w:p w14:paraId="5E1ECE18">
            <w:pPr>
              <w:pStyle w:val="179"/>
            </w:pPr>
            <w:r>
              <w:rPr>
                <w:rFonts w:hint="eastAsia"/>
              </w:rPr>
              <w:t>8台</w:t>
            </w:r>
          </w:p>
        </w:tc>
        <w:tc>
          <w:tcPr>
            <w:tcW w:w="1945" w:type="pct"/>
            <w:vAlign w:val="center"/>
          </w:tcPr>
          <w:p w14:paraId="5A811D69">
            <w:pPr>
              <w:pStyle w:val="179"/>
            </w:pPr>
            <w:r>
              <w:rPr>
                <w:rFonts w:hint="eastAsia"/>
              </w:rPr>
              <w:t>配液压破碎锤4台，配挖掘斗4台</w:t>
            </w:r>
          </w:p>
        </w:tc>
      </w:tr>
      <w:tr w14:paraId="7C8569E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96" w:type="pct"/>
            <w:vAlign w:val="center"/>
          </w:tcPr>
          <w:p w14:paraId="3F1A3F80">
            <w:pPr>
              <w:pStyle w:val="179"/>
            </w:pPr>
            <w:r>
              <w:rPr>
                <w:rFonts w:hint="eastAsia"/>
              </w:rPr>
              <w:t>2</w:t>
            </w:r>
          </w:p>
        </w:tc>
        <w:tc>
          <w:tcPr>
            <w:tcW w:w="1330" w:type="pct"/>
            <w:vAlign w:val="center"/>
          </w:tcPr>
          <w:p w14:paraId="74F02395">
            <w:pPr>
              <w:pStyle w:val="179"/>
            </w:pPr>
            <w:r>
              <w:rPr>
                <w:rFonts w:hint="eastAsia"/>
              </w:rPr>
              <w:t>装载机</w:t>
            </w:r>
          </w:p>
        </w:tc>
        <w:tc>
          <w:tcPr>
            <w:tcW w:w="831" w:type="pct"/>
            <w:vAlign w:val="center"/>
          </w:tcPr>
          <w:p w14:paraId="2805E620">
            <w:pPr>
              <w:pStyle w:val="179"/>
            </w:pPr>
            <w:r>
              <w:rPr>
                <w:rFonts w:hint="eastAsia"/>
              </w:rPr>
              <w:t>龙工50</w:t>
            </w:r>
          </w:p>
        </w:tc>
        <w:tc>
          <w:tcPr>
            <w:tcW w:w="498" w:type="pct"/>
            <w:vAlign w:val="center"/>
          </w:tcPr>
          <w:p w14:paraId="2D7C600D">
            <w:pPr>
              <w:pStyle w:val="179"/>
            </w:pPr>
            <w:r>
              <w:rPr>
                <w:rFonts w:hint="eastAsia"/>
              </w:rPr>
              <w:t>4台</w:t>
            </w:r>
          </w:p>
        </w:tc>
        <w:tc>
          <w:tcPr>
            <w:tcW w:w="1945" w:type="pct"/>
            <w:vAlign w:val="center"/>
          </w:tcPr>
          <w:p w14:paraId="122CF375">
            <w:pPr>
              <w:pStyle w:val="179"/>
            </w:pPr>
          </w:p>
        </w:tc>
      </w:tr>
      <w:tr w14:paraId="2541FF9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96" w:type="pct"/>
            <w:vAlign w:val="center"/>
          </w:tcPr>
          <w:p w14:paraId="1157FADF">
            <w:pPr>
              <w:pStyle w:val="179"/>
            </w:pPr>
            <w:r>
              <w:rPr>
                <w:rFonts w:hint="eastAsia"/>
              </w:rPr>
              <w:t>3</w:t>
            </w:r>
          </w:p>
        </w:tc>
        <w:tc>
          <w:tcPr>
            <w:tcW w:w="1330" w:type="pct"/>
            <w:vAlign w:val="center"/>
          </w:tcPr>
          <w:p w14:paraId="5EF627B9">
            <w:pPr>
              <w:pStyle w:val="179"/>
            </w:pPr>
            <w:r>
              <w:rPr>
                <w:rFonts w:hint="eastAsia"/>
              </w:rPr>
              <w:t>自卸汽车</w:t>
            </w:r>
          </w:p>
        </w:tc>
        <w:tc>
          <w:tcPr>
            <w:tcW w:w="831" w:type="pct"/>
            <w:vAlign w:val="center"/>
          </w:tcPr>
          <w:p w14:paraId="035DA979">
            <w:pPr>
              <w:pStyle w:val="179"/>
            </w:pPr>
            <w:r>
              <w:rPr>
                <w:rFonts w:hint="eastAsia"/>
              </w:rPr>
              <w:t>豪沃</w:t>
            </w:r>
          </w:p>
        </w:tc>
        <w:tc>
          <w:tcPr>
            <w:tcW w:w="498" w:type="pct"/>
            <w:vAlign w:val="center"/>
          </w:tcPr>
          <w:p w14:paraId="2AF2D6EE">
            <w:pPr>
              <w:pStyle w:val="179"/>
            </w:pPr>
            <w:r>
              <w:rPr>
                <w:rFonts w:hint="eastAsia"/>
              </w:rPr>
              <w:t>6台</w:t>
            </w:r>
          </w:p>
        </w:tc>
        <w:tc>
          <w:tcPr>
            <w:tcW w:w="1945" w:type="pct"/>
            <w:vAlign w:val="center"/>
          </w:tcPr>
          <w:p w14:paraId="014216A2">
            <w:pPr>
              <w:pStyle w:val="179"/>
            </w:pPr>
          </w:p>
        </w:tc>
      </w:tr>
      <w:tr w14:paraId="6579465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96" w:type="pct"/>
            <w:vAlign w:val="center"/>
          </w:tcPr>
          <w:p w14:paraId="478323AF">
            <w:pPr>
              <w:pStyle w:val="179"/>
            </w:pPr>
            <w:r>
              <w:rPr>
                <w:rFonts w:hint="eastAsia"/>
              </w:rPr>
              <w:t>4</w:t>
            </w:r>
          </w:p>
        </w:tc>
        <w:tc>
          <w:tcPr>
            <w:tcW w:w="1330" w:type="pct"/>
            <w:vAlign w:val="center"/>
          </w:tcPr>
          <w:p w14:paraId="13E57CCD">
            <w:pPr>
              <w:pStyle w:val="179"/>
            </w:pPr>
            <w:r>
              <w:t>洒水车</w:t>
            </w:r>
          </w:p>
        </w:tc>
        <w:tc>
          <w:tcPr>
            <w:tcW w:w="831" w:type="pct"/>
            <w:vAlign w:val="center"/>
          </w:tcPr>
          <w:p w14:paraId="5D947379">
            <w:pPr>
              <w:pStyle w:val="179"/>
            </w:pPr>
          </w:p>
        </w:tc>
        <w:tc>
          <w:tcPr>
            <w:tcW w:w="498" w:type="pct"/>
            <w:vAlign w:val="center"/>
          </w:tcPr>
          <w:p w14:paraId="0CB4145E">
            <w:pPr>
              <w:pStyle w:val="179"/>
            </w:pPr>
            <w:r>
              <w:rPr>
                <w:rFonts w:hint="eastAsia"/>
              </w:rPr>
              <w:t>2台</w:t>
            </w:r>
          </w:p>
        </w:tc>
        <w:tc>
          <w:tcPr>
            <w:tcW w:w="1945" w:type="pct"/>
            <w:vAlign w:val="center"/>
          </w:tcPr>
          <w:p w14:paraId="35EBB17E">
            <w:pPr>
              <w:pStyle w:val="179"/>
            </w:pPr>
          </w:p>
        </w:tc>
      </w:tr>
    </w:tbl>
    <w:p w14:paraId="07CC3304">
      <w:pPr>
        <w:pStyle w:val="5"/>
        <w:spacing w:before="156" w:after="156"/>
      </w:pPr>
      <w:r>
        <w:rPr>
          <w:rFonts w:hint="eastAsia"/>
        </w:rPr>
        <w:t>产品方案、服务年限及工作制度</w:t>
      </w:r>
    </w:p>
    <w:p w14:paraId="0AF7A626">
      <w:pPr>
        <w:ind w:firstLine="482"/>
        <w:rPr>
          <w:b/>
        </w:rPr>
      </w:pPr>
      <w:r>
        <w:rPr>
          <w:b/>
        </w:rPr>
        <w:t>1、产品方案</w:t>
      </w:r>
    </w:p>
    <w:p w14:paraId="630DEAA2">
      <w:pPr>
        <w:ind w:firstLine="480"/>
      </w:pPr>
      <w:r>
        <w:rPr>
          <w:rFonts w:hint="eastAsia"/>
        </w:rPr>
        <w:t>本项目产品方案为公路建设用料，年开采30.00×10</w:t>
      </w:r>
      <w:r>
        <w:rPr>
          <w:rFonts w:hint="eastAsia"/>
          <w:vertAlign w:val="superscript"/>
        </w:rPr>
        <w:t>4</w:t>
      </w:r>
      <w:r>
        <w:rPr>
          <w:rFonts w:hint="eastAsia"/>
        </w:rPr>
        <w:t>m</w:t>
      </w:r>
      <w:r>
        <w:rPr>
          <w:rFonts w:hint="eastAsia"/>
          <w:vertAlign w:val="superscript"/>
        </w:rPr>
        <w:t>3</w:t>
      </w:r>
      <w:r>
        <w:rPr>
          <w:rFonts w:hint="eastAsia"/>
        </w:rPr>
        <w:t>/a。根据《嫩江市塔溪乡马厂河采石场资源量核实报告》该矿山采出的凝灰岩（已风化为砂石土状）能满足筑路用料要求，可利用机械设备开采后直接外运。根据筑路用料使用要求无需筛选加工可直接利用。在生产过程中采用液压破碎锤分层破碎剥离开采，无需碎石筛分，直接挖掘机配合装车即可销售。</w:t>
      </w:r>
    </w:p>
    <w:p w14:paraId="525F78C1">
      <w:pPr>
        <w:ind w:firstLine="480"/>
      </w:pPr>
      <w:r>
        <w:rPr>
          <w:rFonts w:hint="eastAsia"/>
        </w:rPr>
        <w:t>因此，本项目不在料场采区设置筛分机等加工工序，开采下来的石料经机械装车，石料由自卸汽车运至公路用料处。</w:t>
      </w:r>
    </w:p>
    <w:p w14:paraId="7722755E">
      <w:pPr>
        <w:ind w:firstLine="482"/>
        <w:rPr>
          <w:b/>
        </w:rPr>
      </w:pPr>
      <w:r>
        <w:rPr>
          <w:rFonts w:hint="eastAsia"/>
          <w:b/>
        </w:rPr>
        <w:t>2、服务年限</w:t>
      </w:r>
    </w:p>
    <w:p w14:paraId="2597B927">
      <w:pPr>
        <w:ind w:firstLine="480"/>
      </w:pPr>
      <w:r>
        <w:t>矿山面积</w:t>
      </w:r>
      <w:r>
        <w:rPr>
          <w:rFonts w:hint="eastAsia"/>
        </w:rPr>
        <w:t>0.1101k</w:t>
      </w:r>
      <w:r>
        <w:t>m</w:t>
      </w:r>
      <w:r>
        <w:rPr>
          <w:vertAlign w:val="superscript"/>
        </w:rPr>
        <w:t>2</w:t>
      </w:r>
      <w:r>
        <w:t>，开采顶标高</w:t>
      </w:r>
      <w:r>
        <w:rPr>
          <w:rFonts w:hint="eastAsia"/>
        </w:rPr>
        <w:t>+523.50m</w:t>
      </w:r>
      <w:r>
        <w:t>，开采底标高</w:t>
      </w:r>
      <w:r>
        <w:rPr>
          <w:rFonts w:hint="eastAsia"/>
        </w:rPr>
        <w:t>+420.00m</w:t>
      </w:r>
      <w:r>
        <w:t>，回采率为95%，设计可采资源为</w:t>
      </w:r>
      <w:r>
        <w:rPr>
          <w:rFonts w:hint="eastAsia"/>
        </w:rPr>
        <w:t>304.36×</w:t>
      </w:r>
      <w:r>
        <w:t>10</w:t>
      </w:r>
      <w:r>
        <w:rPr>
          <w:vertAlign w:val="superscript"/>
        </w:rPr>
        <w:t>4</w:t>
      </w:r>
      <w:r>
        <w:t>m</w:t>
      </w:r>
      <w:r>
        <w:rPr>
          <w:vertAlign w:val="superscript"/>
        </w:rPr>
        <w:t>3</w:t>
      </w:r>
      <w:r>
        <w:t>，生产规模</w:t>
      </w:r>
      <w:r>
        <w:rPr>
          <w:rFonts w:hint="eastAsia"/>
        </w:rPr>
        <w:t>30.00×</w:t>
      </w:r>
      <w:r>
        <w:t>10</w:t>
      </w:r>
      <w:r>
        <w:rPr>
          <w:vertAlign w:val="superscript"/>
        </w:rPr>
        <w:t>4</w:t>
      </w:r>
      <w:r>
        <w:t>m</w:t>
      </w:r>
      <w:r>
        <w:rPr>
          <w:vertAlign w:val="superscript"/>
        </w:rPr>
        <w:t>3</w:t>
      </w:r>
      <w:r>
        <w:t>/a，</w:t>
      </w:r>
      <w:r>
        <w:rPr>
          <w:rFonts w:hint="eastAsia"/>
        </w:rPr>
        <w:t>矿山</w:t>
      </w:r>
      <w:r>
        <w:t>服务年限约为</w:t>
      </w:r>
      <w:r>
        <w:rPr>
          <w:rFonts w:hint="eastAsia"/>
        </w:rPr>
        <w:t>10年。</w:t>
      </w:r>
    </w:p>
    <w:p w14:paraId="676F5C03">
      <w:pPr>
        <w:ind w:firstLine="482"/>
        <w:rPr>
          <w:b/>
        </w:rPr>
      </w:pPr>
      <w:r>
        <w:rPr>
          <w:rFonts w:hint="eastAsia"/>
          <w:b/>
        </w:rPr>
        <w:t>3、</w:t>
      </w:r>
      <w:r>
        <w:rPr>
          <w:b/>
        </w:rPr>
        <w:t>工作制度及劳动定员</w:t>
      </w:r>
    </w:p>
    <w:p w14:paraId="0C85F024">
      <w:pPr>
        <w:ind w:firstLine="480"/>
      </w:pPr>
      <w:r>
        <w:rPr>
          <w:rFonts w:hint="eastAsia"/>
        </w:rPr>
        <w:t>本项目建成后劳动定员20人，全年工作180天，5月~10月生产。每日一班生产，每班工作8小时，</w:t>
      </w:r>
      <w:r>
        <w:t>矿区内无食堂，无宿舍。</w:t>
      </w:r>
    </w:p>
    <w:p w14:paraId="146F5A01">
      <w:pPr>
        <w:pStyle w:val="5"/>
        <w:spacing w:before="156" w:after="156"/>
      </w:pPr>
      <w:r>
        <w:t>土石方平衡</w:t>
      </w:r>
    </w:p>
    <w:p w14:paraId="31CB7171">
      <w:pPr>
        <w:ind w:firstLine="480"/>
        <w:rPr>
          <w:rFonts w:hAnsi="Times New Roman"/>
          <w:szCs w:val="21"/>
        </w:rPr>
      </w:pPr>
      <w:r>
        <w:rPr>
          <w:rFonts w:hint="eastAsia" w:hAnsi="Times New Roman"/>
          <w:szCs w:val="21"/>
        </w:rPr>
        <w:t>项目开挖填方工程主要是施工期对矿区范围进行表土剥离。根据《资源储量检测报告》，剥离厚度0.25m，剥离土方量为</w:t>
      </w:r>
      <w:r>
        <w:t>2751</w:t>
      </w:r>
      <w:r>
        <w:rPr>
          <w:rFonts w:hint="eastAsia"/>
        </w:rPr>
        <w:t>3</w:t>
      </w:r>
      <w:r>
        <w:rPr>
          <w:rFonts w:hint="eastAsia" w:hAnsi="Times New Roman"/>
          <w:szCs w:val="21"/>
        </w:rPr>
        <w:t>m</w:t>
      </w:r>
      <w:r>
        <w:rPr>
          <w:rFonts w:hint="eastAsia" w:hAnsi="Times New Roman"/>
          <w:szCs w:val="21"/>
          <w:vertAlign w:val="superscript"/>
        </w:rPr>
        <w:t>3</w:t>
      </w:r>
      <w:r>
        <w:rPr>
          <w:rFonts w:hint="eastAsia" w:hAnsi="Times New Roman"/>
          <w:szCs w:val="21"/>
        </w:rPr>
        <w:t>，剥离表土在矿区内表土堆场暂存，用于采区开采后生态恢复（边开采边恢复）。表土剥离后，可直接进行开采，故不单独设置排土场及废石堆场。开挖的矿石外运至道路施工场地。本项目土石方平衡情况见表3.1-5。</w:t>
      </w:r>
    </w:p>
    <w:p w14:paraId="12E6F308">
      <w:pPr>
        <w:pStyle w:val="178"/>
        <w:jc w:val="right"/>
      </w:pPr>
      <w:r>
        <w:t>表</w:t>
      </w:r>
      <w:r>
        <w:rPr>
          <w:rFonts w:hint="eastAsia"/>
        </w:rPr>
        <w:t>3.1</w:t>
      </w:r>
      <w:r>
        <w:t>-</w:t>
      </w:r>
      <w:r>
        <w:rPr>
          <w:rFonts w:hint="eastAsia"/>
        </w:rPr>
        <w:t>5</w:t>
      </w:r>
      <w:r>
        <w:t xml:space="preserve">  工程土石方平衡表    单位： 万m</w:t>
      </w:r>
      <w:r>
        <w:rPr>
          <w:vertAlign w:val="superscript"/>
        </w:rPr>
        <w:t>3</w:t>
      </w:r>
      <w:r>
        <w:t>/开采期</w:t>
      </w:r>
    </w:p>
    <w:tbl>
      <w:tblPr>
        <w:tblStyle w:val="36"/>
        <w:tblW w:w="5164"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23" w:type="dxa"/>
          <w:bottom w:w="0" w:type="dxa"/>
          <w:right w:w="23" w:type="dxa"/>
        </w:tblCellMar>
      </w:tblPr>
      <w:tblGrid>
        <w:gridCol w:w="1294"/>
        <w:gridCol w:w="993"/>
        <w:gridCol w:w="1105"/>
        <w:gridCol w:w="1049"/>
        <w:gridCol w:w="1049"/>
        <w:gridCol w:w="1049"/>
        <w:gridCol w:w="2094"/>
      </w:tblGrid>
      <w:tr w14:paraId="301081A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1294" w:type="dxa"/>
            <w:vAlign w:val="center"/>
          </w:tcPr>
          <w:p w14:paraId="3CC7EC58">
            <w:pPr>
              <w:pStyle w:val="179"/>
              <w:rPr>
                <w:b/>
              </w:rPr>
            </w:pPr>
            <w:r>
              <w:rPr>
                <w:rFonts w:hint="eastAsia"/>
                <w:b/>
              </w:rPr>
              <w:t>单项工程</w:t>
            </w:r>
          </w:p>
        </w:tc>
        <w:tc>
          <w:tcPr>
            <w:tcW w:w="993" w:type="dxa"/>
            <w:vAlign w:val="center"/>
          </w:tcPr>
          <w:p w14:paraId="63DE61F7">
            <w:pPr>
              <w:pStyle w:val="179"/>
              <w:rPr>
                <w:b/>
              </w:rPr>
            </w:pPr>
            <w:r>
              <w:rPr>
                <w:rFonts w:hint="eastAsia"/>
                <w:b/>
              </w:rPr>
              <w:t>挖方</w:t>
            </w:r>
          </w:p>
        </w:tc>
        <w:tc>
          <w:tcPr>
            <w:tcW w:w="1105" w:type="dxa"/>
            <w:vAlign w:val="center"/>
          </w:tcPr>
          <w:p w14:paraId="12EEF2D1">
            <w:pPr>
              <w:pStyle w:val="179"/>
              <w:rPr>
                <w:b/>
              </w:rPr>
            </w:pPr>
            <w:r>
              <w:rPr>
                <w:rFonts w:hint="eastAsia"/>
                <w:b/>
              </w:rPr>
              <w:t>外运方</w:t>
            </w:r>
          </w:p>
        </w:tc>
        <w:tc>
          <w:tcPr>
            <w:tcW w:w="1049" w:type="dxa"/>
            <w:vAlign w:val="center"/>
          </w:tcPr>
          <w:p w14:paraId="17016D13">
            <w:pPr>
              <w:pStyle w:val="179"/>
              <w:rPr>
                <w:b/>
              </w:rPr>
            </w:pPr>
            <w:r>
              <w:rPr>
                <w:rFonts w:hint="eastAsia"/>
                <w:b/>
              </w:rPr>
              <w:t>填方</w:t>
            </w:r>
          </w:p>
        </w:tc>
        <w:tc>
          <w:tcPr>
            <w:tcW w:w="1049" w:type="dxa"/>
            <w:vAlign w:val="center"/>
          </w:tcPr>
          <w:p w14:paraId="77D45B5E">
            <w:pPr>
              <w:pStyle w:val="179"/>
              <w:rPr>
                <w:b/>
              </w:rPr>
            </w:pPr>
            <w:r>
              <w:rPr>
                <w:rFonts w:hint="eastAsia"/>
                <w:b/>
              </w:rPr>
              <w:t>借方</w:t>
            </w:r>
          </w:p>
        </w:tc>
        <w:tc>
          <w:tcPr>
            <w:tcW w:w="1049" w:type="dxa"/>
            <w:vAlign w:val="center"/>
          </w:tcPr>
          <w:p w14:paraId="183D770B">
            <w:pPr>
              <w:pStyle w:val="179"/>
              <w:rPr>
                <w:b/>
              </w:rPr>
            </w:pPr>
            <w:r>
              <w:rPr>
                <w:rFonts w:hint="eastAsia"/>
                <w:b/>
              </w:rPr>
              <w:t>弃方</w:t>
            </w:r>
          </w:p>
        </w:tc>
        <w:tc>
          <w:tcPr>
            <w:tcW w:w="2094" w:type="dxa"/>
            <w:vAlign w:val="center"/>
          </w:tcPr>
          <w:p w14:paraId="3A7D56DB">
            <w:pPr>
              <w:pStyle w:val="179"/>
              <w:rPr>
                <w:b/>
              </w:rPr>
            </w:pPr>
            <w:r>
              <w:rPr>
                <w:rFonts w:hint="eastAsia"/>
                <w:b/>
              </w:rPr>
              <w:t>备注</w:t>
            </w:r>
          </w:p>
        </w:tc>
      </w:tr>
      <w:tr w14:paraId="10521A5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1294" w:type="dxa"/>
            <w:vAlign w:val="center"/>
          </w:tcPr>
          <w:p w14:paraId="76D84DD7">
            <w:pPr>
              <w:pStyle w:val="179"/>
            </w:pPr>
            <w:r>
              <w:rPr>
                <w:rFonts w:hint="eastAsia"/>
              </w:rPr>
              <w:t>矿石</w:t>
            </w:r>
          </w:p>
        </w:tc>
        <w:tc>
          <w:tcPr>
            <w:tcW w:w="993" w:type="dxa"/>
            <w:vAlign w:val="center"/>
          </w:tcPr>
          <w:p w14:paraId="31FF968B">
            <w:pPr>
              <w:pStyle w:val="179"/>
            </w:pPr>
            <w:r>
              <w:rPr>
                <w:rFonts w:hint="eastAsia"/>
              </w:rPr>
              <w:t>304.36</w:t>
            </w:r>
          </w:p>
        </w:tc>
        <w:tc>
          <w:tcPr>
            <w:tcW w:w="1105" w:type="dxa"/>
            <w:vAlign w:val="center"/>
          </w:tcPr>
          <w:p w14:paraId="3ECD0DE4">
            <w:pPr>
              <w:pStyle w:val="179"/>
            </w:pPr>
            <w:r>
              <w:rPr>
                <w:rFonts w:hint="eastAsia"/>
              </w:rPr>
              <w:t>304.36</w:t>
            </w:r>
          </w:p>
        </w:tc>
        <w:tc>
          <w:tcPr>
            <w:tcW w:w="1049" w:type="dxa"/>
            <w:vAlign w:val="center"/>
          </w:tcPr>
          <w:p w14:paraId="54007159">
            <w:pPr>
              <w:pStyle w:val="179"/>
            </w:pPr>
            <w:r>
              <w:rPr>
                <w:rFonts w:hint="eastAsia"/>
              </w:rPr>
              <w:t>0</w:t>
            </w:r>
          </w:p>
        </w:tc>
        <w:tc>
          <w:tcPr>
            <w:tcW w:w="1049" w:type="dxa"/>
            <w:vAlign w:val="center"/>
          </w:tcPr>
          <w:p w14:paraId="6BAD3932">
            <w:pPr>
              <w:pStyle w:val="179"/>
            </w:pPr>
            <w:r>
              <w:rPr>
                <w:rFonts w:hint="eastAsia"/>
              </w:rPr>
              <w:t>0</w:t>
            </w:r>
          </w:p>
        </w:tc>
        <w:tc>
          <w:tcPr>
            <w:tcW w:w="1049" w:type="dxa"/>
            <w:vAlign w:val="center"/>
          </w:tcPr>
          <w:p w14:paraId="0F5A0A89">
            <w:pPr>
              <w:pStyle w:val="179"/>
            </w:pPr>
            <w:r>
              <w:rPr>
                <w:rFonts w:hint="eastAsia"/>
              </w:rPr>
              <w:t>0</w:t>
            </w:r>
          </w:p>
        </w:tc>
        <w:tc>
          <w:tcPr>
            <w:tcW w:w="2094" w:type="dxa"/>
            <w:vAlign w:val="center"/>
          </w:tcPr>
          <w:p w14:paraId="4D74FCCE">
            <w:pPr>
              <w:pStyle w:val="179"/>
            </w:pPr>
            <w:r>
              <w:rPr>
                <w:rFonts w:hint="eastAsia"/>
              </w:rPr>
              <w:t>/</w:t>
            </w:r>
          </w:p>
        </w:tc>
      </w:tr>
      <w:tr w14:paraId="71FED56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1294" w:type="dxa"/>
            <w:vAlign w:val="center"/>
          </w:tcPr>
          <w:p w14:paraId="36D6ED71">
            <w:pPr>
              <w:pStyle w:val="179"/>
            </w:pPr>
            <w:r>
              <w:rPr>
                <w:rFonts w:hint="eastAsia"/>
              </w:rPr>
              <w:t>矿区表土</w:t>
            </w:r>
          </w:p>
        </w:tc>
        <w:tc>
          <w:tcPr>
            <w:tcW w:w="993" w:type="dxa"/>
            <w:vAlign w:val="center"/>
          </w:tcPr>
          <w:p w14:paraId="41EF47FD">
            <w:pPr>
              <w:pStyle w:val="179"/>
            </w:pPr>
            <w:r>
              <w:t>2</w:t>
            </w:r>
            <w:r>
              <w:rPr>
                <w:rFonts w:hint="eastAsia"/>
              </w:rPr>
              <w:t>.75</w:t>
            </w:r>
          </w:p>
        </w:tc>
        <w:tc>
          <w:tcPr>
            <w:tcW w:w="1105" w:type="dxa"/>
            <w:vAlign w:val="center"/>
          </w:tcPr>
          <w:p w14:paraId="7B825738">
            <w:pPr>
              <w:pStyle w:val="179"/>
            </w:pPr>
            <w:r>
              <w:rPr>
                <w:rFonts w:hint="eastAsia"/>
              </w:rPr>
              <w:t>/</w:t>
            </w:r>
          </w:p>
        </w:tc>
        <w:tc>
          <w:tcPr>
            <w:tcW w:w="1049" w:type="dxa"/>
            <w:vAlign w:val="center"/>
          </w:tcPr>
          <w:p w14:paraId="1B1BA46E">
            <w:pPr>
              <w:pStyle w:val="179"/>
            </w:pPr>
            <w:r>
              <w:t>2</w:t>
            </w:r>
            <w:r>
              <w:rPr>
                <w:rFonts w:hint="eastAsia"/>
              </w:rPr>
              <w:t>.75</w:t>
            </w:r>
          </w:p>
        </w:tc>
        <w:tc>
          <w:tcPr>
            <w:tcW w:w="1049" w:type="dxa"/>
            <w:vAlign w:val="center"/>
          </w:tcPr>
          <w:p w14:paraId="0C5DFEFE">
            <w:pPr>
              <w:pStyle w:val="179"/>
            </w:pPr>
            <w:r>
              <w:rPr>
                <w:rFonts w:hint="eastAsia"/>
              </w:rPr>
              <w:t>0</w:t>
            </w:r>
          </w:p>
        </w:tc>
        <w:tc>
          <w:tcPr>
            <w:tcW w:w="1049" w:type="dxa"/>
            <w:vAlign w:val="center"/>
          </w:tcPr>
          <w:p w14:paraId="7BA42FEE">
            <w:pPr>
              <w:pStyle w:val="179"/>
            </w:pPr>
            <w:r>
              <w:rPr>
                <w:rFonts w:hint="eastAsia"/>
              </w:rPr>
              <w:t>0</w:t>
            </w:r>
          </w:p>
        </w:tc>
        <w:tc>
          <w:tcPr>
            <w:tcW w:w="2094" w:type="dxa"/>
            <w:vAlign w:val="center"/>
          </w:tcPr>
          <w:p w14:paraId="3E72FEEC">
            <w:pPr>
              <w:pStyle w:val="179"/>
            </w:pPr>
            <w:r>
              <w:rPr>
                <w:rFonts w:hint="eastAsia"/>
              </w:rPr>
              <w:t>剥离的表土暂存于矿区范围内表土堆场内，用于生态恢复。</w:t>
            </w:r>
          </w:p>
        </w:tc>
      </w:tr>
      <w:tr w14:paraId="476CF27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1294" w:type="dxa"/>
            <w:vAlign w:val="center"/>
          </w:tcPr>
          <w:p w14:paraId="7B70C9E0">
            <w:pPr>
              <w:pStyle w:val="179"/>
            </w:pPr>
            <w:r>
              <w:rPr>
                <w:rFonts w:hint="eastAsia"/>
              </w:rPr>
              <w:t>总计</w:t>
            </w:r>
          </w:p>
        </w:tc>
        <w:tc>
          <w:tcPr>
            <w:tcW w:w="993" w:type="dxa"/>
            <w:vAlign w:val="center"/>
          </w:tcPr>
          <w:p w14:paraId="7FB69AC5">
            <w:pPr>
              <w:pStyle w:val="179"/>
            </w:pPr>
            <w:r>
              <w:t>307.11</w:t>
            </w:r>
          </w:p>
        </w:tc>
        <w:tc>
          <w:tcPr>
            <w:tcW w:w="1105" w:type="dxa"/>
            <w:vAlign w:val="center"/>
          </w:tcPr>
          <w:p w14:paraId="2E909F3F">
            <w:pPr>
              <w:pStyle w:val="179"/>
            </w:pPr>
            <w:r>
              <w:rPr>
                <w:rFonts w:hint="eastAsia"/>
              </w:rPr>
              <w:t>304.36</w:t>
            </w:r>
          </w:p>
        </w:tc>
        <w:tc>
          <w:tcPr>
            <w:tcW w:w="1049" w:type="dxa"/>
            <w:vAlign w:val="center"/>
          </w:tcPr>
          <w:p w14:paraId="5069EED8">
            <w:pPr>
              <w:pStyle w:val="179"/>
            </w:pPr>
            <w:r>
              <w:t>2</w:t>
            </w:r>
            <w:r>
              <w:rPr>
                <w:rFonts w:hint="eastAsia"/>
              </w:rPr>
              <w:t>.75</w:t>
            </w:r>
          </w:p>
        </w:tc>
        <w:tc>
          <w:tcPr>
            <w:tcW w:w="1049" w:type="dxa"/>
            <w:vAlign w:val="center"/>
          </w:tcPr>
          <w:p w14:paraId="0449CEB5">
            <w:pPr>
              <w:pStyle w:val="179"/>
            </w:pPr>
            <w:r>
              <w:rPr>
                <w:rFonts w:hint="eastAsia"/>
              </w:rPr>
              <w:t>0</w:t>
            </w:r>
          </w:p>
        </w:tc>
        <w:tc>
          <w:tcPr>
            <w:tcW w:w="1049" w:type="dxa"/>
            <w:vAlign w:val="center"/>
          </w:tcPr>
          <w:p w14:paraId="37A04F13">
            <w:pPr>
              <w:pStyle w:val="179"/>
            </w:pPr>
            <w:r>
              <w:rPr>
                <w:rFonts w:hint="eastAsia"/>
              </w:rPr>
              <w:t>0</w:t>
            </w:r>
          </w:p>
        </w:tc>
        <w:tc>
          <w:tcPr>
            <w:tcW w:w="2094" w:type="dxa"/>
            <w:vAlign w:val="center"/>
          </w:tcPr>
          <w:p w14:paraId="484582E3">
            <w:pPr>
              <w:pStyle w:val="179"/>
            </w:pPr>
            <w:r>
              <w:rPr>
                <w:rFonts w:hint="eastAsia"/>
              </w:rPr>
              <w:t>-</w:t>
            </w:r>
          </w:p>
        </w:tc>
      </w:tr>
    </w:tbl>
    <w:p w14:paraId="6331C131">
      <w:pPr>
        <w:pStyle w:val="5"/>
        <w:spacing w:before="156" w:after="156"/>
      </w:pPr>
      <w:r>
        <w:t>项目实施计划</w:t>
      </w:r>
    </w:p>
    <w:p w14:paraId="05B769A0">
      <w:pPr>
        <w:ind w:firstLine="480"/>
        <w:rPr>
          <w:rFonts w:hAnsi="Times New Roman" w:cs="Times New Roman"/>
        </w:rPr>
      </w:pPr>
      <w:r>
        <w:rPr>
          <w:rFonts w:hint="eastAsia"/>
        </w:rPr>
        <w:t>本项目于2025年11月施工，预计</w:t>
      </w:r>
      <w:r>
        <w:t>202</w:t>
      </w:r>
      <w:r>
        <w:rPr>
          <w:rFonts w:hint="eastAsia"/>
        </w:rPr>
        <w:t>6年11月建成投产，建设期为12个月，未进行罚款。项目服务期10年，</w:t>
      </w:r>
      <w:r>
        <w:t>20</w:t>
      </w:r>
      <w:r>
        <w:rPr>
          <w:rFonts w:hint="eastAsia"/>
        </w:rPr>
        <w:t>36年4月闭矿，并进行生态恢复。</w:t>
      </w:r>
      <w:bookmarkEnd w:id="108"/>
      <w:bookmarkEnd w:id="109"/>
      <w:bookmarkStart w:id="110" w:name="_Toc18122"/>
      <w:bookmarkStart w:id="111" w:name="_Toc23314"/>
    </w:p>
    <w:bookmarkEnd w:id="110"/>
    <w:bookmarkEnd w:id="111"/>
    <w:p w14:paraId="031B9C7B">
      <w:pPr>
        <w:pStyle w:val="3"/>
        <w:spacing w:before="234" w:after="156"/>
      </w:pPr>
      <w:bookmarkStart w:id="112" w:name="_Toc234927691"/>
      <w:r>
        <w:rPr>
          <w:rFonts w:hint="eastAsia"/>
          <w:bCs/>
        </w:rPr>
        <w:t>矿山开采方案</w:t>
      </w:r>
      <w:bookmarkEnd w:id="112"/>
    </w:p>
    <w:p w14:paraId="6C730B29">
      <w:pPr>
        <w:pStyle w:val="4"/>
        <w:spacing w:before="234" w:after="156"/>
      </w:pPr>
      <w:r>
        <w:t>矿区位置及交通条件</w:t>
      </w:r>
    </w:p>
    <w:p w14:paraId="59F6D368">
      <w:pPr>
        <w:pStyle w:val="5"/>
        <w:spacing w:before="156" w:after="156"/>
      </w:pPr>
      <w:r>
        <w:rPr>
          <w:rFonts w:hint="eastAsia"/>
        </w:rPr>
        <w:t>开采范围</w:t>
      </w:r>
    </w:p>
    <w:p w14:paraId="3B539A23">
      <w:pPr>
        <w:ind w:firstLine="480"/>
      </w:pPr>
      <w:r>
        <w:rPr>
          <w:rFonts w:hint="eastAsia"/>
        </w:rPr>
        <w:t>依据《采矿许可证》，矿区开采范围为资源量估算范围，由5个拐点圈定，面积约0.1101km</w:t>
      </w:r>
      <w:r>
        <w:rPr>
          <w:rFonts w:hint="eastAsia"/>
          <w:vertAlign w:val="superscript"/>
        </w:rPr>
        <w:t>2</w:t>
      </w:r>
      <w:r>
        <w:rPr>
          <w:rFonts w:hint="eastAsia"/>
        </w:rPr>
        <w:t>，开采深度由</w:t>
      </w:r>
      <w:r>
        <w:t>+523.50</w:t>
      </w:r>
      <w:r>
        <w:rPr>
          <w:rFonts w:hint="eastAsia"/>
        </w:rPr>
        <w:t>～</w:t>
      </w:r>
      <w:r>
        <w:t>+420.00</w:t>
      </w:r>
      <w:r>
        <w:rPr>
          <w:rFonts w:hint="eastAsia"/>
        </w:rPr>
        <w:t>m。资源储量估算范围拐点坐标见表3.2-1</w:t>
      </w:r>
      <w:r>
        <w:t>。</w:t>
      </w:r>
    </w:p>
    <w:p w14:paraId="09213130">
      <w:pPr>
        <w:pStyle w:val="12"/>
        <w:topLinePunct/>
        <w:spacing w:after="0" w:line="240" w:lineRule="auto"/>
        <w:ind w:firstLine="0" w:firstLineChars="0"/>
        <w:jc w:val="center"/>
        <w:rPr>
          <w:rFonts w:ascii="Times New Roman" w:hAnsi="Times New Roman" w:cs="Times New Roman"/>
          <w:b/>
          <w:bCs/>
          <w:color w:val="auto"/>
          <w:szCs w:val="24"/>
        </w:rPr>
      </w:pPr>
      <w:r>
        <w:rPr>
          <w:rFonts w:ascii="Times New Roman" w:hAnsi="Times New Roman" w:cs="Times New Roman"/>
          <w:b/>
          <w:bCs/>
          <w:color w:val="auto"/>
          <w:kern w:val="2"/>
          <w:szCs w:val="24"/>
        </w:rPr>
        <w:t>表3.</w:t>
      </w:r>
      <w:r>
        <w:rPr>
          <w:rFonts w:hint="eastAsia" w:ascii="Times New Roman" w:hAnsi="Times New Roman" w:cs="Times New Roman"/>
          <w:b/>
          <w:bCs/>
          <w:color w:val="auto"/>
          <w:kern w:val="2"/>
          <w:szCs w:val="24"/>
        </w:rPr>
        <w:t>2</w:t>
      </w:r>
      <w:r>
        <w:rPr>
          <w:rFonts w:ascii="Times New Roman" w:hAnsi="Times New Roman" w:cs="Times New Roman"/>
          <w:b/>
          <w:bCs/>
          <w:color w:val="auto"/>
          <w:kern w:val="2"/>
          <w:szCs w:val="24"/>
        </w:rPr>
        <w:t>-1  采矿权范围拐点坐标表</w:t>
      </w:r>
    </w:p>
    <w:tbl>
      <w:tblPr>
        <w:tblStyle w:val="36"/>
        <w:tblW w:w="4998"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523"/>
        <w:gridCol w:w="3134"/>
        <w:gridCol w:w="3869"/>
      </w:tblGrid>
      <w:tr w14:paraId="2F7891A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93" w:type="pct"/>
            <w:noWrap/>
            <w:vAlign w:val="center"/>
          </w:tcPr>
          <w:p w14:paraId="24BB458B">
            <w:pPr>
              <w:pStyle w:val="179"/>
              <w:rPr>
                <w:b/>
              </w:rPr>
            </w:pPr>
            <w:r>
              <w:rPr>
                <w:b/>
              </w:rPr>
              <w:t>拐点</w:t>
            </w:r>
          </w:p>
        </w:tc>
        <w:tc>
          <w:tcPr>
            <w:tcW w:w="1838" w:type="pct"/>
            <w:noWrap/>
            <w:vAlign w:val="center"/>
          </w:tcPr>
          <w:p w14:paraId="0D8D0158">
            <w:pPr>
              <w:pStyle w:val="179"/>
              <w:rPr>
                <w:b/>
              </w:rPr>
            </w:pPr>
            <w:r>
              <w:rPr>
                <w:b/>
              </w:rPr>
              <w:t>X</w:t>
            </w:r>
          </w:p>
        </w:tc>
        <w:tc>
          <w:tcPr>
            <w:tcW w:w="2269" w:type="pct"/>
            <w:noWrap/>
            <w:vAlign w:val="center"/>
          </w:tcPr>
          <w:p w14:paraId="625B810C">
            <w:pPr>
              <w:pStyle w:val="179"/>
              <w:rPr>
                <w:b/>
              </w:rPr>
            </w:pPr>
            <w:r>
              <w:rPr>
                <w:b/>
              </w:rPr>
              <w:t>Y</w:t>
            </w:r>
          </w:p>
        </w:tc>
      </w:tr>
      <w:tr w14:paraId="2B68AD7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93" w:type="pct"/>
            <w:noWrap/>
            <w:vAlign w:val="center"/>
          </w:tcPr>
          <w:p w14:paraId="32F10C35">
            <w:pPr>
              <w:pStyle w:val="179"/>
            </w:pPr>
            <w:r>
              <w:t>1</w:t>
            </w:r>
          </w:p>
        </w:tc>
        <w:tc>
          <w:tcPr>
            <w:tcW w:w="1838" w:type="pct"/>
            <w:noWrap/>
            <w:vAlign w:val="center"/>
          </w:tcPr>
          <w:p w14:paraId="4D6EE6C3">
            <w:pPr>
              <w:pStyle w:val="179"/>
              <w:rPr>
                <w:szCs w:val="28"/>
              </w:rPr>
            </w:pPr>
            <w:r>
              <w:t>5479710.23</w:t>
            </w:r>
          </w:p>
        </w:tc>
        <w:tc>
          <w:tcPr>
            <w:tcW w:w="2269" w:type="pct"/>
            <w:noWrap/>
            <w:vAlign w:val="center"/>
          </w:tcPr>
          <w:p w14:paraId="7F4F1671">
            <w:pPr>
              <w:pStyle w:val="179"/>
              <w:rPr>
                <w:szCs w:val="28"/>
              </w:rPr>
            </w:pPr>
            <w:r>
              <w:t>42521951.96</w:t>
            </w:r>
          </w:p>
        </w:tc>
      </w:tr>
      <w:tr w14:paraId="466D7D9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93" w:type="pct"/>
            <w:noWrap/>
            <w:vAlign w:val="center"/>
          </w:tcPr>
          <w:p w14:paraId="6272A6A8">
            <w:pPr>
              <w:pStyle w:val="179"/>
            </w:pPr>
            <w:r>
              <w:t>2</w:t>
            </w:r>
          </w:p>
        </w:tc>
        <w:tc>
          <w:tcPr>
            <w:tcW w:w="1838" w:type="pct"/>
            <w:noWrap/>
            <w:vAlign w:val="center"/>
          </w:tcPr>
          <w:p w14:paraId="00BF7536">
            <w:pPr>
              <w:pStyle w:val="179"/>
              <w:rPr>
                <w:szCs w:val="28"/>
              </w:rPr>
            </w:pPr>
            <w:r>
              <w:t>5479331.29</w:t>
            </w:r>
          </w:p>
        </w:tc>
        <w:tc>
          <w:tcPr>
            <w:tcW w:w="2269" w:type="pct"/>
            <w:noWrap/>
            <w:vAlign w:val="center"/>
          </w:tcPr>
          <w:p w14:paraId="00F8713A">
            <w:pPr>
              <w:pStyle w:val="179"/>
              <w:rPr>
                <w:szCs w:val="28"/>
              </w:rPr>
            </w:pPr>
            <w:r>
              <w:t>42522324.45</w:t>
            </w:r>
          </w:p>
        </w:tc>
      </w:tr>
      <w:tr w14:paraId="04D7B62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93" w:type="pct"/>
            <w:noWrap/>
            <w:vAlign w:val="center"/>
          </w:tcPr>
          <w:p w14:paraId="21E8E137">
            <w:pPr>
              <w:pStyle w:val="179"/>
            </w:pPr>
            <w:r>
              <w:t>3</w:t>
            </w:r>
          </w:p>
        </w:tc>
        <w:tc>
          <w:tcPr>
            <w:tcW w:w="1838" w:type="pct"/>
            <w:noWrap/>
            <w:vAlign w:val="center"/>
          </w:tcPr>
          <w:p w14:paraId="0E8908D6">
            <w:pPr>
              <w:pStyle w:val="179"/>
              <w:rPr>
                <w:sz w:val="22"/>
                <w:szCs w:val="28"/>
              </w:rPr>
            </w:pPr>
            <w:r>
              <w:rPr>
                <w:kern w:val="0"/>
              </w:rPr>
              <w:t>5479193.53</w:t>
            </w:r>
          </w:p>
        </w:tc>
        <w:tc>
          <w:tcPr>
            <w:tcW w:w="2269" w:type="pct"/>
            <w:noWrap/>
            <w:vAlign w:val="center"/>
          </w:tcPr>
          <w:p w14:paraId="5ADF85DF">
            <w:pPr>
              <w:pStyle w:val="179"/>
              <w:rPr>
                <w:sz w:val="22"/>
                <w:szCs w:val="28"/>
              </w:rPr>
            </w:pPr>
            <w:r>
              <w:rPr>
                <w:kern w:val="0"/>
              </w:rPr>
              <w:t>42522171.24</w:t>
            </w:r>
          </w:p>
        </w:tc>
      </w:tr>
      <w:tr w14:paraId="7DF9424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93" w:type="pct"/>
            <w:noWrap/>
            <w:vAlign w:val="center"/>
          </w:tcPr>
          <w:p w14:paraId="0A8607D4">
            <w:pPr>
              <w:pStyle w:val="179"/>
            </w:pPr>
            <w:r>
              <w:t>4</w:t>
            </w:r>
          </w:p>
        </w:tc>
        <w:tc>
          <w:tcPr>
            <w:tcW w:w="1838" w:type="pct"/>
            <w:noWrap/>
            <w:vAlign w:val="center"/>
          </w:tcPr>
          <w:p w14:paraId="3B322A01">
            <w:pPr>
              <w:pStyle w:val="179"/>
              <w:rPr>
                <w:sz w:val="22"/>
                <w:szCs w:val="28"/>
              </w:rPr>
            </w:pPr>
            <w:r>
              <w:rPr>
                <w:kern w:val="0"/>
              </w:rPr>
              <w:t>5479195.21</w:t>
            </w:r>
          </w:p>
        </w:tc>
        <w:tc>
          <w:tcPr>
            <w:tcW w:w="2269" w:type="pct"/>
            <w:noWrap/>
            <w:vAlign w:val="center"/>
          </w:tcPr>
          <w:p w14:paraId="2FDF5133">
            <w:pPr>
              <w:pStyle w:val="179"/>
              <w:rPr>
                <w:sz w:val="22"/>
                <w:szCs w:val="28"/>
              </w:rPr>
            </w:pPr>
            <w:r>
              <w:rPr>
                <w:kern w:val="0"/>
              </w:rPr>
              <w:t>42522163.81</w:t>
            </w:r>
          </w:p>
        </w:tc>
      </w:tr>
      <w:tr w14:paraId="3434B7E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93" w:type="pct"/>
            <w:noWrap/>
            <w:vAlign w:val="center"/>
          </w:tcPr>
          <w:p w14:paraId="142C5BB4">
            <w:pPr>
              <w:pStyle w:val="179"/>
            </w:pPr>
            <w:r>
              <w:rPr>
                <w:rFonts w:hint="eastAsia"/>
              </w:rPr>
              <w:t>5</w:t>
            </w:r>
          </w:p>
        </w:tc>
        <w:tc>
          <w:tcPr>
            <w:tcW w:w="1838" w:type="pct"/>
            <w:noWrap/>
            <w:vAlign w:val="center"/>
          </w:tcPr>
          <w:p w14:paraId="10F5D568">
            <w:pPr>
              <w:pStyle w:val="179"/>
              <w:rPr>
                <w:kern w:val="0"/>
              </w:rPr>
            </w:pPr>
            <w:r>
              <w:rPr>
                <w:kern w:val="0"/>
              </w:rPr>
              <w:t>5479559.49</w:t>
            </w:r>
          </w:p>
        </w:tc>
        <w:tc>
          <w:tcPr>
            <w:tcW w:w="2269" w:type="pct"/>
            <w:noWrap/>
            <w:vAlign w:val="center"/>
          </w:tcPr>
          <w:p w14:paraId="50B761D5">
            <w:pPr>
              <w:pStyle w:val="179"/>
              <w:rPr>
                <w:kern w:val="0"/>
              </w:rPr>
            </w:pPr>
            <w:r>
              <w:rPr>
                <w:kern w:val="0"/>
              </w:rPr>
              <w:t>42521805.70</w:t>
            </w:r>
          </w:p>
        </w:tc>
      </w:tr>
      <w:tr w14:paraId="21A0B15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00" w:type="pct"/>
            <w:gridSpan w:val="3"/>
            <w:noWrap/>
            <w:vAlign w:val="center"/>
          </w:tcPr>
          <w:p w14:paraId="38D4E5C2">
            <w:pPr>
              <w:pStyle w:val="179"/>
            </w:pPr>
            <w:r>
              <w:t>2000国家大地坐标系，开采深度：+523.50m至+420.00m</w:t>
            </w:r>
          </w:p>
        </w:tc>
      </w:tr>
    </w:tbl>
    <w:p w14:paraId="1732C4C0">
      <w:pPr>
        <w:pStyle w:val="5"/>
        <w:spacing w:before="156" w:after="156"/>
      </w:pPr>
      <w:r>
        <w:rPr>
          <w:rFonts w:hint="eastAsia"/>
        </w:rPr>
        <w:t>行政区划</w:t>
      </w:r>
    </w:p>
    <w:p w14:paraId="48933500">
      <w:pPr>
        <w:ind w:firstLine="480"/>
        <w:rPr>
          <w:rFonts w:hAnsi="Times New Roman" w:cs="Times New Roman"/>
        </w:rPr>
      </w:pPr>
      <w:r>
        <w:rPr>
          <w:rFonts w:hAnsi="Times New Roman" w:cs="Times New Roman"/>
        </w:rPr>
        <w:t>矿区位于嫩江市塔溪乡马厂河北东50m处，嫩江镇北东直距87.00km，塔溪乡乡直南5.0km，东距黑河口岸123km。行政区隶属嫩江市塔溪乡管辖。项目所在1</w:t>
      </w:r>
      <w:r>
        <w:rPr>
          <w:rFonts w:cs="Times New Roman"/>
        </w:rPr>
        <w:t>∶</w:t>
      </w:r>
      <w:r>
        <w:rPr>
          <w:rFonts w:hAnsi="Times New Roman" w:cs="Times New Roman"/>
        </w:rPr>
        <w:t>5万地形图分幅为洪水岔子幅（M51E016002），中心点地理坐标（2000国家大地坐标）：东经126°18′20.79″，北纬49°26′55.52″。</w:t>
      </w:r>
    </w:p>
    <w:p w14:paraId="625974EC">
      <w:pPr>
        <w:pStyle w:val="5"/>
        <w:spacing w:before="156" w:after="156"/>
      </w:pPr>
      <w:r>
        <w:t>交通条件</w:t>
      </w:r>
    </w:p>
    <w:p w14:paraId="7758EFA4">
      <w:pPr>
        <w:ind w:firstLine="480"/>
        <w:rPr>
          <w:rFonts w:hAnsi="Times New Roman" w:eastAsia="宋体" w:cs="Times New Roman"/>
          <w:kern w:val="0"/>
        </w:rPr>
      </w:pPr>
      <w:r>
        <w:rPr>
          <w:rFonts w:hAnsi="Times New Roman" w:eastAsia="宋体" w:cs="Times New Roman"/>
          <w:kern w:val="0"/>
        </w:rPr>
        <w:t>矿区</w:t>
      </w:r>
      <w:r>
        <w:rPr>
          <w:kern w:val="0"/>
        </w:rPr>
        <w:t>附近铁路有齐加铁路（齐齐哈尔至加格达奇）嫩江站，主要公路</w:t>
      </w:r>
      <w:r>
        <w:t>有国道G</w:t>
      </w:r>
      <w:r>
        <w:rPr>
          <w:kern w:val="0"/>
        </w:rPr>
        <w:t>231（嫩双公路）、</w:t>
      </w:r>
      <w:r>
        <w:t>G332（</w:t>
      </w:r>
      <w:r>
        <w:rPr>
          <w:kern w:val="0"/>
        </w:rPr>
        <w:t>萝额公路），省道S211（黑双公路）、S301（嫩黑</w:t>
      </w:r>
      <w:r>
        <w:t>公路）、S208（嫩呼公路），核实区有村村通公路与外界相连，交通便利。见交通位置图（图</w:t>
      </w:r>
      <w:r>
        <w:rPr>
          <w:rFonts w:hint="eastAsia"/>
        </w:rPr>
        <w:t>1）</w:t>
      </w:r>
      <w:r>
        <w:rPr>
          <w:rFonts w:hAnsi="Times New Roman" w:eastAsia="宋体" w:cs="Times New Roman"/>
          <w:kern w:val="0"/>
        </w:rPr>
        <w:t>。</w:t>
      </w:r>
    </w:p>
    <w:p w14:paraId="2641677C">
      <w:pPr>
        <w:pStyle w:val="179"/>
        <w:rPr>
          <w:rFonts w:ascii="宋体" w:hAnsi="宋体"/>
        </w:rPr>
      </w:pPr>
      <w:r>
        <w:drawing>
          <wp:inline distT="0" distB="0" distL="0" distR="0">
            <wp:extent cx="4390390" cy="7019925"/>
            <wp:effectExtent l="19050" t="0" r="0" b="0"/>
            <wp:docPr id="18" name="图片 54" descr="H:/@2025年水资源论证档案/◆◆◆◆◆◆◆孙侃文件夹/采石场储量核实/@马场河采石场储量核实报告及附图/交通位置图.jpg交通位置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4" descr="H:/@2025年水资源论证档案/◆◆◆◆◆◆◆孙侃文件夹/采石场储量核实/@马场河采石场储量核实报告及附图/交通位置图.jpg交通位置图"/>
                    <pic:cNvPicPr>
                      <a:picLocks noChangeAspect="1" noChangeArrowheads="1"/>
                    </pic:cNvPicPr>
                  </pic:nvPicPr>
                  <pic:blipFill>
                    <a:blip r:embed="rId45" cstate="print"/>
                    <a:srcRect l="1488" r="1488"/>
                    <a:stretch>
                      <a:fillRect/>
                    </a:stretch>
                  </pic:blipFill>
                  <pic:spPr>
                    <a:xfrm>
                      <a:off x="0" y="0"/>
                      <a:ext cx="4390919" cy="7020000"/>
                    </a:xfrm>
                    <a:prstGeom prst="rect">
                      <a:avLst/>
                    </a:prstGeom>
                    <a:noFill/>
                    <a:ln w="9525" cmpd="sng">
                      <a:noFill/>
                      <a:miter lim="800000"/>
                      <a:headEnd/>
                      <a:tailEnd/>
                    </a:ln>
                    <a:effectLst/>
                  </pic:spPr>
                </pic:pic>
              </a:graphicData>
            </a:graphic>
          </wp:inline>
        </w:drawing>
      </w:r>
    </w:p>
    <w:p w14:paraId="2EE027A5">
      <w:pPr>
        <w:pStyle w:val="178"/>
      </w:pPr>
      <w:r>
        <w:rPr>
          <w:rFonts w:hint="eastAsia"/>
        </w:rPr>
        <w:t>图3.2-1  交通位置图</w:t>
      </w:r>
    </w:p>
    <w:p w14:paraId="1015A1EA">
      <w:pPr>
        <w:pStyle w:val="4"/>
        <w:spacing w:before="234" w:after="156"/>
      </w:pPr>
      <w:r>
        <w:rPr>
          <w:bCs/>
        </w:rPr>
        <w:t>矿区地质</w:t>
      </w:r>
    </w:p>
    <w:p w14:paraId="72BB0F0F">
      <w:pPr>
        <w:pStyle w:val="5"/>
        <w:spacing w:before="156" w:after="156"/>
      </w:pPr>
      <w:r>
        <w:rPr>
          <w:rFonts w:ascii="Times New Roman" w:hAnsi="Times New Roman"/>
          <w:sz w:val="30"/>
          <w:szCs w:val="30"/>
        </w:rPr>
        <w:t>区域地质</w:t>
      </w:r>
      <w:r>
        <w:rPr>
          <w:rFonts w:hint="eastAsia" w:ascii="Times New Roman" w:hAnsi="Times New Roman"/>
          <w:sz w:val="30"/>
          <w:szCs w:val="30"/>
        </w:rPr>
        <w:t>背景</w:t>
      </w:r>
    </w:p>
    <w:p w14:paraId="483A769B">
      <w:pPr>
        <w:ind w:firstLine="480"/>
      </w:pPr>
      <w:r>
        <w:t>根据《黑龙江省区域地质志》（2018版），核实区大地构造位置位于兴蒙造山带东端的贺根山—嫩江—黑河构造带内。</w:t>
      </w:r>
    </w:p>
    <w:p w14:paraId="5CB5EFBE">
      <w:pPr>
        <w:pStyle w:val="5"/>
        <w:spacing w:before="156" w:after="156"/>
      </w:pPr>
      <w:r>
        <w:t>区域地层</w:t>
      </w:r>
    </w:p>
    <w:p w14:paraId="7635F142">
      <w:pPr>
        <w:ind w:firstLine="480"/>
      </w:pPr>
      <w:r>
        <w:t>（1）前奥陶系新开岭群：自下而上分为风水沟组、北师河组和柏根里沟组。</w:t>
      </w:r>
      <w:r>
        <w:rPr>
          <w:rFonts w:hint="eastAsia" w:ascii="MS Mincho" w:hAnsi="MS Mincho" w:eastAsia="MS Mincho" w:cs="MS Mincho"/>
        </w:rPr>
        <w:t>‌</w:t>
      </w:r>
      <w:r>
        <w:t>出露于核实区东侧中部。岩性为一套受区域变质和混合岩化作用形成的片岩、 片麻岩、变粒岩、变质酸性火山岩和各种混合岩。</w:t>
      </w:r>
    </w:p>
    <w:p w14:paraId="0D204540">
      <w:pPr>
        <w:ind w:firstLine="480"/>
      </w:pPr>
      <w:r>
        <w:t>（2）石炭系库伊河群：黑被子组，出露于黑被子山及其附近。呈北东向分布。主要由各种变粒岩夹片岩组成，局部夹 变质中、酸性火山岩。与下伏前奥陶系为角度不整合接触。</w:t>
      </w:r>
    </w:p>
    <w:p w14:paraId="3E945F4E">
      <w:pPr>
        <w:ind w:firstLine="480"/>
      </w:pPr>
      <w:r>
        <w:t>（3）二迭系：由下而上划分为下二迭统核桃山组、塔溪组；上二迭统蔺家屯组和白山组。出露于核实区东北部和东南部，面积较大。呈北东向分布。为一套浅海相一淡水泻湖相一火山相沉积建造。</w:t>
      </w:r>
    </w:p>
    <w:p w14:paraId="7E8781D8">
      <w:pPr>
        <w:ind w:firstLine="480"/>
      </w:pPr>
      <w:r>
        <w:t>（4）侏罗系：侏罗系下统绣峰组，以玄武-安山质砾岩为主，夹凝灰质砂岩及火山碎屑岩，局部发育黄铁矿化点，全铁与硫含量达工业品位。</w:t>
      </w:r>
    </w:p>
    <w:p w14:paraId="2314AB5A">
      <w:pPr>
        <w:ind w:firstLine="480"/>
      </w:pPr>
      <w:r>
        <w:t>侏罗系上统鸡西群，岩性组合以凝灰岩、凝灰质砂岩与煤层互层为特征，鸡西群自下而上分为三个主要组段，滴道组以凝灰质砂页岩、火山碎屑岩（如安山岩）为主，夹薄煤层，局部含火山岩夹层；城子河组以砾岩、灰白色粗粒长石砂岩及煤层为主，夹凝灰岩和海相层，是鸡西群含煤性最佳的层段；穆棱组以凝灰质砂页岩、泥岩为主，夹安山质集块岩及膨润土层，含煤性次于城子河组。侏罗系上统塔溪组，典型露头见于塔溪乡北部，为灰黑色薄层泥质粉砂岩、细砂岩夹炭质板岩及含矿大理岩，含晚古生代腕足类化石，属海相碎屑岩建造。</w:t>
      </w:r>
    </w:p>
    <w:p w14:paraId="0F7E3614">
      <w:pPr>
        <w:ind w:firstLine="480"/>
      </w:pPr>
      <w:r>
        <w:t>（5）白垩系：龙江组，岩性为浅灰、灰黑色安山质玄武岩或安山岩，与下伏白山组为角度不整合；九峰山组，零星出露在沐河两侧，构成北北东向复向斜，岩性为灰白色、浅黄色、黑灰色、灰绿色泥岩、泥质粉砂岩、中粗砂岩、砂砾岩等，夹层凝灰岩和安山岩、安山质玄武岩薄层。在泥质粉砂岩、砂砾岩中夹煤线。与龙江组为平行不整合接触；甘河组，出露于西山后屯、西荒东部和沐河屯北部，呈北北东向分布，岩性为中基性火山岩及其碎屑岩，与九峰山组为平行不整合接触；嫩江组，出露面积较小，地表出露的岩石为泥质页岩，含较多的叶肢介、介形虫化石，与甘河组呈角度不整合接触，缺失上部岩段，下部岩段主要为灰绿色砂质泥岩、粉细砂岩、含砾泥岩、泥砾岩等。</w:t>
      </w:r>
    </w:p>
    <w:p w14:paraId="5FB69EDA">
      <w:pPr>
        <w:ind w:firstLine="480"/>
      </w:pPr>
      <w:bookmarkStart w:id="113" w:name="_Toc10709"/>
      <w:r>
        <w:t>（6）新生界：古近系依安组，地表未见出露，岩性为灰黄色、棕红</w:t>
      </w:r>
      <w:bookmarkEnd w:id="113"/>
      <w:bookmarkStart w:id="114" w:name="_Toc2732"/>
      <w:r>
        <w:t>色、深灰色泥岩、泥质粉砂岩、粉砂质泥岩等。泥质弱胶结。含铁锰质结核。铁染严重，呈斑点状或条带状，具水平薄层理，与下伏嫩江组呈角度不整合接触；新近系孙吴组，零星出露，河湖相堆积，岩性为灰白色、灰黄色、黄褐色粉细砂岩、砂砾岩、砂质泥岩、泥质砂岩等，层理发育，与依安组为角度不整合接触。</w:t>
      </w:r>
      <w:bookmarkEnd w:id="114"/>
    </w:p>
    <w:p w14:paraId="2A1C16C0">
      <w:pPr>
        <w:ind w:firstLine="480"/>
      </w:pPr>
      <w:r>
        <w:t>（</w:t>
      </w:r>
      <w:r>
        <w:rPr>
          <w:rFonts w:hint="eastAsia"/>
        </w:rPr>
        <w:t>7</w:t>
      </w:r>
      <w:r>
        <w:t>）第四系全新统现代河流冲积层：第四系冲积-洪积物广泛分布南部河谷阶地，以砂砾层、粉砂质粘土为主，厚度10—30m，局部发育沼泽相泥炭层，受嫩江河道摆动及冰川搬运作用影响显著。</w:t>
      </w:r>
    </w:p>
    <w:p w14:paraId="13957B1F">
      <w:pPr>
        <w:pStyle w:val="5"/>
        <w:spacing w:before="156" w:after="156"/>
      </w:pPr>
      <w:r>
        <w:t>区域构造</w:t>
      </w:r>
    </w:p>
    <w:p w14:paraId="3D6D55BE">
      <w:pPr>
        <w:ind w:firstLine="480"/>
      </w:pPr>
      <w:r>
        <w:t>以中生代北东向与近东西向断裂系统为主导，控制着中侏罗世中酸性侵入岩体（石英二长岩、石英闪长岩等）的分布及火山-沉积地层的分异。该区构造演化受古太平洋板块俯冲作用影响，形成活动陆缘背景下的岩浆-构造事件。</w:t>
      </w:r>
    </w:p>
    <w:p w14:paraId="54C3CF66">
      <w:pPr>
        <w:pStyle w:val="5"/>
        <w:spacing w:before="156" w:after="156"/>
      </w:pPr>
      <w:r>
        <w:rPr>
          <w:rFonts w:hint="eastAsia"/>
        </w:rPr>
        <w:t>区域</w:t>
      </w:r>
      <w:r>
        <w:t>水文地质</w:t>
      </w:r>
    </w:p>
    <w:p w14:paraId="79070DCB">
      <w:pPr>
        <w:ind w:firstLine="482"/>
        <w:rPr>
          <w:b/>
        </w:rPr>
      </w:pPr>
      <w:r>
        <w:rPr>
          <w:rFonts w:hint="eastAsia"/>
          <w:b/>
        </w:rPr>
        <w:t>1、含水层特征</w:t>
      </w:r>
    </w:p>
    <w:p w14:paraId="292FA753">
      <w:pPr>
        <w:ind w:firstLine="480"/>
      </w:pPr>
      <w:r>
        <w:t>（1）松散岩类孔隙潜水</w:t>
      </w:r>
    </w:p>
    <w:p w14:paraId="354ECDB0">
      <w:pPr>
        <w:ind w:firstLine="480"/>
      </w:pPr>
      <w:r>
        <w:t>①嫩江河谷孔隙潜水：嫩江河谷一般较狭窄，蛇曲发育，以河漫滩为主，一级阶地及二级阶地仅零星分布。含水层岩性、厚度变化较大，岩层颗粒一般上部细下部粗，富水性不均一。在横向上河谷中部含水层较厚，两侧薄，一般厚度2—4m。河漫滩一般水量中等，单井涌水量100—1000m</w:t>
      </w:r>
      <w:r>
        <w:rPr>
          <w:vertAlign w:val="superscript"/>
        </w:rPr>
        <w:t>3</w:t>
      </w:r>
      <w:r>
        <w:t>/d。河漫滩局部地段及一级阶地、二级基座阶地含水层较薄，厚度一般0.50—2.00m，地下水贫乏或极贫乏。水位埋深一般1—4m。</w:t>
      </w:r>
    </w:p>
    <w:p w14:paraId="41EB1877">
      <w:pPr>
        <w:ind w:firstLine="480"/>
      </w:pPr>
      <w:r>
        <w:t>②嫩江支河谷孔隙潜水：嫩江支河谷孔隙潜水水量一般主谷大于支谷，支谷大于支沟。对比嫩江河谷含水层特征可知，嫩江河谷蛇曲发育，含水层较薄，富水性差，单井涌水量一般100-500m</w:t>
      </w:r>
      <w:r>
        <w:rPr>
          <w:vertAlign w:val="superscript"/>
        </w:rPr>
        <w:t>3</w:t>
      </w:r>
      <w:r>
        <w:t>/d，仅部分地段可达500-1000m</w:t>
      </w:r>
      <w:r>
        <w:rPr>
          <w:vertAlign w:val="superscript"/>
        </w:rPr>
        <w:t>3</w:t>
      </w:r>
      <w:r>
        <w:t>/d。</w:t>
      </w:r>
    </w:p>
    <w:p w14:paraId="78EA9754">
      <w:pPr>
        <w:ind w:firstLine="480"/>
      </w:pPr>
      <w:r>
        <w:t>（2）基岩裂隙水</w:t>
      </w:r>
    </w:p>
    <w:p w14:paraId="0740E8DD">
      <w:pPr>
        <w:ind w:firstLine="480"/>
      </w:pPr>
      <w:r>
        <w:t>基岩裂隙水按其裂隙成因及分布特点分为风化带网状裂隙水、孔洞裂隙水及构造裂隙水三个亚类。其中构造裂隙水又分为层状构造裂隙水、带状构造裂隙水及脉状构造裂隙水。各类裂隙水的富水性阐述如下：</w:t>
      </w:r>
    </w:p>
    <w:p w14:paraId="7967B80D">
      <w:pPr>
        <w:ind w:firstLine="480"/>
      </w:pPr>
      <w:r>
        <w:t>① 风化带网状裂隙水：该类地下水，赋存于广泛分布的不同时代岩浆岩，变质岩及火山岩、火山碎屑岩等风化裂隙中。基岩风化带网状裂隙水富水性，依据地下径流模数分为3-6、1-3、＜1L/s·km</w:t>
      </w:r>
      <w:r>
        <w:rPr>
          <w:vertAlign w:val="superscript"/>
        </w:rPr>
        <w:t>2</w:t>
      </w:r>
      <w:r>
        <w:t>。</w:t>
      </w:r>
    </w:p>
    <w:p w14:paraId="16B1317E">
      <w:pPr>
        <w:ind w:firstLine="480"/>
      </w:pPr>
      <w:r>
        <w:t>地下径流模数3-6 L/s·km</w:t>
      </w:r>
      <w:r>
        <w:rPr>
          <w:vertAlign w:val="superscript"/>
        </w:rPr>
        <w:t>2</w:t>
      </w:r>
      <w:r>
        <w:t>裂隙含水带，主要分布于中景山－多宝山、新开岭及松木山等地一带。组成岩性，主要为</w:t>
      </w:r>
      <w:r>
        <w:rPr>
          <w:kern w:val="0"/>
        </w:rPr>
        <w:t>华力西期早期</w:t>
      </w:r>
      <w:r>
        <w:t>，玄武岩、凝灰熔岩、流纹岩等。其中凝灰岩、凝灰岩风化带厚度8—32m，板岩风化带厚度15m。地下水径流模数3.10—5.69L/s·km</w:t>
      </w:r>
      <w:r>
        <w:rPr>
          <w:vertAlign w:val="superscript"/>
        </w:rPr>
        <w:t>2</w:t>
      </w:r>
      <w:r>
        <w:t>。泉水流量一般0.61—1.40L/s，最大2.66L/s。</w:t>
      </w:r>
    </w:p>
    <w:p w14:paraId="17D74009">
      <w:pPr>
        <w:ind w:firstLine="480"/>
      </w:pPr>
      <w:r>
        <w:t>地下径流模数1—3L/s·km</w:t>
      </w:r>
      <w:r>
        <w:rPr>
          <w:vertAlign w:val="superscript"/>
        </w:rPr>
        <w:t>2</w:t>
      </w:r>
      <w:r>
        <w:t>裂隙含水带，主要分布于芙蓉山－储雪山、九水山－伏虎山及水文站等地一带。组成岩性主要为欧肯河组流纹岩，甘河组玄武岩、安山玄武岩、华力西期中粗粒凝灰岩，石炭、二叠系板岩。其中凝灰岩风化带厚度25—28m，安山玄武岩风化带厚度33m。地下径流模数1.01—2.99L/s·km</w:t>
      </w:r>
      <w:r>
        <w:rPr>
          <w:vertAlign w:val="superscript"/>
        </w:rPr>
        <w:t>2</w:t>
      </w:r>
      <w:r>
        <w:t>。泉水流量一般0.22—0.45L/s，最大1.14L/s。</w:t>
      </w:r>
    </w:p>
    <w:p w14:paraId="68B9439C">
      <w:pPr>
        <w:ind w:firstLine="480"/>
      </w:pPr>
      <w:r>
        <w:t>地下径流模数小于1 L/s·km</w:t>
      </w:r>
      <w:r>
        <w:rPr>
          <w:vertAlign w:val="superscript"/>
        </w:rPr>
        <w:t>2</w:t>
      </w:r>
      <w:r>
        <w:t xml:space="preserve"> 裂隙含水带，主要分布于天深山－高山、关鸟河及反修公社等地一带。组成岩性主要为龙江组凝灰岩、凝灰熔岩、凝灰角砾岩，加里东期片麻状凝灰岩，泥盆系板岩等。据物探资料，凝灰熔岩风化带厚度28m，凝灰角砾岩厚43m。地下径流模数一般0.14-0.89 L/s·km</w:t>
      </w:r>
      <w:r>
        <w:rPr>
          <w:vertAlign w:val="superscript"/>
        </w:rPr>
        <w:t>2</w:t>
      </w:r>
      <w:r>
        <w:t>。泉水流量一般0.14—0.32L/s，最大0.94L/s。</w:t>
      </w:r>
    </w:p>
    <w:p w14:paraId="7963C457">
      <w:pPr>
        <w:ind w:firstLine="480"/>
      </w:pPr>
      <w:r>
        <w:t>② 孔洞裂隙水：该类型地下水分布于第四系上更新统玄武岩（</w:t>
      </w:r>
      <w:r>
        <w:rPr>
          <w:i/>
        </w:rPr>
        <w:t>βQp</w:t>
      </w:r>
      <w:r>
        <w:rPr>
          <w:vertAlign w:val="superscript"/>
        </w:rPr>
        <w:t>3</w:t>
      </w:r>
      <w:r>
        <w:t>）熔岩台地。以燎原农场－北师河公社一带熔岩台地分布最广，玄武岩层一般厚30—50m，局部地段大于50m，孔洞裂隙一般较发育，含较丰富的孔洞裂隙水。由于玄武岩孔洞裂隙发育具有一定的不均一性，以及玄武岩层厚度的变化，熔岩台地富水性变化较大，甚至不含水。如位于熔岩台地北部的燎原农场场部，玄武岩层厚31.40m，19.38m以上气孔发育，其下孔洞裂隙不发育，地下水水位埋深21.30m，水量贫乏，抽降水位6.17m时，钻孔涌水量仅22.46m</w:t>
      </w:r>
      <w:r>
        <w:rPr>
          <w:vertAlign w:val="superscript"/>
        </w:rPr>
        <w:t>3</w:t>
      </w:r>
      <w:r>
        <w:t>/d。</w:t>
      </w:r>
    </w:p>
    <w:p w14:paraId="738D5432">
      <w:pPr>
        <w:ind w:firstLine="480"/>
      </w:pPr>
      <w:r>
        <w:t>③构造裂隙水</w:t>
      </w:r>
    </w:p>
    <w:p w14:paraId="06A7CB2B">
      <w:pPr>
        <w:ind w:firstLine="480"/>
      </w:pPr>
      <w:r>
        <w:t>1）带状构造裂隙水：呈带状分布于区内走向北西或北北西张性及张扭性断裂带中。老道店带状构造裂隙水，位于张扭性断裂带与压性构造带复合部位。张扭性断裂带走向北西，倾向南75°西，影响深度120m。含水岩段深度49—70m，静止水位7.08m，抽水降深22.60m，钻孔涌水量为141.50m</w:t>
      </w:r>
      <w:r>
        <w:rPr>
          <w:vertAlign w:val="superscript"/>
        </w:rPr>
        <w:t>3</w:t>
      </w:r>
      <w:r>
        <w:t>/d。</w:t>
      </w:r>
    </w:p>
    <w:p w14:paraId="620C3587">
      <w:pPr>
        <w:ind w:firstLine="480"/>
      </w:pPr>
      <w:r>
        <w:t>2）脉状构造裂隙水：各构造体系的张性或张扭性断裂，在储水条件适宜地段一般可构成基岩脉状构造裂隙水。在脉状构造裂隙水分布地段，地下水具有溢出条件特点，多形成泉水或地下水溢出带。泉流量0.45—1.83L/s。</w:t>
      </w:r>
    </w:p>
    <w:p w14:paraId="254CA962">
      <w:pPr>
        <w:ind w:firstLine="482"/>
        <w:rPr>
          <w:b/>
        </w:rPr>
      </w:pPr>
      <w:r>
        <w:rPr>
          <w:rFonts w:hint="eastAsia"/>
          <w:b/>
        </w:rPr>
        <w:t>2、</w:t>
      </w:r>
      <w:r>
        <w:rPr>
          <w:b/>
        </w:rPr>
        <w:t>地下水的补给、径流及排泄条件</w:t>
      </w:r>
    </w:p>
    <w:p w14:paraId="47316625">
      <w:pPr>
        <w:ind w:firstLine="480"/>
      </w:pPr>
      <w:r>
        <w:t xml:space="preserve">（1）松散岩类孔隙潜水的补给、径流及排泄条件：河谷孔隙潜水均可直接接受大气降水的渗入补给。也可接受基岩裂隙水的侧向补给。此外，河谷地下水除上述补给因素外，在近河床地带尚可受到河水的补给。  </w:t>
      </w:r>
    </w:p>
    <w:p w14:paraId="6E9FD8B6">
      <w:pPr>
        <w:ind w:firstLine="480"/>
      </w:pPr>
      <w:r>
        <w:t>区内均为山区河谷，坡降一般较大，河床下切较深，地下水循环交替作用较强，河谷区松散岩类孔隙潜水主要以地下水径流方式排泄于河水。区内河流对地下水主要起排泄作用，仅在洪水期河水对近河床的某些地段有一定的暂时补给作用。受地质构造等因素的影响，使区内河谷宽度变化较大，峡谷地段较多，因此，在河谷某些地段，地下水与地表水常产生一定的相互转化作用。</w:t>
      </w:r>
    </w:p>
    <w:p w14:paraId="558DF289">
      <w:pPr>
        <w:ind w:firstLine="480"/>
      </w:pPr>
      <w:r>
        <w:t>（2）基岩裂隙水的补给、径流及排泄条件：区内丘陵山区较普遍的发育基岩风化带网状裂隙水，其上一般仅覆有薄层残坡积物，部分地段基岩直接出露地表，因此可较直接的接受大气降水的渗透补给。层状构造裂隙水，一般与基岩风化带网状裂隙水有着密切的水力联系，以接受风化带网状裂隙水补给为主。局部地段层状构造裂隙含水岩层出露地表，可直接接受降水的渗入补给。</w:t>
      </w:r>
    </w:p>
    <w:p w14:paraId="7CB64B18">
      <w:pPr>
        <w:ind w:firstLine="480"/>
      </w:pPr>
      <w:r>
        <w:t>脉状构造裂隙水，埋藏于山区和部分河谷下部的断裂带中，以接受风化带网状裂隙水及河谷孔隙潜水渗透补给为主，降水渗入补给表现不显著。区内丘陵山区，沟谷比较发育，切割深度一般较大，基岩风化带网状裂隙水多处于地下水积聚交替带，因此，促成地下水多以较短的地下径流排泄于附近沟谷中转化成地表水。构造裂隙水，一般表现补给源较远，径流途径较长，多以地下径流方式补给河谷中地下水或对向斜盆地深层地下水进行补给。基岩裂隙水，还可通过泉水或地下水溢出带等方式进行排泄。</w:t>
      </w:r>
    </w:p>
    <w:p w14:paraId="2AC834B1">
      <w:pPr>
        <w:ind w:firstLine="480"/>
      </w:pPr>
      <w:r>
        <w:t>此外，区内植被比较发育，其蒸腾作用也是排泄地下水的一个重要方面。</w:t>
      </w:r>
    </w:p>
    <w:p w14:paraId="0D45F1D9">
      <w:pPr>
        <w:pStyle w:val="5"/>
        <w:spacing w:before="156" w:after="156"/>
      </w:pPr>
      <w:r>
        <w:rPr>
          <w:rFonts w:hint="eastAsia"/>
        </w:rPr>
        <w:t>矿体特征</w:t>
      </w:r>
    </w:p>
    <w:p w14:paraId="68849CEF">
      <w:pPr>
        <w:ind w:firstLine="480"/>
      </w:pPr>
      <w:r>
        <w:t>核实区内圈定1条建筑用凝灰岩矿体，以独立山丘状出露于地表，</w:t>
      </w:r>
      <w:r>
        <w:rPr>
          <w:rFonts w:hint="eastAsia"/>
        </w:rPr>
        <w:t>核实区内</w:t>
      </w:r>
      <w:r>
        <w:t>面积</w:t>
      </w:r>
      <w:r>
        <w:rPr>
          <w:rFonts w:hint="eastAsia"/>
        </w:rPr>
        <w:t>0.1101</w:t>
      </w:r>
      <w:r>
        <w:t>km</w:t>
      </w:r>
      <w:r>
        <w:rPr>
          <w:vertAlign w:val="superscript"/>
        </w:rPr>
        <w:t>2</w:t>
      </w:r>
      <w:r>
        <w:t>，控制标高</w:t>
      </w:r>
      <w:r>
        <w:rPr>
          <w:rFonts w:hint="eastAsia"/>
        </w:rPr>
        <w:t>+</w:t>
      </w:r>
      <w:r>
        <w:t>5</w:t>
      </w:r>
      <w:r>
        <w:rPr>
          <w:rFonts w:hint="eastAsia"/>
        </w:rPr>
        <w:t>23.50</w:t>
      </w:r>
      <w:r>
        <w:t>m至</w:t>
      </w:r>
      <w:r>
        <w:rPr>
          <w:rFonts w:hint="eastAsia"/>
        </w:rPr>
        <w:t>+</w:t>
      </w:r>
      <w:r>
        <w:t>4</w:t>
      </w:r>
      <w:r>
        <w:rPr>
          <w:rFonts w:hint="eastAsia"/>
        </w:rPr>
        <w:t>20</w:t>
      </w:r>
      <w:r>
        <w:t>.00m，矿体形态规则，矿体走向呈北东—南西向展布，拟出让矿区内矿体形状为较规则的长方形，似层状产出，矿体倾向、倾角受地形坡度控制明显，矿体倾向南东，倾角45°，矿体厚度连续稳定，矿体岩性单一，无明显分异，矿物成分稳定，结构均匀。无夹石，构造不发育。依据钻孔资料统计，强风化层厚度平均8.5m；中等风化层厚度13-15</w:t>
      </w:r>
      <w:r>
        <w:rPr>
          <w:rFonts w:hint="eastAsia"/>
        </w:rPr>
        <w:t>m</w:t>
      </w:r>
      <w:r>
        <w:t>，下部岩石相对完整、坚硬，凝灰岩锤击回声清脆，有轻微震手感，锤击不易破碎。地表被第四系腐植土层覆盖，矿体底板围岩均为凝灰岩。</w:t>
      </w:r>
    </w:p>
    <w:p w14:paraId="20643868">
      <w:pPr>
        <w:ind w:firstLine="480"/>
      </w:pPr>
      <w:r>
        <w:t>（1）凝灰岩：为溢流相，呈似层状产出，凝灰岩风化面为黄色，新鲜面呈灰色—灰</w:t>
      </w:r>
      <w:r>
        <w:rPr>
          <w:rFonts w:hint="eastAsia" w:ascii="宋体" w:hAnsi="宋体" w:eastAsia="宋体"/>
        </w:rPr>
        <w:t>禢</w:t>
      </w:r>
      <w:r>
        <w:rPr>
          <w:rFonts w:hint="eastAsia" w:ascii="仿宋_GB2312" w:cs="仿宋_GB2312"/>
        </w:rPr>
        <w:t>色，熔结凝灰结构，假流动构造，岩石由晶屑、岩屑和塑性玻屑组成。</w:t>
      </w:r>
      <w:r>
        <w:t>晶屑由石英、条纹长石和斜长石组成，石英含量为20%±，斜长石含量为15%±，条纹长石含量为5%±；岩屑呈次棱状、次圆状，成分为流纹岩和英安岩，含量为15%±；塑性玻屑呈蚯蚓状、细条纹状，含量为45%±。属于坚硬岩石。</w:t>
      </w:r>
    </w:p>
    <w:p w14:paraId="61605A68">
      <w:pPr>
        <w:ind w:firstLine="480"/>
      </w:pPr>
      <w:r>
        <w:t>（2）第四系腐殖土层：通过对核实区内钻孔岩心观察，核实区腐殖土平均覆盖厚度在0.</w:t>
      </w:r>
      <w:r>
        <w:rPr>
          <w:rFonts w:hint="eastAsia"/>
        </w:rPr>
        <w:t>50</w:t>
      </w:r>
      <w:r>
        <w:t>m。</w:t>
      </w:r>
    </w:p>
    <w:p w14:paraId="3AA06A14">
      <w:pPr>
        <w:pStyle w:val="4"/>
        <w:spacing w:before="234" w:after="156"/>
      </w:pPr>
      <w:r>
        <w:rPr>
          <w:rFonts w:hint="eastAsia"/>
        </w:rPr>
        <w:t>矿石特征</w:t>
      </w:r>
    </w:p>
    <w:p w14:paraId="00625679">
      <w:pPr>
        <w:pStyle w:val="5"/>
        <w:spacing w:before="156" w:after="156"/>
      </w:pPr>
      <w:r>
        <w:rPr>
          <w:rFonts w:hint="eastAsia"/>
        </w:rPr>
        <w:t>矿石类型和品级</w:t>
      </w:r>
    </w:p>
    <w:p w14:paraId="54D560B1">
      <w:pPr>
        <w:ind w:firstLine="480"/>
      </w:pPr>
      <w:r>
        <w:rPr>
          <w:rFonts w:hint="eastAsia"/>
        </w:rPr>
        <w:t>根据《黑龙江省嫩江市塔溪乡马厂河采石场建筑用凝灰岩矿资源量核实报告》</w:t>
      </w:r>
      <w:r>
        <w:t>矿石自然类型：依据钻孔资料统计，矿体强风化带厚度平均8.5m，小于10m，故矿石自然类型为原生矿石。</w:t>
      </w:r>
    </w:p>
    <w:p w14:paraId="641C591F">
      <w:pPr>
        <w:ind w:firstLine="480"/>
      </w:pPr>
      <w:r>
        <w:t>矿石工业类型：依据岩石标本观察及测试鉴定结果，核实区内凝灰岩满足《矿产地质勘查规范建筑用石料类》（DZ/T0341-2020）中普通建筑用凝灰岩石料质量要求，故矿石工业类型为建筑用凝灰岩矿石（见表</w:t>
      </w:r>
      <w:r>
        <w:rPr>
          <w:rFonts w:hint="eastAsia"/>
        </w:rPr>
        <w:t>3.2</w:t>
      </w:r>
      <w:r>
        <w:t>-</w:t>
      </w:r>
      <w:r>
        <w:rPr>
          <w:rFonts w:hint="eastAsia"/>
        </w:rPr>
        <w:t>2</w:t>
      </w:r>
      <w:r>
        <w:t>）。</w:t>
      </w:r>
    </w:p>
    <w:p w14:paraId="04F46005">
      <w:pPr>
        <w:pStyle w:val="178"/>
        <w:rPr>
          <w:kern w:val="0"/>
        </w:rPr>
      </w:pPr>
      <w:r>
        <w:t>表</w:t>
      </w:r>
      <w:r>
        <w:rPr>
          <w:rFonts w:hint="eastAsia"/>
        </w:rPr>
        <w:t>3.2</w:t>
      </w:r>
      <w:r>
        <w:t>-</w:t>
      </w:r>
      <w:r>
        <w:rPr>
          <w:rFonts w:hint="eastAsia"/>
        </w:rPr>
        <w:t>2</w:t>
      </w:r>
      <w:r>
        <w:rPr>
          <w:kern w:val="0"/>
        </w:rPr>
        <w:t>矿石物理性能测定成果表</w:t>
      </w:r>
    </w:p>
    <w:tbl>
      <w:tblPr>
        <w:tblStyle w:val="36"/>
        <w:tblW w:w="8505"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947"/>
        <w:gridCol w:w="1949"/>
        <w:gridCol w:w="1949"/>
        <w:gridCol w:w="1660"/>
      </w:tblGrid>
      <w:tr w14:paraId="7D4143A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3227" w:type="dxa"/>
            <w:vAlign w:val="center"/>
          </w:tcPr>
          <w:p w14:paraId="2B35324E">
            <w:pPr>
              <w:pStyle w:val="179"/>
              <w:rPr>
                <w:b/>
              </w:rPr>
            </w:pPr>
            <w:r>
              <w:rPr>
                <w:b/>
              </w:rPr>
              <w:t>试验项目</w:t>
            </w:r>
          </w:p>
        </w:tc>
        <w:tc>
          <w:tcPr>
            <w:tcW w:w="6059" w:type="dxa"/>
            <w:gridSpan w:val="3"/>
            <w:vAlign w:val="center"/>
          </w:tcPr>
          <w:p w14:paraId="680A3634">
            <w:pPr>
              <w:pStyle w:val="179"/>
              <w:rPr>
                <w:b/>
              </w:rPr>
            </w:pPr>
            <w:r>
              <w:rPr>
                <w:b/>
              </w:rPr>
              <w:t>指标</w:t>
            </w:r>
          </w:p>
        </w:tc>
      </w:tr>
      <w:tr w14:paraId="0D763A6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227" w:type="dxa"/>
            <w:vMerge w:val="restart"/>
            <w:vAlign w:val="center"/>
          </w:tcPr>
          <w:p w14:paraId="2DD4AB4F">
            <w:pPr>
              <w:pStyle w:val="179"/>
            </w:pPr>
            <w:r>
              <w:t>抗压强度（水饱和）MPa</w:t>
            </w:r>
          </w:p>
        </w:tc>
        <w:tc>
          <w:tcPr>
            <w:tcW w:w="2126" w:type="dxa"/>
            <w:vAlign w:val="center"/>
          </w:tcPr>
          <w:p w14:paraId="659CAA6A">
            <w:pPr>
              <w:pStyle w:val="179"/>
            </w:pPr>
            <w:r>
              <w:t>沉积岩</w:t>
            </w:r>
          </w:p>
        </w:tc>
        <w:tc>
          <w:tcPr>
            <w:tcW w:w="2126" w:type="dxa"/>
            <w:vAlign w:val="center"/>
          </w:tcPr>
          <w:p w14:paraId="34E7440A">
            <w:pPr>
              <w:pStyle w:val="179"/>
            </w:pPr>
            <w:r>
              <w:t>变质岩</w:t>
            </w:r>
          </w:p>
        </w:tc>
        <w:tc>
          <w:tcPr>
            <w:tcW w:w="1807" w:type="dxa"/>
            <w:vAlign w:val="center"/>
          </w:tcPr>
          <w:p w14:paraId="17B66C79">
            <w:pPr>
              <w:pStyle w:val="179"/>
            </w:pPr>
            <w:r>
              <w:t>火成岩</w:t>
            </w:r>
          </w:p>
        </w:tc>
      </w:tr>
      <w:tr w14:paraId="14BAACA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227" w:type="dxa"/>
            <w:vMerge w:val="continue"/>
            <w:vAlign w:val="center"/>
          </w:tcPr>
          <w:p w14:paraId="6D80435B">
            <w:pPr>
              <w:pStyle w:val="179"/>
            </w:pPr>
          </w:p>
        </w:tc>
        <w:tc>
          <w:tcPr>
            <w:tcW w:w="2126" w:type="dxa"/>
            <w:vAlign w:val="center"/>
          </w:tcPr>
          <w:p w14:paraId="58374665">
            <w:pPr>
              <w:pStyle w:val="179"/>
            </w:pPr>
            <w:r>
              <w:rPr>
                <w:rFonts w:hint="eastAsia"/>
              </w:rPr>
              <w:t>≥30</w:t>
            </w:r>
          </w:p>
        </w:tc>
        <w:tc>
          <w:tcPr>
            <w:tcW w:w="2126" w:type="dxa"/>
            <w:vAlign w:val="center"/>
          </w:tcPr>
          <w:p w14:paraId="3A5A5AC1">
            <w:pPr>
              <w:pStyle w:val="179"/>
            </w:pPr>
            <w:r>
              <w:rPr>
                <w:rFonts w:hint="eastAsia"/>
              </w:rPr>
              <w:t>≥60</w:t>
            </w:r>
          </w:p>
        </w:tc>
        <w:tc>
          <w:tcPr>
            <w:tcW w:w="1807" w:type="dxa"/>
            <w:vAlign w:val="center"/>
          </w:tcPr>
          <w:p w14:paraId="6FFDD545">
            <w:pPr>
              <w:pStyle w:val="179"/>
            </w:pPr>
            <w:r>
              <w:rPr>
                <w:rFonts w:hint="eastAsia"/>
              </w:rPr>
              <w:t>≥80</w:t>
            </w:r>
          </w:p>
        </w:tc>
      </w:tr>
      <w:tr w14:paraId="1928BF7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227" w:type="dxa"/>
            <w:vAlign w:val="center"/>
          </w:tcPr>
          <w:p w14:paraId="293F225D">
            <w:pPr>
              <w:pStyle w:val="179"/>
            </w:pPr>
            <w:r>
              <w:t>本区测试结果</w:t>
            </w:r>
          </w:p>
        </w:tc>
        <w:tc>
          <w:tcPr>
            <w:tcW w:w="2126" w:type="dxa"/>
            <w:vAlign w:val="center"/>
          </w:tcPr>
          <w:p w14:paraId="17431D1D">
            <w:pPr>
              <w:pStyle w:val="179"/>
            </w:pPr>
          </w:p>
        </w:tc>
        <w:tc>
          <w:tcPr>
            <w:tcW w:w="2126" w:type="dxa"/>
            <w:vAlign w:val="center"/>
          </w:tcPr>
          <w:p w14:paraId="6D58BC66">
            <w:pPr>
              <w:pStyle w:val="179"/>
            </w:pPr>
          </w:p>
        </w:tc>
        <w:tc>
          <w:tcPr>
            <w:tcW w:w="1807" w:type="dxa"/>
            <w:vAlign w:val="center"/>
          </w:tcPr>
          <w:p w14:paraId="106F81FA">
            <w:pPr>
              <w:pStyle w:val="179"/>
            </w:pPr>
            <w:r>
              <w:rPr>
                <w:rFonts w:hint="eastAsia"/>
              </w:rPr>
              <w:t>101</w:t>
            </w:r>
          </w:p>
        </w:tc>
      </w:tr>
      <w:tr w14:paraId="692969F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227" w:type="dxa"/>
            <w:vMerge w:val="restart"/>
            <w:vAlign w:val="center"/>
          </w:tcPr>
          <w:p w14:paraId="70C4A243">
            <w:pPr>
              <w:pStyle w:val="179"/>
            </w:pPr>
            <w:r>
              <w:t>坚固性（%）</w:t>
            </w:r>
          </w:p>
        </w:tc>
        <w:tc>
          <w:tcPr>
            <w:tcW w:w="2126" w:type="dxa"/>
            <w:vAlign w:val="center"/>
          </w:tcPr>
          <w:p w14:paraId="76F73679">
            <w:pPr>
              <w:pStyle w:val="179"/>
            </w:pPr>
            <w:r>
              <w:fldChar w:fldCharType="begin"/>
            </w:r>
            <w:r>
              <w:instrText xml:space="preserve"> = 1 \* ROMAN </w:instrText>
            </w:r>
            <w:r>
              <w:fldChar w:fldCharType="separate"/>
            </w:r>
            <w:r>
              <w:rPr>
                <w:rFonts w:hint="eastAsia"/>
              </w:rPr>
              <w:t>I</w:t>
            </w:r>
            <w:r>
              <w:fldChar w:fldCharType="end"/>
            </w:r>
            <w:r>
              <w:rPr>
                <w:rFonts w:hint="eastAsia"/>
              </w:rPr>
              <w:t>类</w:t>
            </w:r>
          </w:p>
        </w:tc>
        <w:tc>
          <w:tcPr>
            <w:tcW w:w="2126" w:type="dxa"/>
            <w:vAlign w:val="center"/>
          </w:tcPr>
          <w:p w14:paraId="62F307C5">
            <w:pPr>
              <w:pStyle w:val="179"/>
            </w:pPr>
            <w:r>
              <w:rPr>
                <w:rFonts w:hint="eastAsia"/>
              </w:rPr>
              <w:t>类</w:t>
            </w:r>
          </w:p>
        </w:tc>
        <w:tc>
          <w:tcPr>
            <w:tcW w:w="1807" w:type="dxa"/>
            <w:vAlign w:val="center"/>
          </w:tcPr>
          <w:p w14:paraId="23327162">
            <w:pPr>
              <w:pStyle w:val="179"/>
            </w:pPr>
            <w:r>
              <w:fldChar w:fldCharType="begin"/>
            </w:r>
            <w:r>
              <w:instrText xml:space="preserve"> = 3 \* ROMAN </w:instrText>
            </w:r>
            <w:r>
              <w:fldChar w:fldCharType="separate"/>
            </w:r>
            <w:r>
              <w:rPr>
                <w:rFonts w:hint="eastAsia"/>
              </w:rPr>
              <w:t>Ⅲ</w:t>
            </w:r>
            <w:r>
              <w:fldChar w:fldCharType="end"/>
            </w:r>
            <w:r>
              <w:rPr>
                <w:rFonts w:hint="eastAsia"/>
              </w:rPr>
              <w:t>类</w:t>
            </w:r>
          </w:p>
        </w:tc>
      </w:tr>
      <w:tr w14:paraId="4B41ECA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227" w:type="dxa"/>
            <w:vMerge w:val="continue"/>
            <w:vAlign w:val="center"/>
          </w:tcPr>
          <w:p w14:paraId="25838A58">
            <w:pPr>
              <w:pStyle w:val="179"/>
            </w:pPr>
          </w:p>
        </w:tc>
        <w:tc>
          <w:tcPr>
            <w:tcW w:w="2126" w:type="dxa"/>
            <w:vAlign w:val="center"/>
          </w:tcPr>
          <w:p w14:paraId="0EF992DB">
            <w:pPr>
              <w:pStyle w:val="179"/>
            </w:pPr>
            <w:r>
              <w:rPr>
                <w:rFonts w:hint="eastAsia"/>
              </w:rPr>
              <w:t>≤5</w:t>
            </w:r>
          </w:p>
        </w:tc>
        <w:tc>
          <w:tcPr>
            <w:tcW w:w="2126" w:type="dxa"/>
            <w:vAlign w:val="center"/>
          </w:tcPr>
          <w:p w14:paraId="760E0EA8">
            <w:pPr>
              <w:pStyle w:val="179"/>
            </w:pPr>
            <w:r>
              <w:rPr>
                <w:rFonts w:hint="eastAsia"/>
              </w:rPr>
              <w:t>≤8</w:t>
            </w:r>
          </w:p>
        </w:tc>
        <w:tc>
          <w:tcPr>
            <w:tcW w:w="1807" w:type="dxa"/>
            <w:vAlign w:val="center"/>
          </w:tcPr>
          <w:p w14:paraId="3F89D7F1">
            <w:pPr>
              <w:pStyle w:val="179"/>
            </w:pPr>
            <w:r>
              <w:rPr>
                <w:rFonts w:hint="eastAsia"/>
              </w:rPr>
              <w:t>≤12</w:t>
            </w:r>
          </w:p>
        </w:tc>
      </w:tr>
      <w:tr w14:paraId="592C471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227" w:type="dxa"/>
            <w:vAlign w:val="center"/>
          </w:tcPr>
          <w:p w14:paraId="441C47BD">
            <w:pPr>
              <w:pStyle w:val="179"/>
            </w:pPr>
            <w:r>
              <w:t>本区测试结果</w:t>
            </w:r>
          </w:p>
        </w:tc>
        <w:tc>
          <w:tcPr>
            <w:tcW w:w="2126" w:type="dxa"/>
            <w:vAlign w:val="center"/>
          </w:tcPr>
          <w:p w14:paraId="29073099">
            <w:pPr>
              <w:pStyle w:val="179"/>
            </w:pPr>
          </w:p>
        </w:tc>
        <w:tc>
          <w:tcPr>
            <w:tcW w:w="2126" w:type="dxa"/>
            <w:vAlign w:val="center"/>
          </w:tcPr>
          <w:p w14:paraId="3677956A">
            <w:pPr>
              <w:pStyle w:val="179"/>
            </w:pPr>
          </w:p>
        </w:tc>
        <w:tc>
          <w:tcPr>
            <w:tcW w:w="1807" w:type="dxa"/>
            <w:vAlign w:val="center"/>
          </w:tcPr>
          <w:p w14:paraId="7755E64F">
            <w:pPr>
              <w:pStyle w:val="179"/>
            </w:pPr>
            <w:r>
              <w:rPr>
                <w:rFonts w:hint="eastAsia"/>
              </w:rPr>
              <w:t>11.5%</w:t>
            </w:r>
          </w:p>
        </w:tc>
      </w:tr>
    </w:tbl>
    <w:p w14:paraId="060A854E">
      <w:pPr>
        <w:pStyle w:val="179"/>
        <w:jc w:val="left"/>
        <w:rPr>
          <w:kern w:val="0"/>
          <w:szCs w:val="21"/>
        </w:rPr>
      </w:pPr>
      <w:r>
        <w:rPr>
          <w:kern w:val="0"/>
          <w:szCs w:val="21"/>
        </w:rPr>
        <w:t>注：抗压强度、坚固性检测值为6组岩样的平均值</w:t>
      </w:r>
    </w:p>
    <w:p w14:paraId="1FAA0519">
      <w:pPr>
        <w:pStyle w:val="5"/>
        <w:spacing w:before="156" w:after="156"/>
      </w:pPr>
      <w:r>
        <w:rPr>
          <w:rFonts w:hint="eastAsia"/>
        </w:rPr>
        <w:t>矿物组成与结构构造</w:t>
      </w:r>
    </w:p>
    <w:p w14:paraId="22FCD16A">
      <w:pPr>
        <w:ind w:firstLine="480"/>
      </w:pPr>
      <w:r>
        <w:t>（1）矿物组成：岩石</w:t>
      </w:r>
      <w:r>
        <w:rPr>
          <w:kern w:val="0"/>
        </w:rPr>
        <w:t>由晶屑、岩屑及塑性玻屑组成，岩屑：呈次棱角状、次圆状，岩屑粒径0.6-1.4mm</w:t>
      </w:r>
      <w:r>
        <w:rPr>
          <w:rFonts w:hint="eastAsia"/>
          <w:kern w:val="0"/>
        </w:rPr>
        <w:t>，</w:t>
      </w:r>
      <w:r>
        <w:rPr>
          <w:kern w:val="0"/>
        </w:rPr>
        <w:t>成分为流纹岩和英安岩，含量15%±；晶屑：石英次棱角状、次圆状、熔蚀状，粒径0.08-1.5mm</w:t>
      </w:r>
      <w:r>
        <w:rPr>
          <w:rFonts w:hint="eastAsia"/>
          <w:kern w:val="0"/>
        </w:rPr>
        <w:t>，</w:t>
      </w:r>
      <w:r>
        <w:rPr>
          <w:kern w:val="0"/>
        </w:rPr>
        <w:t>无色，透明，干涉色一级灰，含量20%±；斜长石次棱角状，粒径0.1-0.7mm</w:t>
      </w:r>
      <w:r>
        <w:rPr>
          <w:rFonts w:hint="eastAsia"/>
          <w:kern w:val="0"/>
        </w:rPr>
        <w:t>，</w:t>
      </w:r>
      <w:r>
        <w:rPr>
          <w:kern w:val="0"/>
        </w:rPr>
        <w:t>聚片双晶，绢云母化、土化晶面混浊，含量15%±；条纹长石：次棱角状，粒径0.5-1.2mm</w:t>
      </w:r>
      <w:r>
        <w:rPr>
          <w:rFonts w:hint="eastAsia"/>
          <w:kern w:val="0"/>
        </w:rPr>
        <w:t>，</w:t>
      </w:r>
      <w:r>
        <w:rPr>
          <w:kern w:val="0"/>
        </w:rPr>
        <w:t>土化晶面混浊，含量5%±；塑性玻屑：呈蚯蚓状、细条纹状，拉长，遇碎屑弯曲，含量45%±。</w:t>
      </w:r>
    </w:p>
    <w:p w14:paraId="20A37877">
      <w:pPr>
        <w:ind w:firstLine="480"/>
      </w:pPr>
      <w:r>
        <w:t>（2）结构构造：</w:t>
      </w:r>
      <w:r>
        <w:rPr>
          <w:kern w:val="0"/>
        </w:rPr>
        <w:t>熔结凝灰结构，假流动构造</w:t>
      </w:r>
      <w:r>
        <w:t>。</w:t>
      </w:r>
    </w:p>
    <w:p w14:paraId="30A5D6C9">
      <w:pPr>
        <w:pStyle w:val="5"/>
        <w:spacing w:before="156" w:after="156"/>
        <w:rPr>
          <w:szCs w:val="30"/>
        </w:rPr>
      </w:pPr>
      <w:bookmarkStart w:id="115" w:name="_Toc22863"/>
      <w:r>
        <w:rPr>
          <w:rFonts w:hint="eastAsia"/>
          <w:szCs w:val="30"/>
        </w:rPr>
        <w:t>化学成分（或物化性能）</w:t>
      </w:r>
      <w:bookmarkEnd w:id="115"/>
    </w:p>
    <w:p w14:paraId="78A7E705">
      <w:pPr>
        <w:ind w:firstLine="480"/>
      </w:pPr>
      <w:r>
        <w:t>依据化学分析成果，矿石中二氧化硅（SiO</w:t>
      </w:r>
      <w:r>
        <w:rPr>
          <w:vertAlign w:val="subscript"/>
        </w:rPr>
        <w:t>2</w:t>
      </w:r>
      <w:r>
        <w:t>）含量60%～63%，三氧化二铝（Al</w:t>
      </w:r>
      <w:r>
        <w:rPr>
          <w:vertAlign w:val="subscript"/>
        </w:rPr>
        <w:t>2</w:t>
      </w:r>
      <w:r>
        <w:t>O</w:t>
      </w:r>
      <w:r>
        <w:rPr>
          <w:vertAlign w:val="subscript"/>
        </w:rPr>
        <w:t>3</w:t>
      </w:r>
      <w:r>
        <w:t>）含量15%～18%，氧化钾+氧化钠（K</w:t>
      </w:r>
      <w:r>
        <w:rPr>
          <w:vertAlign w:val="subscript"/>
        </w:rPr>
        <w:t>2</w:t>
      </w:r>
      <w:r>
        <w:t>O+Na</w:t>
      </w:r>
      <w:r>
        <w:rPr>
          <w:vertAlign w:val="subscript"/>
        </w:rPr>
        <w:t>2</w:t>
      </w:r>
      <w:r>
        <w:t>O）含量5%～7%。</w:t>
      </w:r>
    </w:p>
    <w:p w14:paraId="2735AD7E">
      <w:pPr>
        <w:pStyle w:val="5"/>
        <w:spacing w:before="156" w:after="156"/>
      </w:pPr>
      <w:r>
        <w:rPr>
          <w:rFonts w:hint="eastAsia"/>
        </w:rPr>
        <w:t>矿体围岩和夹石</w:t>
      </w:r>
    </w:p>
    <w:p w14:paraId="01360716">
      <w:pPr>
        <w:ind w:firstLine="480"/>
        <w:rPr>
          <w:rFonts w:ascii="宋体" w:hAnsi="宋体"/>
          <w:kern w:val="0"/>
        </w:rPr>
      </w:pPr>
      <w:r>
        <w:t>矿体顶板围岩为地表腐植土层、底板围岩为凝灰岩，矿体与顶板围岩界线清晰、与底板围岩不清。建筑用凝灰岩矿体内无夹石</w:t>
      </w:r>
      <w:r>
        <w:rPr>
          <w:rFonts w:hint="eastAsia" w:ascii="宋体" w:hAnsi="宋体"/>
          <w:kern w:val="0"/>
        </w:rPr>
        <w:t>。</w:t>
      </w:r>
    </w:p>
    <w:p w14:paraId="60C45927">
      <w:pPr>
        <w:pStyle w:val="4"/>
        <w:spacing w:before="234" w:after="156"/>
      </w:pPr>
      <w:r>
        <w:rPr>
          <w:rFonts w:hint="eastAsia"/>
        </w:rPr>
        <w:t>开采方式</w:t>
      </w:r>
    </w:p>
    <w:p w14:paraId="193C37BD">
      <w:pPr>
        <w:ind w:firstLine="480"/>
        <w:rPr>
          <w:rFonts w:cs="Times New Roman"/>
        </w:rPr>
      </w:pPr>
      <w:r>
        <w:rPr>
          <w:rFonts w:hint="eastAsia" w:cs="Times New Roman"/>
        </w:rPr>
        <w:t>矿</w:t>
      </w:r>
      <w:r>
        <w:rPr>
          <w:rFonts w:cs="Times New Roman"/>
        </w:rPr>
        <w:t>区矿层开采方式为露天开采，设计采用修筑公路运输开拓，该开拓系统优点为运输成本低，运输量大。</w:t>
      </w:r>
      <w:r>
        <w:rPr>
          <w:rFonts w:hint="eastAsia" w:cs="Times New Roman"/>
        </w:rPr>
        <w:t>采石场生产的主要产品为碎石，露天开采。</w:t>
      </w:r>
    </w:p>
    <w:p w14:paraId="394DCFEC">
      <w:pPr>
        <w:ind w:firstLine="480"/>
        <w:rPr>
          <w:rFonts w:cs="Times New Roman"/>
        </w:rPr>
      </w:pPr>
      <w:r>
        <w:rPr>
          <w:rFonts w:hint="eastAsia" w:cs="Times New Roman"/>
        </w:rPr>
        <w:t>矿区腐殖土层较薄，先剥离腐殖土层，凝灰岩上部风化程度较轻，石方开挖采用自上而下分台阶开采的方式施工，施工中首先将岩石层采用液压破碎锤分层破碎，挖掘机配合清除岩块，按照设计边坡进行破碎，破碎至设计面，挖掘机进行修正，无需碎石筛分。开拓方式无轨车运输。</w:t>
      </w:r>
    </w:p>
    <w:p w14:paraId="4F30DBF8">
      <w:pPr>
        <w:ind w:firstLine="480"/>
        <w:rPr>
          <w:rFonts w:cs="Times New Roman"/>
        </w:rPr>
      </w:pPr>
      <w:r>
        <w:rPr>
          <w:rFonts w:cs="Times New Roman"/>
        </w:rPr>
        <w:t>矿石加工性能良好，设计采用台阶式开采完所有矿体。</w:t>
      </w:r>
      <w:r>
        <w:rPr>
          <w:rFonts w:hint="eastAsia" w:cs="Times New Roman"/>
        </w:rPr>
        <w:t>在剥离上面的覆盖层后，</w:t>
      </w:r>
      <w:r>
        <w:rPr>
          <w:rFonts w:cs="Times New Roman"/>
        </w:rPr>
        <w:t>首采矿段开采+</w:t>
      </w:r>
      <w:r>
        <w:rPr>
          <w:rFonts w:hint="eastAsia" w:cs="Times New Roman"/>
        </w:rPr>
        <w:t>510</w:t>
      </w:r>
      <w:r>
        <w:rPr>
          <w:rFonts w:cs="Times New Roman"/>
        </w:rPr>
        <w:t>m水平标高以上的矿体，然后按10m一个台阶进行开采，最后开采</w:t>
      </w:r>
      <w:r>
        <w:rPr>
          <w:rFonts w:hint="eastAsia" w:cs="Times New Roman"/>
        </w:rPr>
        <w:t>+420.00m</w:t>
      </w:r>
      <w:r>
        <w:rPr>
          <w:rFonts w:cs="Times New Roman"/>
        </w:rPr>
        <w:t>水平标高以上的矿体，设计台阶开采结束后开采掌子面最高处小于10m。开采过程中可形成水平标高</w:t>
      </w:r>
      <w:r>
        <w:rPr>
          <w:rFonts w:hint="eastAsia" w:cs="Times New Roman"/>
        </w:rPr>
        <w:t>+510m、+500m、+490m、+480m、+470m、+460m、+450m、+440m、+430m、+420m十个平台</w:t>
      </w:r>
      <w:r>
        <w:rPr>
          <w:rFonts w:cs="Times New Roman"/>
        </w:rPr>
        <w:t>，</w:t>
      </w:r>
      <w:r>
        <w:rPr>
          <w:rFonts w:hint="eastAsia" w:cs="Times New Roman"/>
        </w:rPr>
        <w:t>安全</w:t>
      </w:r>
      <w:r>
        <w:rPr>
          <w:rFonts w:cs="Times New Roman"/>
        </w:rPr>
        <w:t>平台宽度大于</w:t>
      </w:r>
      <w:r>
        <w:rPr>
          <w:rFonts w:hint="eastAsia" w:cs="Times New Roman"/>
        </w:rPr>
        <w:t>5</w:t>
      </w:r>
      <w:r>
        <w:rPr>
          <w:rFonts w:cs="Times New Roman"/>
        </w:rPr>
        <w:t>m</w:t>
      </w:r>
      <w:r>
        <w:rPr>
          <w:rFonts w:hint="eastAsia" w:cs="Times New Roman"/>
        </w:rPr>
        <w:t>，清扫平台宽度大于7m，</w:t>
      </w:r>
      <w:r>
        <w:rPr>
          <w:rFonts w:cs="Times New Roman"/>
        </w:rPr>
        <w:t>根据矿石物化性质及矿床采高，</w:t>
      </w:r>
      <w:r>
        <w:rPr>
          <w:rFonts w:hint="eastAsia" w:cs="Times New Roman"/>
        </w:rPr>
        <w:t>开采台阶坡面角设计为65°，最终开采终了边坡角45°</w:t>
      </w:r>
      <w:r>
        <w:rPr>
          <w:rFonts w:cs="Times New Roman"/>
        </w:rPr>
        <w:t>。</w:t>
      </w:r>
    </w:p>
    <w:p w14:paraId="60B8C5AA">
      <w:pPr>
        <w:pStyle w:val="4"/>
        <w:spacing w:before="234" w:after="156"/>
      </w:pPr>
      <w:r>
        <w:t>生产工艺流程</w:t>
      </w:r>
    </w:p>
    <w:p w14:paraId="5AC18B02">
      <w:pPr>
        <w:ind w:firstLine="480"/>
        <w:rPr>
          <w:rFonts w:cs="Times New Roman"/>
        </w:rPr>
      </w:pPr>
      <w:r>
        <w:rPr>
          <w:rFonts w:hint="eastAsia" w:cs="Times New Roman"/>
        </w:rPr>
        <w:t>开采工艺流程如下：</w:t>
      </w:r>
    </w:p>
    <w:p w14:paraId="1BA7E1D0">
      <w:pPr>
        <w:pStyle w:val="178"/>
      </w:pPr>
      <w:r>
        <w:drawing>
          <wp:inline distT="0" distB="0" distL="0" distR="0">
            <wp:extent cx="5278755" cy="2500630"/>
            <wp:effectExtent l="19050" t="0" r="0" b="0"/>
            <wp:docPr id="1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7"/>
                    <pic:cNvPicPr>
                      <a:picLocks noChangeAspect="1" noChangeArrowheads="1"/>
                    </pic:cNvPicPr>
                  </pic:nvPicPr>
                  <pic:blipFill>
                    <a:blip r:embed="rId46"/>
                    <a:srcRect/>
                    <a:stretch>
                      <a:fillRect/>
                    </a:stretch>
                  </pic:blipFill>
                  <pic:spPr>
                    <a:xfrm>
                      <a:off x="0" y="0"/>
                      <a:ext cx="5278755" cy="2500951"/>
                    </a:xfrm>
                    <a:prstGeom prst="rect">
                      <a:avLst/>
                    </a:prstGeom>
                    <a:noFill/>
                    <a:ln w="9525">
                      <a:noFill/>
                      <a:miter lim="800000"/>
                      <a:headEnd/>
                      <a:tailEnd/>
                    </a:ln>
                  </pic:spPr>
                </pic:pic>
              </a:graphicData>
            </a:graphic>
          </wp:inline>
        </w:drawing>
      </w:r>
      <w:r>
        <w:t>图3.</w:t>
      </w:r>
      <w:r>
        <w:rPr>
          <w:rFonts w:hint="eastAsia"/>
        </w:rPr>
        <w:t>2</w:t>
      </w:r>
      <w:r>
        <w:t>-</w:t>
      </w:r>
      <w:r>
        <w:rPr>
          <w:rFonts w:hint="eastAsia"/>
        </w:rPr>
        <w:t xml:space="preserve">1  </w:t>
      </w:r>
      <w:r>
        <w:t>本项目工艺流程及产污环节示意图</w:t>
      </w:r>
    </w:p>
    <w:p w14:paraId="008D8AA6">
      <w:pPr>
        <w:ind w:firstLine="480"/>
        <w:rPr>
          <w:rFonts w:cs="Times New Roman"/>
        </w:rPr>
      </w:pPr>
      <w:r>
        <w:rPr>
          <w:rFonts w:hint="eastAsia" w:cs="Times New Roman"/>
        </w:rPr>
        <w:t>工艺流程简述：</w:t>
      </w:r>
    </w:p>
    <w:p w14:paraId="0BC7038E">
      <w:pPr>
        <w:ind w:firstLine="480"/>
        <w:rPr>
          <w:rFonts w:cs="Times New Roman"/>
        </w:rPr>
      </w:pPr>
      <w:r>
        <w:rPr>
          <w:rFonts w:hint="eastAsia" w:cs="Times New Roman"/>
        </w:rPr>
        <w:t>1、测量放线：利用施工现场设置测量控制网，根据设计放样出开采范围、台阶坡顶线及坡底线，经现场指挥人员确认后进行下一步破碎工作。</w:t>
      </w:r>
    </w:p>
    <w:p w14:paraId="12CF42BE">
      <w:pPr>
        <w:ind w:firstLine="480"/>
        <w:rPr>
          <w:rFonts w:cs="Times New Roman"/>
        </w:rPr>
      </w:pPr>
      <w:r>
        <w:rPr>
          <w:rFonts w:hint="eastAsia" w:cs="Times New Roman"/>
        </w:rPr>
        <w:t>2、根据测量放线的范围，采用挖掘机清除表土，将挖掘机能够挖动的土方装车运走，将所需要的破碎的石方露出，由于开挖破碎的方式为自上而下分台阶开采，因此首先根据实际地形修出第一级施工平台，方便破碎锤及挖掘机摆放。</w:t>
      </w:r>
    </w:p>
    <w:p w14:paraId="11832DF9">
      <w:pPr>
        <w:ind w:firstLine="480"/>
        <w:rPr>
          <w:rFonts w:cs="Times New Roman"/>
        </w:rPr>
      </w:pPr>
      <w:r>
        <w:rPr>
          <w:rFonts w:hint="eastAsia" w:cs="Times New Roman"/>
        </w:rPr>
        <w:t>3、现场安全指挥人员根据实际地形指挥液压破碎锤施工，将液压岩石破碎锤的钎杆压在岩石上，并保持一定压力后开动破碎锤，利用破碎锤的冲击力，将岩石破碎。</w:t>
      </w:r>
    </w:p>
    <w:p w14:paraId="73A45657">
      <w:pPr>
        <w:ind w:firstLine="480"/>
        <w:rPr>
          <w:rFonts w:cs="Times New Roman"/>
        </w:rPr>
      </w:pPr>
      <w:r>
        <w:rPr>
          <w:rFonts w:hint="eastAsia" w:cs="Times New Roman"/>
        </w:rPr>
        <w:t>4、利用挖掘机挖成堆装车运走，整理成形，利用破碎锤再破碎石方，再利用挖掘机装车运走。</w:t>
      </w:r>
    </w:p>
    <w:p w14:paraId="187C2829">
      <w:pPr>
        <w:ind w:firstLine="480"/>
        <w:rPr>
          <w:rFonts w:cs="Times New Roman"/>
        </w:rPr>
      </w:pPr>
      <w:r>
        <w:rPr>
          <w:rFonts w:hint="eastAsia" w:cs="Times New Roman"/>
        </w:rPr>
        <w:t>5、破碎锤破碎岩石必须按照坡比进行破碎，不允许出现亏坡或坡比过大的情况出现，第一级施工平台上的岩石破到位并采用挖掘机将坡面修正平整，然后进行下一施工平台掩体的破碎施工。</w:t>
      </w:r>
    </w:p>
    <w:p w14:paraId="1F8C71FC">
      <w:pPr>
        <w:ind w:firstLine="480"/>
        <w:rPr>
          <w:rFonts w:cs="Times New Roman"/>
        </w:rPr>
      </w:pPr>
      <w:r>
        <w:rPr>
          <w:rFonts w:hint="eastAsia" w:cs="Times New Roman"/>
        </w:rPr>
        <w:t>6、挖掘机配合破碎锤清除破碎岩体，并将已破碎的岩体装车，运输车辆采用自卸车，运至指定地点，依次循环作业，直至该段场地成型并达到设计标高。</w:t>
      </w:r>
    </w:p>
    <w:p w14:paraId="02886E75">
      <w:pPr>
        <w:ind w:firstLine="480"/>
        <w:rPr>
          <w:rFonts w:cs="Times New Roman"/>
        </w:rPr>
      </w:pPr>
      <w:r>
        <w:rPr>
          <w:rFonts w:hint="eastAsia" w:cs="Times New Roman"/>
        </w:rPr>
        <w:t>本项目所采建筑用凝灰岩粒径大小均匀，无需筛选加工，直接汽车外运。运输过程产生粉尘、噪声</w:t>
      </w:r>
      <w:r>
        <w:rPr>
          <w:rFonts w:cs="Times New Roman"/>
        </w:rPr>
        <w:t>。</w:t>
      </w:r>
    </w:p>
    <w:p w14:paraId="5AABE237">
      <w:pPr>
        <w:pStyle w:val="178"/>
      </w:pPr>
      <w:r>
        <w:t>表3</w:t>
      </w:r>
      <w:r>
        <w:rPr>
          <w:rFonts w:hint="eastAsia"/>
        </w:rPr>
        <w:t>.2-3产污环节一览表</w:t>
      </w:r>
    </w:p>
    <w:tbl>
      <w:tblPr>
        <w:tblStyle w:val="36"/>
        <w:tblW w:w="4998"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57" w:type="dxa"/>
          <w:bottom w:w="0" w:type="dxa"/>
          <w:right w:w="57" w:type="dxa"/>
        </w:tblCellMar>
      </w:tblPr>
      <w:tblGrid>
        <w:gridCol w:w="1108"/>
        <w:gridCol w:w="2656"/>
        <w:gridCol w:w="2331"/>
        <w:gridCol w:w="2329"/>
      </w:tblGrid>
      <w:tr w14:paraId="18FFC33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658" w:type="pct"/>
            <w:vAlign w:val="center"/>
          </w:tcPr>
          <w:p w14:paraId="4D13D163">
            <w:pPr>
              <w:pStyle w:val="179"/>
              <w:rPr>
                <w:b/>
              </w:rPr>
            </w:pPr>
            <w:r>
              <w:rPr>
                <w:rFonts w:hint="eastAsia"/>
                <w:b/>
              </w:rPr>
              <w:t>污染类别</w:t>
            </w:r>
          </w:p>
        </w:tc>
        <w:tc>
          <w:tcPr>
            <w:tcW w:w="1576" w:type="pct"/>
            <w:vAlign w:val="center"/>
          </w:tcPr>
          <w:p w14:paraId="3A64AAFC">
            <w:pPr>
              <w:pStyle w:val="179"/>
              <w:rPr>
                <w:b/>
              </w:rPr>
            </w:pPr>
            <w:r>
              <w:rPr>
                <w:rFonts w:hint="eastAsia"/>
                <w:b/>
              </w:rPr>
              <w:t>主要污染源</w:t>
            </w:r>
          </w:p>
        </w:tc>
        <w:tc>
          <w:tcPr>
            <w:tcW w:w="1383" w:type="pct"/>
            <w:vAlign w:val="center"/>
          </w:tcPr>
          <w:p w14:paraId="76B14E2F">
            <w:pPr>
              <w:pStyle w:val="179"/>
              <w:rPr>
                <w:b/>
              </w:rPr>
            </w:pPr>
            <w:r>
              <w:rPr>
                <w:rFonts w:hint="eastAsia"/>
                <w:b/>
              </w:rPr>
              <w:t>产生工序</w:t>
            </w:r>
          </w:p>
        </w:tc>
        <w:tc>
          <w:tcPr>
            <w:tcW w:w="1382" w:type="pct"/>
            <w:vAlign w:val="center"/>
          </w:tcPr>
          <w:p w14:paraId="47723286">
            <w:pPr>
              <w:pStyle w:val="179"/>
              <w:rPr>
                <w:b/>
              </w:rPr>
            </w:pPr>
            <w:r>
              <w:rPr>
                <w:rFonts w:hint="eastAsia"/>
                <w:b/>
              </w:rPr>
              <w:t>主要污染物</w:t>
            </w:r>
          </w:p>
        </w:tc>
      </w:tr>
      <w:tr w14:paraId="7AE431E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658" w:type="pct"/>
            <w:vAlign w:val="center"/>
          </w:tcPr>
          <w:p w14:paraId="4562489E">
            <w:pPr>
              <w:pStyle w:val="179"/>
            </w:pPr>
            <w:r>
              <w:rPr>
                <w:rFonts w:hint="eastAsia"/>
              </w:rPr>
              <w:t>废水</w:t>
            </w:r>
          </w:p>
        </w:tc>
        <w:tc>
          <w:tcPr>
            <w:tcW w:w="1576" w:type="pct"/>
            <w:vAlign w:val="center"/>
          </w:tcPr>
          <w:p w14:paraId="5E0D8E62">
            <w:pPr>
              <w:pStyle w:val="179"/>
            </w:pPr>
            <w:r>
              <w:rPr>
                <w:rFonts w:hint="eastAsia"/>
              </w:rPr>
              <w:t>生活污水</w:t>
            </w:r>
          </w:p>
        </w:tc>
        <w:tc>
          <w:tcPr>
            <w:tcW w:w="1383" w:type="pct"/>
            <w:vAlign w:val="center"/>
          </w:tcPr>
          <w:p w14:paraId="4F96DFB1">
            <w:pPr>
              <w:pStyle w:val="179"/>
            </w:pPr>
            <w:r>
              <w:rPr>
                <w:rFonts w:hint="eastAsia"/>
              </w:rPr>
              <w:t>职工生活</w:t>
            </w:r>
          </w:p>
        </w:tc>
        <w:tc>
          <w:tcPr>
            <w:tcW w:w="1382" w:type="pct"/>
            <w:vAlign w:val="center"/>
          </w:tcPr>
          <w:p w14:paraId="09280AD4">
            <w:pPr>
              <w:pStyle w:val="179"/>
            </w:pPr>
            <w:r>
              <w:rPr>
                <w:rFonts w:hint="eastAsia"/>
              </w:rPr>
              <w:t>COD、SS、NH</w:t>
            </w:r>
            <w:r>
              <w:rPr>
                <w:rFonts w:hint="eastAsia"/>
                <w:vertAlign w:val="subscript"/>
              </w:rPr>
              <w:t>3</w:t>
            </w:r>
            <w:r>
              <w:rPr>
                <w:rFonts w:hint="eastAsia"/>
              </w:rPr>
              <w:t>-N</w:t>
            </w:r>
          </w:p>
        </w:tc>
      </w:tr>
      <w:tr w14:paraId="204920C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658" w:type="pct"/>
            <w:vAlign w:val="center"/>
          </w:tcPr>
          <w:p w14:paraId="62F557BB">
            <w:pPr>
              <w:pStyle w:val="179"/>
            </w:pPr>
            <w:r>
              <w:rPr>
                <w:rFonts w:hint="eastAsia"/>
              </w:rPr>
              <w:t>噪声</w:t>
            </w:r>
          </w:p>
        </w:tc>
        <w:tc>
          <w:tcPr>
            <w:tcW w:w="1576" w:type="pct"/>
            <w:vAlign w:val="center"/>
          </w:tcPr>
          <w:p w14:paraId="09E5D1B8">
            <w:pPr>
              <w:pStyle w:val="179"/>
            </w:pPr>
            <w:r>
              <w:rPr>
                <w:rFonts w:hint="eastAsia"/>
              </w:rPr>
              <w:t>生产区</w:t>
            </w:r>
          </w:p>
        </w:tc>
        <w:tc>
          <w:tcPr>
            <w:tcW w:w="1383" w:type="pct"/>
            <w:vAlign w:val="center"/>
          </w:tcPr>
          <w:p w14:paraId="3BF1BCDF">
            <w:pPr>
              <w:pStyle w:val="179"/>
            </w:pPr>
            <w:r>
              <w:rPr>
                <w:rFonts w:hint="eastAsia"/>
              </w:rPr>
              <w:t>设备</w:t>
            </w:r>
          </w:p>
        </w:tc>
        <w:tc>
          <w:tcPr>
            <w:tcW w:w="1382" w:type="pct"/>
            <w:vAlign w:val="center"/>
          </w:tcPr>
          <w:p w14:paraId="03A97311">
            <w:pPr>
              <w:pStyle w:val="179"/>
            </w:pPr>
            <w:r>
              <w:rPr>
                <w:rFonts w:hint="eastAsia"/>
              </w:rPr>
              <w:t>机械噪声</w:t>
            </w:r>
          </w:p>
        </w:tc>
      </w:tr>
      <w:tr w14:paraId="56CE82A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658" w:type="pct"/>
            <w:vMerge w:val="restart"/>
            <w:vAlign w:val="center"/>
          </w:tcPr>
          <w:p w14:paraId="397FA0EB">
            <w:pPr>
              <w:pStyle w:val="179"/>
            </w:pPr>
            <w:r>
              <w:rPr>
                <w:rFonts w:hint="eastAsia"/>
              </w:rPr>
              <w:t>废气</w:t>
            </w:r>
          </w:p>
        </w:tc>
        <w:tc>
          <w:tcPr>
            <w:tcW w:w="1576" w:type="pct"/>
            <w:vAlign w:val="center"/>
          </w:tcPr>
          <w:p w14:paraId="0A51CB44">
            <w:pPr>
              <w:pStyle w:val="179"/>
            </w:pPr>
            <w:r>
              <w:rPr>
                <w:rFonts w:hint="eastAsia"/>
              </w:rPr>
              <w:t>开采区</w:t>
            </w:r>
          </w:p>
        </w:tc>
        <w:tc>
          <w:tcPr>
            <w:tcW w:w="1383" w:type="pct"/>
            <w:vAlign w:val="center"/>
          </w:tcPr>
          <w:p w14:paraId="1152000B">
            <w:pPr>
              <w:pStyle w:val="179"/>
            </w:pPr>
            <w:r>
              <w:rPr>
                <w:rFonts w:hint="eastAsia"/>
              </w:rPr>
              <w:t>采剥</w:t>
            </w:r>
          </w:p>
        </w:tc>
        <w:tc>
          <w:tcPr>
            <w:tcW w:w="1382" w:type="pct"/>
            <w:vAlign w:val="center"/>
          </w:tcPr>
          <w:p w14:paraId="3E946221">
            <w:pPr>
              <w:pStyle w:val="179"/>
            </w:pPr>
            <w:r>
              <w:rPr>
                <w:rFonts w:hint="eastAsia"/>
              </w:rPr>
              <w:t>TSP</w:t>
            </w:r>
          </w:p>
        </w:tc>
      </w:tr>
      <w:tr w14:paraId="2E1BF2D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658" w:type="pct"/>
            <w:vMerge w:val="continue"/>
            <w:vAlign w:val="center"/>
          </w:tcPr>
          <w:p w14:paraId="587F49D8">
            <w:pPr>
              <w:pStyle w:val="179"/>
            </w:pPr>
          </w:p>
        </w:tc>
        <w:tc>
          <w:tcPr>
            <w:tcW w:w="1576" w:type="pct"/>
            <w:vAlign w:val="center"/>
          </w:tcPr>
          <w:p w14:paraId="2F8D3353">
            <w:pPr>
              <w:pStyle w:val="179"/>
            </w:pPr>
            <w:r>
              <w:rPr>
                <w:rFonts w:hint="eastAsia"/>
              </w:rPr>
              <w:t>开采区</w:t>
            </w:r>
          </w:p>
        </w:tc>
        <w:tc>
          <w:tcPr>
            <w:tcW w:w="1383" w:type="pct"/>
            <w:vAlign w:val="center"/>
          </w:tcPr>
          <w:p w14:paraId="6ACBC373">
            <w:pPr>
              <w:pStyle w:val="179"/>
            </w:pPr>
            <w:r>
              <w:rPr>
                <w:rFonts w:hint="eastAsia"/>
              </w:rPr>
              <w:t>集装铲装</w:t>
            </w:r>
          </w:p>
        </w:tc>
        <w:tc>
          <w:tcPr>
            <w:tcW w:w="1382" w:type="pct"/>
            <w:vAlign w:val="center"/>
          </w:tcPr>
          <w:p w14:paraId="3B6C4EFD">
            <w:pPr>
              <w:pStyle w:val="179"/>
            </w:pPr>
            <w:r>
              <w:rPr>
                <w:rFonts w:hint="eastAsia"/>
              </w:rPr>
              <w:t>TSP</w:t>
            </w:r>
          </w:p>
        </w:tc>
      </w:tr>
      <w:tr w14:paraId="6938D6A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658" w:type="pct"/>
            <w:vMerge w:val="continue"/>
            <w:vAlign w:val="center"/>
          </w:tcPr>
          <w:p w14:paraId="0C3F3DB5">
            <w:pPr>
              <w:pStyle w:val="179"/>
            </w:pPr>
          </w:p>
        </w:tc>
        <w:tc>
          <w:tcPr>
            <w:tcW w:w="1576" w:type="pct"/>
            <w:vAlign w:val="center"/>
          </w:tcPr>
          <w:p w14:paraId="21F94CB9">
            <w:pPr>
              <w:pStyle w:val="179"/>
            </w:pPr>
            <w:r>
              <w:rPr>
                <w:rFonts w:hint="eastAsia"/>
              </w:rPr>
              <w:t>运输道路</w:t>
            </w:r>
          </w:p>
        </w:tc>
        <w:tc>
          <w:tcPr>
            <w:tcW w:w="1383" w:type="pct"/>
            <w:vAlign w:val="center"/>
          </w:tcPr>
          <w:p w14:paraId="4F6B9B9F">
            <w:pPr>
              <w:pStyle w:val="179"/>
            </w:pPr>
            <w:r>
              <w:rPr>
                <w:rFonts w:hint="eastAsia"/>
              </w:rPr>
              <w:t>运输</w:t>
            </w:r>
          </w:p>
        </w:tc>
        <w:tc>
          <w:tcPr>
            <w:tcW w:w="1382" w:type="pct"/>
            <w:vAlign w:val="center"/>
          </w:tcPr>
          <w:p w14:paraId="37C736BD">
            <w:pPr>
              <w:pStyle w:val="179"/>
            </w:pPr>
            <w:r>
              <w:rPr>
                <w:rFonts w:hint="eastAsia"/>
              </w:rPr>
              <w:t>TSP</w:t>
            </w:r>
          </w:p>
        </w:tc>
      </w:tr>
      <w:tr w14:paraId="44ED7C1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658" w:type="pct"/>
            <w:vMerge w:val="restart"/>
            <w:vAlign w:val="center"/>
          </w:tcPr>
          <w:p w14:paraId="6E547F1F">
            <w:pPr>
              <w:pStyle w:val="179"/>
            </w:pPr>
            <w:r>
              <w:rPr>
                <w:rFonts w:hint="eastAsia"/>
              </w:rPr>
              <w:t>固体废物</w:t>
            </w:r>
          </w:p>
        </w:tc>
        <w:tc>
          <w:tcPr>
            <w:tcW w:w="1576" w:type="pct"/>
            <w:vAlign w:val="center"/>
          </w:tcPr>
          <w:p w14:paraId="364A9D45">
            <w:pPr>
              <w:pStyle w:val="179"/>
            </w:pPr>
            <w:r>
              <w:rPr>
                <w:rFonts w:hint="eastAsia"/>
              </w:rPr>
              <w:t>职工生活</w:t>
            </w:r>
          </w:p>
        </w:tc>
        <w:tc>
          <w:tcPr>
            <w:tcW w:w="1383" w:type="pct"/>
            <w:vAlign w:val="center"/>
          </w:tcPr>
          <w:p w14:paraId="0579CD8E">
            <w:pPr>
              <w:pStyle w:val="179"/>
            </w:pPr>
            <w:r>
              <w:rPr>
                <w:rFonts w:hint="eastAsia"/>
              </w:rPr>
              <w:t>职工生活</w:t>
            </w:r>
          </w:p>
        </w:tc>
        <w:tc>
          <w:tcPr>
            <w:tcW w:w="1382" w:type="pct"/>
            <w:vAlign w:val="center"/>
          </w:tcPr>
          <w:p w14:paraId="6F811AF5">
            <w:pPr>
              <w:pStyle w:val="179"/>
            </w:pPr>
            <w:r>
              <w:rPr>
                <w:rFonts w:hint="eastAsia"/>
              </w:rPr>
              <w:t>生活垃圾</w:t>
            </w:r>
          </w:p>
        </w:tc>
      </w:tr>
      <w:tr w14:paraId="511A55A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658" w:type="pct"/>
            <w:vMerge w:val="continue"/>
            <w:vAlign w:val="center"/>
          </w:tcPr>
          <w:p w14:paraId="48178F7A">
            <w:pPr>
              <w:pStyle w:val="179"/>
            </w:pPr>
          </w:p>
        </w:tc>
        <w:tc>
          <w:tcPr>
            <w:tcW w:w="1576" w:type="pct"/>
            <w:vAlign w:val="center"/>
          </w:tcPr>
          <w:p w14:paraId="6A9AECA9">
            <w:pPr>
              <w:pStyle w:val="179"/>
            </w:pPr>
            <w:r>
              <w:rPr>
                <w:rFonts w:hint="eastAsia"/>
              </w:rPr>
              <w:t>开采区</w:t>
            </w:r>
          </w:p>
        </w:tc>
        <w:tc>
          <w:tcPr>
            <w:tcW w:w="1383" w:type="pct"/>
            <w:vAlign w:val="center"/>
          </w:tcPr>
          <w:p w14:paraId="5A77BE93">
            <w:pPr>
              <w:pStyle w:val="179"/>
            </w:pPr>
            <w:r>
              <w:rPr>
                <w:rFonts w:hint="eastAsia"/>
              </w:rPr>
              <w:t>贮水池</w:t>
            </w:r>
          </w:p>
        </w:tc>
        <w:tc>
          <w:tcPr>
            <w:tcW w:w="1382" w:type="pct"/>
            <w:vAlign w:val="center"/>
          </w:tcPr>
          <w:p w14:paraId="3D9D93CE">
            <w:pPr>
              <w:pStyle w:val="179"/>
            </w:pPr>
            <w:r>
              <w:rPr>
                <w:rFonts w:hint="eastAsia"/>
              </w:rPr>
              <w:t>沉渣</w:t>
            </w:r>
          </w:p>
        </w:tc>
      </w:tr>
    </w:tbl>
    <w:p w14:paraId="0AA2D17E">
      <w:pPr>
        <w:pStyle w:val="3"/>
        <w:spacing w:before="234" w:after="156"/>
      </w:pPr>
      <w:bookmarkStart w:id="116" w:name="_Toc234927692"/>
      <w:r>
        <w:rPr>
          <w:bCs/>
        </w:rPr>
        <w:t>公用工程</w:t>
      </w:r>
      <w:bookmarkEnd w:id="116"/>
    </w:p>
    <w:p w14:paraId="783AD8E8">
      <w:pPr>
        <w:pStyle w:val="4"/>
        <w:spacing w:before="234" w:after="156"/>
      </w:pPr>
      <w:r>
        <w:rPr>
          <w:rFonts w:hint="eastAsia"/>
        </w:rPr>
        <w:t>给排水</w:t>
      </w:r>
    </w:p>
    <w:p w14:paraId="6B968C89">
      <w:pPr>
        <w:ind w:firstLine="482"/>
        <w:rPr>
          <w:b/>
        </w:rPr>
      </w:pPr>
      <w:r>
        <w:rPr>
          <w:rFonts w:hint="eastAsia"/>
          <w:b/>
        </w:rPr>
        <w:t>1、给水</w:t>
      </w:r>
    </w:p>
    <w:p w14:paraId="549D0022">
      <w:pPr>
        <w:ind w:firstLine="480"/>
      </w:pPr>
      <w:r>
        <w:t>本项目</w:t>
      </w:r>
      <w:r>
        <w:rPr>
          <w:rFonts w:hint="eastAsia"/>
        </w:rPr>
        <w:t>员工生活用水为外购桶装水</w:t>
      </w:r>
      <w:r>
        <w:t>，</w:t>
      </w:r>
      <w:r>
        <w:rPr>
          <w:rFonts w:hint="eastAsia"/>
        </w:rPr>
        <w:t>项目生产用水为径流污水，</w:t>
      </w:r>
      <w:r>
        <w:t>生产用水（铲装、道路等降尘用水）优先采用</w:t>
      </w:r>
      <w:r>
        <w:rPr>
          <w:rFonts w:hint="eastAsia"/>
        </w:rPr>
        <w:t>径流污水</w:t>
      </w:r>
      <w:r>
        <w:t>，不足部分由</w:t>
      </w:r>
      <w:r>
        <w:rPr>
          <w:rFonts w:hint="eastAsia"/>
        </w:rPr>
        <w:t>外购水</w:t>
      </w:r>
      <w:r>
        <w:t>提供。</w:t>
      </w:r>
    </w:p>
    <w:p w14:paraId="5205C9D1">
      <w:pPr>
        <w:ind w:firstLine="480"/>
      </w:pPr>
      <w:r>
        <w:rPr>
          <w:rFonts w:hint="eastAsia"/>
        </w:rPr>
        <w:t>（1）</w:t>
      </w:r>
      <w:r>
        <w:t>生活用水</w:t>
      </w:r>
    </w:p>
    <w:p w14:paraId="48246D3D">
      <w:pPr>
        <w:ind w:firstLine="480"/>
      </w:pPr>
      <w:r>
        <w:rPr>
          <w:rFonts w:hint="eastAsia"/>
        </w:rPr>
        <w:t>项目</w:t>
      </w:r>
      <w:r>
        <w:t>劳动定员</w:t>
      </w:r>
      <w:r>
        <w:rPr>
          <w:rFonts w:hint="eastAsia"/>
        </w:rPr>
        <w:t>2</w:t>
      </w:r>
      <w:r>
        <w:t>0人，用水量参考黑龙江省地方标准《用水定额》（DB23/T727-202</w:t>
      </w:r>
      <w:r>
        <w:rPr>
          <w:rFonts w:hint="eastAsia"/>
        </w:rPr>
        <w:t>5</w:t>
      </w:r>
      <w:r>
        <w:t>），单人用水量按照80L/d计算，年工作</w:t>
      </w:r>
      <w:r>
        <w:rPr>
          <w:rFonts w:hint="eastAsia"/>
        </w:rPr>
        <w:t>180</w:t>
      </w:r>
      <w:r>
        <w:t>天，生活用水量为</w:t>
      </w:r>
      <w:r>
        <w:rPr>
          <w:rFonts w:hint="eastAsia"/>
        </w:rPr>
        <w:t xml:space="preserve">1.6 </w:t>
      </w:r>
      <w:r>
        <w:t>m</w:t>
      </w:r>
      <w:r>
        <w:rPr>
          <w:vertAlign w:val="superscript"/>
        </w:rPr>
        <w:t>3</w:t>
      </w:r>
      <w:r>
        <w:t>/d，288m</w:t>
      </w:r>
      <w:r>
        <w:rPr>
          <w:vertAlign w:val="superscript"/>
        </w:rPr>
        <w:t>3</w:t>
      </w:r>
      <w:r>
        <w:t>/a。</w:t>
      </w:r>
    </w:p>
    <w:p w14:paraId="23ED95E6">
      <w:pPr>
        <w:ind w:firstLine="480"/>
      </w:pPr>
      <w:r>
        <w:rPr>
          <w:rFonts w:hint="eastAsia"/>
        </w:rPr>
        <w:t>（2）</w:t>
      </w:r>
      <w:r>
        <w:t>生产用水：</w:t>
      </w:r>
      <w:r>
        <w:rPr>
          <w:rFonts w:hint="eastAsia"/>
        </w:rPr>
        <w:t>目前土砂石开采喷淋降尘无用水定额，本项目料场喷淋用水参照黑龙江省地方标准《用水定额》（</w:t>
      </w:r>
      <w:r>
        <w:t>DB23/T727-2025</w:t>
      </w:r>
      <w:r>
        <w:rPr>
          <w:rFonts w:hint="eastAsia"/>
        </w:rPr>
        <w:t>）中道路浇洒用水定额计算，用水按</w:t>
      </w:r>
      <w:r>
        <w:t>2L/d</w:t>
      </w:r>
      <w:r>
        <w:rPr>
          <w:rFonts w:hint="eastAsia" w:ascii="宋体" w:hAnsi="宋体" w:eastAsia="宋体"/>
        </w:rPr>
        <w:t>•</w:t>
      </w:r>
      <w:r>
        <w:t>m</w:t>
      </w:r>
      <w:r>
        <w:rPr>
          <w:vertAlign w:val="superscript"/>
        </w:rPr>
        <w:t>2</w:t>
      </w:r>
      <w:r>
        <w:rPr>
          <w:rFonts w:hint="eastAsia"/>
        </w:rPr>
        <w:t>计算，矿区面积为0.1101</w:t>
      </w:r>
      <w:r>
        <w:rPr>
          <w:rFonts w:hint="eastAsia" w:cs="Times New Roman"/>
        </w:rPr>
        <w:t>km</w:t>
      </w:r>
      <w:r>
        <w:rPr>
          <w:rFonts w:hint="eastAsia" w:cs="Times New Roman"/>
          <w:vertAlign w:val="superscript"/>
        </w:rPr>
        <w:t>2</w:t>
      </w:r>
      <w:r>
        <w:rPr>
          <w:rFonts w:hint="eastAsia"/>
        </w:rPr>
        <w:t>，平均日作业面面积为11005.2m</w:t>
      </w:r>
      <w:r>
        <w:rPr>
          <w:rFonts w:hint="eastAsia"/>
          <w:vertAlign w:val="superscript"/>
        </w:rPr>
        <w:t>2</w:t>
      </w:r>
      <w:r>
        <w:rPr>
          <w:rFonts w:hint="eastAsia"/>
        </w:rPr>
        <w:t>，则喷淋降尘用水量为22</w:t>
      </w:r>
      <w:r>
        <w:t>m</w:t>
      </w:r>
      <w:r>
        <w:rPr>
          <w:vertAlign w:val="superscript"/>
        </w:rPr>
        <w:t>3</w:t>
      </w:r>
      <w:r>
        <w:t>/d</w:t>
      </w:r>
      <w:r>
        <w:rPr>
          <w:rFonts w:hint="eastAsia"/>
        </w:rPr>
        <w:t>（3960</w:t>
      </w:r>
      <w:r>
        <w:t>t/a</w:t>
      </w:r>
      <w:r>
        <w:rPr>
          <w:rFonts w:hint="eastAsia"/>
        </w:rPr>
        <w:t>）。生产用水主要由矿区汇水提供，不足部分用水由洒水车由塔溪乡乡直运输，运距6.5km。</w:t>
      </w:r>
    </w:p>
    <w:p w14:paraId="3118948D">
      <w:pPr>
        <w:ind w:firstLine="482"/>
        <w:rPr>
          <w:b/>
        </w:rPr>
      </w:pPr>
      <w:r>
        <w:rPr>
          <w:rFonts w:hint="eastAsia"/>
          <w:b/>
        </w:rPr>
        <w:t>2、</w:t>
      </w:r>
      <w:r>
        <w:rPr>
          <w:b/>
        </w:rPr>
        <w:t>节水</w:t>
      </w:r>
    </w:p>
    <w:p w14:paraId="54B88ED0">
      <w:pPr>
        <w:ind w:firstLine="480"/>
      </w:pPr>
      <w:r>
        <w:t>矿区汇集雨水主要来源为降水，即初期雨水。按照暴雨强度公式，进而推出雨水汇水量，暴雨强度</w:t>
      </w:r>
      <w:r>
        <w:rPr>
          <w:rFonts w:hint="eastAsia"/>
        </w:rPr>
        <w:t>按下式</w:t>
      </w:r>
      <w:r>
        <w:t>计算：</w:t>
      </w:r>
    </w:p>
    <w:p w14:paraId="54508C97">
      <w:pPr>
        <w:pStyle w:val="179"/>
      </w:pPr>
      <w:r>
        <w:object>
          <v:shape id="_x0000_i1025" o:spt="75" type="#_x0000_t75" style="height:30.85pt;width:113.15pt;" o:ole="t" filled="f" o:preferrelative="t" stroked="f" coordsize="21600,21600">
            <v:path/>
            <v:fill on="f" focussize="0,0"/>
            <v:stroke on="f" joinstyle="miter"/>
            <v:imagedata r:id="rId48" o:title=""/>
            <o:lock v:ext="edit" aspectratio="t"/>
            <w10:wrap type="none"/>
            <w10:anchorlock/>
          </v:shape>
          <o:OLEObject Type="Embed" ProgID="Equation.3" ShapeID="_x0000_i1025" DrawAspect="Content" ObjectID="_1468075725" r:id="rId47">
            <o:LockedField>false</o:LockedField>
          </o:OLEObject>
        </w:object>
      </w:r>
    </w:p>
    <w:p w14:paraId="5274CC34">
      <w:pPr>
        <w:ind w:firstLine="480"/>
      </w:pPr>
      <w:r>
        <w:t>式中：q—暴雨强度，L/（s·hm</w:t>
      </w:r>
      <w:r>
        <w:rPr>
          <w:vertAlign w:val="superscript"/>
        </w:rPr>
        <w:t>2</w:t>
      </w:r>
      <w:r>
        <w:t>）；</w:t>
      </w:r>
    </w:p>
    <w:p w14:paraId="1C38483B">
      <w:pPr>
        <w:ind w:left="1680" w:leftChars="500" w:hanging="480" w:hangingChars="200"/>
      </w:pPr>
      <w:r>
        <w:t>t—降雨历时，min</w:t>
      </w:r>
      <w:r>
        <w:rPr>
          <w:rFonts w:hint="eastAsia"/>
        </w:rPr>
        <w:t>，</w:t>
      </w:r>
      <w:r>
        <w:t>取30min</w:t>
      </w:r>
      <w:r>
        <w:rPr>
          <w:rFonts w:hint="eastAsia"/>
        </w:rPr>
        <w:t>；</w:t>
      </w:r>
    </w:p>
    <w:p w14:paraId="4ABEDEB0">
      <w:pPr>
        <w:ind w:left="1680" w:leftChars="500" w:hanging="480" w:hangingChars="200"/>
      </w:pPr>
      <w:r>
        <w:t>P—设计重现期（年）</w:t>
      </w:r>
      <w:r>
        <w:rPr>
          <w:rFonts w:hint="eastAsia"/>
        </w:rPr>
        <w:t>，P取10年。</w:t>
      </w:r>
    </w:p>
    <w:p w14:paraId="54AE3D08">
      <w:pPr>
        <w:ind w:firstLine="480"/>
      </w:pPr>
      <w:r>
        <w:rPr>
          <w:rFonts w:hint="eastAsia"/>
        </w:rPr>
        <w:t>经计算，</w:t>
      </w:r>
      <w:r>
        <w:t>暴雨强度为</w:t>
      </w:r>
      <w:r>
        <w:rPr>
          <w:rFonts w:hint="eastAsia"/>
        </w:rPr>
        <w:t>87.71</w:t>
      </w:r>
      <w:r>
        <w:t>L/（s·ha）。</w:t>
      </w:r>
    </w:p>
    <w:p w14:paraId="4BB36A7F">
      <w:pPr>
        <w:ind w:firstLine="480"/>
      </w:pPr>
      <w:r>
        <w:t>雨水流量按下式计算：</w:t>
      </w:r>
    </w:p>
    <w:p w14:paraId="65228C0D">
      <w:pPr>
        <w:ind w:firstLine="0" w:firstLineChars="0"/>
        <w:jc w:val="center"/>
      </w:pPr>
      <w:r>
        <w:t>Q=q</w:t>
      </w:r>
      <w:r>
        <w:rPr>
          <w:rFonts w:hint="eastAsia" w:ascii="宋体" w:hAnsi="宋体" w:eastAsia="宋体"/>
        </w:rPr>
        <w:t>•</w:t>
      </w:r>
      <w:r>
        <w:rPr>
          <w:rFonts w:hint="eastAsia" w:ascii="仿宋_GB2312" w:cs="仿宋_GB2312"/>
        </w:rPr>
        <w:t>ψ</w:t>
      </w:r>
      <w:r>
        <w:rPr>
          <w:rFonts w:hint="eastAsia" w:ascii="宋体" w:hAnsi="宋体" w:eastAsia="宋体"/>
        </w:rPr>
        <w:t>•</w:t>
      </w:r>
      <w:r>
        <w:t>F</w:t>
      </w:r>
    </w:p>
    <w:p w14:paraId="17C55AD9">
      <w:pPr>
        <w:ind w:firstLine="480"/>
      </w:pPr>
      <w:r>
        <w:rPr>
          <w:rFonts w:hint="eastAsia"/>
        </w:rPr>
        <w:t>式中：</w:t>
      </w:r>
      <w:r>
        <w:t>Q─雨水设计流量（l/s）；</w:t>
      </w:r>
    </w:p>
    <w:p w14:paraId="5F6DCA58">
      <w:pPr>
        <w:ind w:left="1680" w:leftChars="500" w:hanging="480" w:hangingChars="200"/>
      </w:pPr>
      <w:r>
        <w:t>ψ─径流系数，取ψ=0.3；</w:t>
      </w:r>
    </w:p>
    <w:p w14:paraId="3A870B26">
      <w:pPr>
        <w:ind w:left="1680" w:leftChars="500" w:hanging="480" w:hangingChars="200"/>
      </w:pPr>
      <w:r>
        <w:t>F─汇水面积（ha），汇水面积取矿区面积</w:t>
      </w:r>
      <w:r>
        <w:rPr>
          <w:rFonts w:hint="eastAsia"/>
        </w:rPr>
        <w:t>，本项目开采区汇水面积</w:t>
      </w:r>
      <w:r>
        <w:rPr>
          <w:rFonts w:hAnsi="Times New Roman" w:cs="Times New Roman"/>
        </w:rPr>
        <w:t>11</w:t>
      </w:r>
      <w:r>
        <w:rPr>
          <w:rFonts w:hint="eastAsia" w:hAnsi="Times New Roman" w:cs="Times New Roman"/>
        </w:rPr>
        <w:t>.</w:t>
      </w:r>
      <w:r>
        <w:rPr>
          <w:rFonts w:hAnsi="Times New Roman" w:cs="Times New Roman"/>
        </w:rPr>
        <w:t>01</w:t>
      </w:r>
      <w:r>
        <w:t xml:space="preserve"> ha</w:t>
      </w:r>
      <w:r>
        <w:rPr>
          <w:rFonts w:hint="eastAsia"/>
        </w:rPr>
        <w:t>。</w:t>
      </w:r>
    </w:p>
    <w:p w14:paraId="278FF85F">
      <w:pPr>
        <w:ind w:left="1680" w:leftChars="500" w:hanging="480" w:hangingChars="200"/>
      </w:pPr>
      <w:r>
        <w:t>q-暴雨量，L/s</w:t>
      </w:r>
      <w:r>
        <w:rPr>
          <w:rFonts w:hint="eastAsia" w:ascii="宋体" w:hAnsi="宋体" w:eastAsia="宋体"/>
        </w:rPr>
        <w:t>•</w:t>
      </w:r>
      <w:r>
        <w:t>ha；</w:t>
      </w:r>
    </w:p>
    <w:p w14:paraId="351792FE">
      <w:pPr>
        <w:ind w:firstLine="480"/>
      </w:pPr>
      <w:r>
        <w:rPr>
          <w:rFonts w:hint="eastAsia"/>
        </w:rPr>
        <w:t>经计算，本项目开采区雨水量为</w:t>
      </w:r>
      <w:r>
        <w:t>289.7</w:t>
      </w:r>
      <w:r>
        <w:rPr>
          <w:rFonts w:hint="eastAsia"/>
        </w:rPr>
        <w:t>L/s，</w:t>
      </w:r>
      <w:r>
        <w:t>暴雨情况下，</w:t>
      </w:r>
      <w:r>
        <w:rPr>
          <w:rFonts w:hint="eastAsia"/>
        </w:rPr>
        <w:t>30</w:t>
      </w:r>
      <w:r>
        <w:t>min汇水量为521.4</w:t>
      </w:r>
      <w:r>
        <w:rPr>
          <w:rFonts w:hint="eastAsia"/>
        </w:rPr>
        <w:t>7</w:t>
      </w:r>
      <w:r>
        <w:t>m</w:t>
      </w:r>
      <w:r>
        <w:rPr>
          <w:vertAlign w:val="superscript"/>
        </w:rPr>
        <w:t>3</w:t>
      </w:r>
      <w:r>
        <w:rPr>
          <w:rFonts w:hint="eastAsia"/>
        </w:rPr>
        <w:t>。最大节水量为521.47m</w:t>
      </w:r>
      <w:r>
        <w:rPr>
          <w:rFonts w:hint="eastAsia"/>
          <w:vertAlign w:val="superscript"/>
        </w:rPr>
        <w:t>3</w:t>
      </w:r>
      <w:r>
        <w:rPr>
          <w:rFonts w:hint="eastAsia"/>
        </w:rPr>
        <w:t>/次，生产期按5次计，则总节水量为2607.4m</w:t>
      </w:r>
      <w:r>
        <w:rPr>
          <w:rFonts w:hint="eastAsia"/>
          <w:vertAlign w:val="superscript"/>
        </w:rPr>
        <w:t>3</w:t>
      </w:r>
      <w:r>
        <w:rPr>
          <w:rFonts w:hint="eastAsia"/>
        </w:rPr>
        <w:t>。</w:t>
      </w:r>
    </w:p>
    <w:p w14:paraId="504B82DC">
      <w:pPr>
        <w:ind w:firstLine="480"/>
      </w:pPr>
      <w:r>
        <w:rPr>
          <w:rFonts w:hint="eastAsia"/>
        </w:rPr>
        <w:t>矿区内设导流渠，矿区汇水经导流渠汇入贮水池，收集后用于生产过程降尘。根据汇水量的1.2倍设计冗余，因此本项目设置630m</w:t>
      </w:r>
      <w:r>
        <w:rPr>
          <w:rFonts w:hint="eastAsia"/>
          <w:vertAlign w:val="superscript"/>
        </w:rPr>
        <w:t>3</w:t>
      </w:r>
      <w:r>
        <w:rPr>
          <w:rFonts w:hint="eastAsia"/>
        </w:rPr>
        <w:t>贮水池收集矿区雨水。</w:t>
      </w:r>
    </w:p>
    <w:p w14:paraId="6C164F9F">
      <w:pPr>
        <w:ind w:firstLine="480"/>
      </w:pPr>
      <w:r>
        <w:t>本项目在</w:t>
      </w:r>
      <w:r>
        <w:rPr>
          <w:rFonts w:hint="eastAsia"/>
        </w:rPr>
        <w:t>矿区四周</w:t>
      </w:r>
      <w:r>
        <w:t>设置</w:t>
      </w:r>
      <w:r>
        <w:rPr>
          <w:rFonts w:hint="eastAsia"/>
        </w:rPr>
        <w:t>截洪沟</w:t>
      </w:r>
      <w:r>
        <w:t>，</w:t>
      </w:r>
      <w:r>
        <w:rPr>
          <w:rFonts w:hint="eastAsia"/>
        </w:rPr>
        <w:t>截洪沟</w:t>
      </w:r>
      <w:r>
        <w:t>排水导出矿区外，汇入周边</w:t>
      </w:r>
      <w:r>
        <w:rPr>
          <w:rFonts w:hint="eastAsia"/>
        </w:rPr>
        <w:t>林地。</w:t>
      </w:r>
    </w:p>
    <w:p w14:paraId="64082A63">
      <w:pPr>
        <w:ind w:firstLine="482"/>
        <w:rPr>
          <w:b/>
        </w:rPr>
      </w:pPr>
      <w:r>
        <w:rPr>
          <w:rFonts w:hint="eastAsia"/>
          <w:b/>
        </w:rPr>
        <w:t>3、排水</w:t>
      </w:r>
    </w:p>
    <w:p w14:paraId="4D15683F">
      <w:pPr>
        <w:ind w:firstLine="480"/>
      </w:pPr>
      <w:r>
        <w:rPr>
          <w:rFonts w:hint="eastAsia"/>
        </w:rPr>
        <w:t>本项目喷淋降尘用水全部损耗，无生产废水排放，项目废水主要为生活污水，</w:t>
      </w:r>
      <w:r>
        <w:t>本项目生活污水产生量按用水量的80%计，生活污水排放量为</w:t>
      </w:r>
      <w:r>
        <w:rPr>
          <w:rFonts w:hint="eastAsia"/>
        </w:rPr>
        <w:t>1.28</w:t>
      </w:r>
      <w:r>
        <w:t>t/d，</w:t>
      </w:r>
      <w:r>
        <w:rPr>
          <w:rFonts w:hint="eastAsia"/>
        </w:rPr>
        <w:t>230.4</w:t>
      </w:r>
      <w:r>
        <w:t>t/a，生活污水排入防渗旱厕，定期清掏，外运堆肥。</w:t>
      </w:r>
    </w:p>
    <w:p w14:paraId="3EEBE4BC">
      <w:pPr>
        <w:ind w:firstLine="480"/>
      </w:pPr>
      <w:r>
        <w:t>具体用排水平衡见表3.1-</w:t>
      </w:r>
      <w:r>
        <w:rPr>
          <w:rFonts w:hint="eastAsia"/>
        </w:rPr>
        <w:t>9</w:t>
      </w:r>
      <w:r>
        <w:t>，本项目水平衡图见图3.1-</w:t>
      </w:r>
      <w:r>
        <w:rPr>
          <w:rFonts w:hint="eastAsia"/>
        </w:rPr>
        <w:t>3</w:t>
      </w:r>
      <w:r>
        <w:t>。</w:t>
      </w:r>
    </w:p>
    <w:p w14:paraId="5EF429AE">
      <w:pPr>
        <w:pStyle w:val="178"/>
      </w:pPr>
      <w:r>
        <w:t>表3.1-</w:t>
      </w:r>
      <w:r>
        <w:rPr>
          <w:rFonts w:hint="eastAsia"/>
        </w:rPr>
        <w:t>9</w:t>
      </w:r>
      <w:r>
        <w:t xml:space="preserve">  项目用排水情况</w:t>
      </w:r>
    </w:p>
    <w:tbl>
      <w:tblPr>
        <w:tblStyle w:val="36"/>
        <w:tblW w:w="8686" w:type="dxa"/>
        <w:jc w:val="center"/>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Layout w:type="autofit"/>
        <w:tblCellMar>
          <w:top w:w="0" w:type="dxa"/>
          <w:left w:w="108" w:type="dxa"/>
          <w:bottom w:w="0" w:type="dxa"/>
          <w:right w:w="108" w:type="dxa"/>
        </w:tblCellMar>
      </w:tblPr>
      <w:tblGrid>
        <w:gridCol w:w="766"/>
        <w:gridCol w:w="1548"/>
        <w:gridCol w:w="2835"/>
        <w:gridCol w:w="3537"/>
      </w:tblGrid>
      <w:tr w14:paraId="7B8DB5BB">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766" w:type="dxa"/>
            <w:vAlign w:val="center"/>
          </w:tcPr>
          <w:p w14:paraId="33EF02BE">
            <w:pPr>
              <w:pStyle w:val="179"/>
              <w:rPr>
                <w:b/>
              </w:rPr>
            </w:pPr>
            <w:r>
              <w:rPr>
                <w:b/>
              </w:rPr>
              <w:t>序号</w:t>
            </w:r>
          </w:p>
        </w:tc>
        <w:tc>
          <w:tcPr>
            <w:tcW w:w="1548" w:type="dxa"/>
            <w:vAlign w:val="center"/>
          </w:tcPr>
          <w:p w14:paraId="005A03AB">
            <w:pPr>
              <w:pStyle w:val="179"/>
              <w:rPr>
                <w:b/>
              </w:rPr>
            </w:pPr>
            <w:r>
              <w:rPr>
                <w:b/>
              </w:rPr>
              <w:t>用水工序</w:t>
            </w:r>
          </w:p>
        </w:tc>
        <w:tc>
          <w:tcPr>
            <w:tcW w:w="2835" w:type="dxa"/>
            <w:vAlign w:val="center"/>
          </w:tcPr>
          <w:p w14:paraId="623684D1">
            <w:pPr>
              <w:pStyle w:val="179"/>
              <w:rPr>
                <w:b/>
              </w:rPr>
            </w:pPr>
            <w:r>
              <w:rPr>
                <w:b/>
              </w:rPr>
              <w:t>用水量</w:t>
            </w:r>
          </w:p>
        </w:tc>
        <w:tc>
          <w:tcPr>
            <w:tcW w:w="3537" w:type="dxa"/>
            <w:vAlign w:val="center"/>
          </w:tcPr>
          <w:p w14:paraId="777D92BA">
            <w:pPr>
              <w:pStyle w:val="179"/>
              <w:rPr>
                <w:b/>
              </w:rPr>
            </w:pPr>
            <w:r>
              <w:rPr>
                <w:b/>
              </w:rPr>
              <w:t>排水量去向</w:t>
            </w:r>
          </w:p>
        </w:tc>
      </w:tr>
      <w:tr w14:paraId="0C402A65">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766" w:type="dxa"/>
            <w:vAlign w:val="center"/>
          </w:tcPr>
          <w:p w14:paraId="55264FE7">
            <w:pPr>
              <w:pStyle w:val="179"/>
            </w:pPr>
            <w:r>
              <w:t>1</w:t>
            </w:r>
          </w:p>
        </w:tc>
        <w:tc>
          <w:tcPr>
            <w:tcW w:w="1548" w:type="dxa"/>
            <w:vAlign w:val="center"/>
          </w:tcPr>
          <w:p w14:paraId="4F9DE55E">
            <w:pPr>
              <w:pStyle w:val="179"/>
            </w:pPr>
            <w:r>
              <w:rPr>
                <w:rFonts w:hint="eastAsia"/>
              </w:rPr>
              <w:t>矿区降尘用水</w:t>
            </w:r>
          </w:p>
        </w:tc>
        <w:tc>
          <w:tcPr>
            <w:tcW w:w="2835" w:type="dxa"/>
            <w:vAlign w:val="center"/>
          </w:tcPr>
          <w:p w14:paraId="500BC6C3">
            <w:pPr>
              <w:pStyle w:val="179"/>
            </w:pPr>
            <w:r>
              <w:rPr>
                <w:rFonts w:hint="eastAsia"/>
              </w:rPr>
              <w:t>2.0L</w:t>
            </w:r>
            <w:r>
              <w:t>/</w:t>
            </w:r>
            <w:r>
              <w:rPr>
                <w:rFonts w:hint="eastAsia"/>
              </w:rPr>
              <w:t>m</w:t>
            </w:r>
            <w:r>
              <w:rPr>
                <w:rFonts w:hint="eastAsia"/>
                <w:vertAlign w:val="superscript"/>
              </w:rPr>
              <w:t>2</w:t>
            </w:r>
            <w:r>
              <w:t>·d，</w:t>
            </w:r>
            <w:r>
              <w:rPr>
                <w:rFonts w:hint="eastAsia"/>
              </w:rPr>
              <w:t>22</w:t>
            </w:r>
            <w:r>
              <w:t>m</w:t>
            </w:r>
            <w:r>
              <w:rPr>
                <w:vertAlign w:val="superscript"/>
              </w:rPr>
              <w:t>3</w:t>
            </w:r>
            <w:r>
              <w:t>/</w:t>
            </w:r>
            <w:r>
              <w:rPr>
                <w:rFonts w:hint="eastAsia"/>
              </w:rPr>
              <w:t>d，3960</w:t>
            </w:r>
            <w:r>
              <w:t>m</w:t>
            </w:r>
            <w:r>
              <w:rPr>
                <w:vertAlign w:val="superscript"/>
              </w:rPr>
              <w:t>3</w:t>
            </w:r>
            <w:r>
              <w:t>/a</w:t>
            </w:r>
          </w:p>
        </w:tc>
        <w:tc>
          <w:tcPr>
            <w:tcW w:w="3537" w:type="dxa"/>
            <w:vAlign w:val="center"/>
          </w:tcPr>
          <w:p w14:paraId="19BA3F34">
            <w:pPr>
              <w:pStyle w:val="179"/>
            </w:pPr>
            <w:r>
              <w:t>蒸发消耗</w:t>
            </w:r>
          </w:p>
        </w:tc>
      </w:tr>
      <w:tr w14:paraId="5A476ECB">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766" w:type="dxa"/>
            <w:vAlign w:val="center"/>
          </w:tcPr>
          <w:p w14:paraId="0102575B">
            <w:pPr>
              <w:pStyle w:val="179"/>
            </w:pPr>
            <w:r>
              <w:rPr>
                <w:rFonts w:hint="eastAsia"/>
              </w:rPr>
              <w:t>2</w:t>
            </w:r>
          </w:p>
        </w:tc>
        <w:tc>
          <w:tcPr>
            <w:tcW w:w="1548" w:type="dxa"/>
            <w:vAlign w:val="center"/>
          </w:tcPr>
          <w:p w14:paraId="299B8DA5">
            <w:pPr>
              <w:pStyle w:val="179"/>
            </w:pPr>
            <w:r>
              <w:t>职工生活</w:t>
            </w:r>
          </w:p>
        </w:tc>
        <w:tc>
          <w:tcPr>
            <w:tcW w:w="2835" w:type="dxa"/>
            <w:vAlign w:val="center"/>
          </w:tcPr>
          <w:p w14:paraId="3BD1665A">
            <w:pPr>
              <w:pStyle w:val="179"/>
            </w:pPr>
            <w:r>
              <w:rPr>
                <w:rFonts w:hint="eastAsia"/>
              </w:rPr>
              <w:t>1.6</w:t>
            </w:r>
            <w:r>
              <w:t>m</w:t>
            </w:r>
            <w:r>
              <w:rPr>
                <w:vertAlign w:val="superscript"/>
              </w:rPr>
              <w:t>3</w:t>
            </w:r>
            <w:r>
              <w:t>/d，</w:t>
            </w:r>
            <w:r>
              <w:rPr>
                <w:rFonts w:hint="eastAsia"/>
              </w:rPr>
              <w:t>288</w:t>
            </w:r>
            <w:r>
              <w:t>m</w:t>
            </w:r>
            <w:r>
              <w:rPr>
                <w:vertAlign w:val="superscript"/>
              </w:rPr>
              <w:t>3</w:t>
            </w:r>
            <w:r>
              <w:t>/a</w:t>
            </w:r>
          </w:p>
        </w:tc>
        <w:tc>
          <w:tcPr>
            <w:tcW w:w="3537" w:type="dxa"/>
            <w:vAlign w:val="center"/>
          </w:tcPr>
          <w:p w14:paraId="7BB19A85">
            <w:pPr>
              <w:pStyle w:val="179"/>
            </w:pPr>
            <w:r>
              <w:rPr>
                <w:rFonts w:hint="eastAsia"/>
              </w:rPr>
              <w:t>1.28</w:t>
            </w:r>
            <w:r>
              <w:t>m</w:t>
            </w:r>
            <w:r>
              <w:rPr>
                <w:vertAlign w:val="superscript"/>
              </w:rPr>
              <w:t>3</w:t>
            </w:r>
            <w:r>
              <w:t>/d，</w:t>
            </w:r>
            <w:r>
              <w:rPr>
                <w:rFonts w:hint="eastAsia"/>
              </w:rPr>
              <w:t>230.4</w:t>
            </w:r>
            <w:r>
              <w:t>m</w:t>
            </w:r>
            <w:r>
              <w:rPr>
                <w:vertAlign w:val="superscript"/>
              </w:rPr>
              <w:t>3</w:t>
            </w:r>
            <w:r>
              <w:t>/a</w:t>
            </w:r>
          </w:p>
          <w:p w14:paraId="19A43989">
            <w:pPr>
              <w:pStyle w:val="179"/>
            </w:pPr>
            <w:r>
              <w:t>排入防渗旱厕，定期清掏，外运堆肥</w:t>
            </w:r>
          </w:p>
        </w:tc>
      </w:tr>
    </w:tbl>
    <w:p w14:paraId="535B093A">
      <w:pPr>
        <w:pStyle w:val="179"/>
      </w:pPr>
      <w:r>
        <w:pict>
          <v:group id="_x0000_s1149" o:spid="_x0000_s1149" o:spt="203" style="height:162.85pt;width:415.65pt;" coordorigin="1797,11306" coordsize="8313,3257203" editas="canvas">
            <o:lock v:ext="edit"/>
            <v:shape id="_x0000_s1148" o:spid="_x0000_s1148" o:spt="75" type="#_x0000_t75" style="position:absolute;left:1797;top:11306;height:3257203;width:8313;" filled="f" o:preferrelative="f" stroked="f" coordsize="21600,21600">
              <v:fill on="f" focussize="0,0"/>
              <v:stroke on="f" joinstyle="miter"/>
              <v:imagedata o:title=""/>
              <o:lock v:ext="edit" text="t" aspectratio="t"/>
            </v:shape>
            <v:rect id="_x0000_s1170" o:spid="_x0000_s1170" o:spt="1" style="position:absolute;left:1975;top:12059;height:455;width:1134;" coordsize="21600,21600">
              <v:path/>
              <v:fill focussize="0,0"/>
              <v:stroke/>
              <v:imagedata o:title=""/>
              <o:lock v:ext="edit"/>
              <v:textbox>
                <w:txbxContent>
                  <w:p w14:paraId="799450CD">
                    <w:pPr>
                      <w:pStyle w:val="179"/>
                    </w:pPr>
                    <w:r>
                      <w:t>新鲜水</w:t>
                    </w:r>
                  </w:p>
                </w:txbxContent>
              </v:textbox>
            </v:rect>
            <v:rect id="_x0000_s1171" o:spid="_x0000_s1171" o:spt="1" style="position:absolute;left:2007;top:13775;height:454;width:1345;" coordsize="21600,21600">
              <v:path/>
              <v:fill focussize="0,0"/>
              <v:stroke/>
              <v:imagedata o:title=""/>
              <o:lock v:ext="edit"/>
              <v:textbox>
                <w:txbxContent>
                  <w:p w14:paraId="40AB6ADA">
                    <w:pPr>
                      <w:pStyle w:val="179"/>
                    </w:pPr>
                    <w:r>
                      <w:rPr>
                        <w:rFonts w:hint="eastAsia"/>
                      </w:rPr>
                      <w:t>矿区</w:t>
                    </w:r>
                    <w:r>
                      <w:t>汇水</w:t>
                    </w:r>
                  </w:p>
                </w:txbxContent>
              </v:textbox>
            </v:rect>
            <v:rect id="_x0000_s1172" o:spid="_x0000_s1172" o:spt="1" style="position:absolute;left:4800;top:12058;height:455;width:1717;" coordsize="21600,21600">
              <v:path/>
              <v:fill focussize="0,0"/>
              <v:stroke/>
              <v:imagedata o:title=""/>
              <o:lock v:ext="edit"/>
              <v:textbox>
                <w:txbxContent>
                  <w:p w14:paraId="4590BF45">
                    <w:pPr>
                      <w:pStyle w:val="179"/>
                    </w:pPr>
                    <w:r>
                      <w:rPr>
                        <w:rFonts w:hint="eastAsia"/>
                      </w:rPr>
                      <w:t>生活用水</w:t>
                    </w:r>
                  </w:p>
                </w:txbxContent>
              </v:textbox>
            </v:rect>
            <v:rect id="_x0000_s1173" o:spid="_x0000_s1173" o:spt="1" style="position:absolute;left:4800;top:13210;height:455;width:1717;" coordsize="21600,21600">
              <v:path/>
              <v:fill focussize="0,0"/>
              <v:stroke/>
              <v:imagedata o:title=""/>
              <o:lock v:ext="edit"/>
              <v:textbox>
                <w:txbxContent>
                  <w:p w14:paraId="48C9A25D">
                    <w:pPr>
                      <w:pStyle w:val="179"/>
                    </w:pPr>
                    <w:r>
                      <w:rPr>
                        <w:rFonts w:hint="eastAsia"/>
                      </w:rPr>
                      <w:t>矿区降尘用水</w:t>
                    </w:r>
                  </w:p>
                  <w:p w14:paraId="5061B8F7">
                    <w:pPr>
                      <w:ind w:firstLine="480"/>
                    </w:pPr>
                  </w:p>
                  <w:p w14:paraId="017B1087">
                    <w:pPr>
                      <w:pStyle w:val="179"/>
                    </w:pPr>
                    <w:r>
                      <w:rPr>
                        <w:rFonts w:hint="eastAsia"/>
                      </w:rPr>
                      <w:t>生活用水</w:t>
                    </w:r>
                  </w:p>
                </w:txbxContent>
              </v:textbox>
            </v:rect>
            <v:shape id="_x0000_s1175" o:spid="_x0000_s1175" o:spt="32" type="#_x0000_t32" style="position:absolute;left:3109;top:12286;flip:y;height:1;width:1691;" o:connectortype="straight" filled="f" coordsize="21600,21600">
              <v:path arrowok="t"/>
              <v:fill on="f" focussize="0,0"/>
              <v:stroke endarrow="block"/>
              <v:imagedata o:title=""/>
              <o:lock v:ext="edit"/>
            </v:shape>
            <v:shape id="_x0000_s1176" o:spid="_x0000_s1176" o:spt="32" type="#_x0000_t32" style="position:absolute;left:3836;top:13437;height:1;width:964;" o:connectortype="straight" filled="f" coordsize="21600,21600">
              <v:path arrowok="t"/>
              <v:fill on="f" focussize="0,0"/>
              <v:stroke endarrow="block"/>
              <v:imagedata o:title=""/>
              <o:lock v:ext="edit"/>
            </v:shape>
            <v:shape id="_x0000_s1177" o:spid="_x0000_s1177" o:spt="32" type="#_x0000_t32" style="position:absolute;left:6517;top:12286;height:1;width:1034;" o:connectortype="straight" filled="f" coordsize="21600,21600">
              <v:path arrowok="t"/>
              <v:fill on="f" focussize="0,0"/>
              <v:stroke endarrow="block"/>
              <v:imagedata o:title=""/>
              <o:lock v:ext="edit"/>
            </v:shape>
            <v:rect id="_x0000_s1178" o:spid="_x0000_s1178" o:spt="1" style="position:absolute;left:7551;top:12058;height:456;width:2250;" coordsize="21600,21600">
              <v:path/>
              <v:fill focussize="0,0"/>
              <v:stroke/>
              <v:imagedata o:title=""/>
              <o:lock v:ext="edit"/>
              <v:textbox>
                <w:txbxContent>
                  <w:p w14:paraId="6327CF39">
                    <w:pPr>
                      <w:pStyle w:val="179"/>
                    </w:pPr>
                    <w:r>
                      <w:rPr>
                        <w:rFonts w:hint="eastAsia"/>
                      </w:rPr>
                      <w:t>防渗旱厕，定期清掏</w:t>
                    </w:r>
                  </w:p>
                </w:txbxContent>
              </v:textbox>
            </v:rect>
            <v:shape id="_x0000_s1179" o:spid="_x0000_s1179" o:spt="32" type="#_x0000_t32" style="position:absolute;left:6517;top:13436;flip:y;height:1;width:942;" o:connectortype="straight" filled="f" coordsize="21600,21600">
              <v:path arrowok="t"/>
              <v:fill on="f" focussize="0,0"/>
              <v:stroke dashstyle="dash" endarrow="block"/>
              <v:imagedata o:title=""/>
              <o:lock v:ext="edit"/>
            </v:shape>
            <v:rect id="_x0000_s1180" o:spid="_x0000_s1180" o:spt="1" style="position:absolute;left:7459;top:13210;height:457;width:1447;" filled="f" stroked="f" coordsize="21600,21600">
              <v:path/>
              <v:fill on="f" focussize="0,0"/>
              <v:stroke on="f"/>
              <v:imagedata o:title=""/>
              <o:lock v:ext="edit"/>
              <v:textbox>
                <w:txbxContent>
                  <w:p w14:paraId="1057BE71">
                    <w:pPr>
                      <w:pStyle w:val="179"/>
                    </w:pPr>
                    <w:r>
                      <w:rPr>
                        <w:rFonts w:hint="eastAsia"/>
                      </w:rPr>
                      <w:t>蒸发损耗</w:t>
                    </w:r>
                  </w:p>
                </w:txbxContent>
              </v:textbox>
            </v:rect>
            <v:shape id="_x0000_s1181" o:spid="_x0000_s1181" o:spt="32" type="#_x0000_t32" style="position:absolute;left:5659;top:11618;flip:y;height:440;width:615;" o:connectortype="straight" filled="f" coordsize="21600,21600">
              <v:path arrowok="t"/>
              <v:fill on="f" focussize="0,0"/>
              <v:stroke dashstyle="dash" endarrow="block"/>
              <v:imagedata o:title=""/>
              <o:lock v:ext="edit"/>
            </v:shape>
            <v:rect id="_x0000_s1182" o:spid="_x0000_s1182" o:spt="1" style="position:absolute;left:5293;top:11547;height:456;width:974;" filled="f" stroked="f" coordsize="21600,21600">
              <v:path/>
              <v:fill on="f" focussize="0,0"/>
              <v:stroke on="f"/>
              <v:imagedata o:title=""/>
              <o:lock v:ext="edit"/>
              <v:textbox>
                <w:txbxContent>
                  <w:p w14:paraId="1D187533">
                    <w:pPr>
                      <w:pStyle w:val="179"/>
                    </w:pPr>
                    <w:r>
                      <w:rPr>
                        <w:rFonts w:hint="eastAsia"/>
                      </w:rPr>
                      <w:t>0.32</w:t>
                    </w:r>
                  </w:p>
                </w:txbxContent>
              </v:textbox>
            </v:rect>
            <v:rect id="_x0000_s1183" o:spid="_x0000_s1183" o:spt="1" style="position:absolute;left:4014;top:11924;height:456;width:640;" filled="f" stroked="f" coordsize="21600,21600">
              <v:path/>
              <v:fill on="f" focussize="0,0"/>
              <v:stroke on="f"/>
              <v:imagedata o:title=""/>
              <o:lock v:ext="edit"/>
              <v:textbox>
                <w:txbxContent>
                  <w:p w14:paraId="795D5E6A">
                    <w:pPr>
                      <w:pStyle w:val="179"/>
                    </w:pPr>
                    <w:r>
                      <w:rPr>
                        <w:rFonts w:hint="eastAsia"/>
                      </w:rPr>
                      <w:t>1.6</w:t>
                    </w:r>
                  </w:p>
                </w:txbxContent>
              </v:textbox>
            </v:rect>
            <v:rect id="_x0000_s1184" o:spid="_x0000_s1184" o:spt="1" style="position:absolute;left:6577;top:11924;height:456;width:974;" filled="f" stroked="f" coordsize="21600,21600">
              <v:path/>
              <v:fill on="f" focussize="0,0"/>
              <v:stroke on="f"/>
              <v:imagedata o:title=""/>
              <o:lock v:ext="edit"/>
              <v:textbox>
                <w:txbxContent>
                  <w:p w14:paraId="4528D540">
                    <w:pPr>
                      <w:pStyle w:val="179"/>
                    </w:pPr>
                    <w:r>
                      <w:rPr>
                        <w:rFonts w:hint="eastAsia"/>
                      </w:rPr>
                      <w:t>1.28</w:t>
                    </w:r>
                  </w:p>
                </w:txbxContent>
              </v:textbox>
            </v:rect>
            <v:rect id="_x0000_s1185" o:spid="_x0000_s1185" o:spt="1" style="position:absolute;left:3820;top:13667;height:456;width:974;" filled="f" stroked="f" coordsize="21600,21600">
              <v:path/>
              <v:fill on="f" focussize="0,0"/>
              <v:stroke on="f"/>
              <v:imagedata o:title=""/>
              <o:lock v:ext="edit"/>
              <v:textbox>
                <w:txbxContent>
                  <w:p w14:paraId="0D245909">
                    <w:pPr>
                      <w:pStyle w:val="179"/>
                    </w:pPr>
                    <w:r>
                      <w:t>14.48</w:t>
                    </w:r>
                  </w:p>
                </w:txbxContent>
              </v:textbox>
            </v:rect>
            <v:rect id="_x0000_s1186" o:spid="_x0000_s1186" o:spt="1" style="position:absolute;left:3869;top:13071;height:456;width:974;" filled="f" stroked="f" coordsize="21600,21600">
              <v:path/>
              <v:fill on="f" focussize="0,0"/>
              <v:stroke on="f"/>
              <v:imagedata o:title=""/>
              <o:lock v:ext="edit"/>
              <v:textbox>
                <w:txbxContent>
                  <w:p w14:paraId="66CD62C8">
                    <w:pPr>
                      <w:pStyle w:val="179"/>
                    </w:pPr>
                    <w:r>
                      <w:t>7.52</w:t>
                    </w:r>
                  </w:p>
                </w:txbxContent>
              </v:textbox>
            </v:rect>
            <v:rect id="_x0000_s1187" o:spid="_x0000_s1187" o:spt="1" style="position:absolute;left:2943;top:11924;height:456;width:974;" filled="f" stroked="f" coordsize="21600,21600">
              <v:path/>
              <v:fill on="f" focussize="0,0"/>
              <v:stroke on="f"/>
              <v:imagedata o:title=""/>
              <o:lock v:ext="edit"/>
              <v:textbox>
                <w:txbxContent>
                  <w:p w14:paraId="0802EA31">
                    <w:pPr>
                      <w:pStyle w:val="179"/>
                    </w:pPr>
                    <w:r>
                      <w:rPr>
                        <w:rFonts w:hint="eastAsia"/>
                      </w:rPr>
                      <w:t>9.12</w:t>
                    </w:r>
                  </w:p>
                </w:txbxContent>
              </v:textbox>
            </v:rect>
            <v:shape id="_x0000_s1188" o:spid="_x0000_s1188" o:spt="32" type="#_x0000_t32" style="position:absolute;left:3352;top:14002;height:1;width:1871;" o:connectortype="straight" filled="f" coordsize="21600,21600">
              <v:path arrowok="t"/>
              <v:fill on="f" focussize="0,0"/>
              <v:stroke/>
              <v:imagedata o:title=""/>
              <o:lock v:ext="edit"/>
            </v:shape>
            <v:shape id="_x0000_s1189" o:spid="_x0000_s1189" o:spt="32" type="#_x0000_t32" style="position:absolute;left:5220;top:13665;flip:y;height:337;width:1;" o:connectortype="straight" filled="f" coordsize="21600,21600">
              <v:path arrowok="t"/>
              <v:fill on="f" focussize="0,0"/>
              <v:stroke endarrow="block"/>
              <v:imagedata o:title=""/>
              <o:lock v:ext="edit"/>
            </v:shape>
            <v:shape id="_x0000_s1190" o:spid="_x0000_s1190" o:spt="32" type="#_x0000_t32" style="position:absolute;left:3836;top:12286;height:1134;width:1;" o:connectortype="straight" filled="f" coordsize="21600,21600">
              <v:path arrowok="t"/>
              <v:fill on="f" focussize="0,0"/>
              <v:stroke/>
              <v:imagedata o:title=""/>
              <o:lock v:ext="edit"/>
            </v:shape>
            <v:rect id="_x0000_s1191" o:spid="_x0000_s1191" o:spt="1" style="position:absolute;left:6485;top:13071;height:456;width:974;" filled="f" stroked="f" coordsize="21600,21600">
              <v:path/>
              <v:fill on="f" focussize="0,0"/>
              <v:stroke on="f"/>
              <v:imagedata o:title=""/>
              <o:lock v:ext="edit"/>
              <v:textbox>
                <w:txbxContent>
                  <w:p w14:paraId="11E2A30D">
                    <w:pPr>
                      <w:pStyle w:val="179"/>
                    </w:pPr>
                    <w:r>
                      <w:rPr>
                        <w:rFonts w:hint="eastAsia"/>
                      </w:rPr>
                      <w:t>22</w:t>
                    </w:r>
                  </w:p>
                </w:txbxContent>
              </v:textbox>
            </v:rect>
            <w10:wrap type="none"/>
            <w10:anchorlock/>
          </v:group>
        </w:pict>
      </w:r>
    </w:p>
    <w:p w14:paraId="1E9ABA85">
      <w:pPr>
        <w:pStyle w:val="178"/>
        <w:jc w:val="right"/>
      </w:pPr>
      <w:r>
        <w:t>图3.</w:t>
      </w:r>
      <w:r>
        <w:rPr>
          <w:rFonts w:hint="eastAsia"/>
        </w:rPr>
        <w:t>3</w:t>
      </w:r>
      <w:r>
        <w:t>-</w:t>
      </w:r>
      <w:r>
        <w:rPr>
          <w:rFonts w:hint="eastAsia"/>
        </w:rPr>
        <w:t xml:space="preserve">3  </w:t>
      </w:r>
      <w:r>
        <w:t xml:space="preserve">本项目水平衡图 </w:t>
      </w:r>
      <w:r>
        <w:rPr>
          <w:rFonts w:hint="eastAsia"/>
        </w:rPr>
        <w:t xml:space="preserve">            </w:t>
      </w:r>
      <w:r>
        <w:t xml:space="preserve"> 单位m</w:t>
      </w:r>
      <w:r>
        <w:rPr>
          <w:vertAlign w:val="superscript"/>
        </w:rPr>
        <w:t>3</w:t>
      </w:r>
      <w:r>
        <w:t>/d</w:t>
      </w:r>
    </w:p>
    <w:p w14:paraId="6AE39DE4">
      <w:pPr>
        <w:pStyle w:val="4"/>
        <w:spacing w:before="234" w:after="156"/>
      </w:pPr>
      <w:r>
        <w:t>供电</w:t>
      </w:r>
    </w:p>
    <w:p w14:paraId="298632C0">
      <w:pPr>
        <w:ind w:firstLine="480"/>
      </w:pPr>
      <w:r>
        <w:t>本项目无供电设备，无生产生活用电。</w:t>
      </w:r>
    </w:p>
    <w:p w14:paraId="708AF20C">
      <w:pPr>
        <w:pStyle w:val="4"/>
        <w:spacing w:before="234" w:after="156"/>
        <w:rPr>
          <w:rFonts w:hAnsi="Times New Roman" w:cs="Times New Roman"/>
        </w:rPr>
      </w:pPr>
      <w:r>
        <w:rPr>
          <w:rFonts w:hAnsi="Times New Roman" w:cs="Times New Roman"/>
          <w:bCs/>
        </w:rPr>
        <w:t>供暖</w:t>
      </w:r>
    </w:p>
    <w:p w14:paraId="6E036757">
      <w:pPr>
        <w:ind w:firstLine="480"/>
      </w:pPr>
      <w:r>
        <w:t>冬季不生产，无需采暖。</w:t>
      </w:r>
    </w:p>
    <w:p w14:paraId="6C610434">
      <w:pPr>
        <w:pStyle w:val="4"/>
        <w:spacing w:before="234" w:after="156"/>
      </w:pPr>
      <w:r>
        <w:t>防洪</w:t>
      </w:r>
    </w:p>
    <w:p w14:paraId="6CE04AE0">
      <w:pPr>
        <w:ind w:firstLine="480"/>
      </w:pPr>
      <w:r>
        <w:rPr>
          <w:rFonts w:hint="eastAsia"/>
        </w:rPr>
        <w:t>本项目采用</w:t>
      </w:r>
      <w:r>
        <w:t>露天开采，为保证矿山正常生产，根据地势在矿区四周布设截流沟，</w:t>
      </w:r>
      <w:r>
        <w:rPr>
          <w:rFonts w:hint="eastAsia"/>
        </w:rPr>
        <w:t>采区</w:t>
      </w:r>
      <w:r>
        <w:t>设置贮水池，矿区</w:t>
      </w:r>
      <w:r>
        <w:rPr>
          <w:rFonts w:hint="eastAsia"/>
        </w:rPr>
        <w:t>径流雨水</w:t>
      </w:r>
      <w:r>
        <w:t>汇入贮水池，用于</w:t>
      </w:r>
      <w:r>
        <w:rPr>
          <w:rFonts w:hint="eastAsia"/>
        </w:rPr>
        <w:t>矿区</w:t>
      </w:r>
      <w:r>
        <w:t>降尘。</w:t>
      </w:r>
    </w:p>
    <w:p w14:paraId="58182AE2">
      <w:pPr>
        <w:pStyle w:val="3"/>
        <w:spacing w:before="234" w:after="156"/>
      </w:pPr>
      <w:bookmarkStart w:id="117" w:name="_Toc234927693"/>
      <w:r>
        <w:t>总图布置和占地</w:t>
      </w:r>
      <w:bookmarkEnd w:id="117"/>
    </w:p>
    <w:p w14:paraId="5CE248B4">
      <w:pPr>
        <w:pStyle w:val="4"/>
        <w:spacing w:before="234" w:after="156"/>
      </w:pPr>
      <w:r>
        <w:t>总图布置</w:t>
      </w:r>
    </w:p>
    <w:p w14:paraId="4C882F63">
      <w:pPr>
        <w:ind w:firstLine="480"/>
        <w:sectPr>
          <w:pgSz w:w="11907" w:h="16840"/>
          <w:pgMar w:top="1134" w:right="1797" w:bottom="1134" w:left="1797" w:header="1020" w:footer="1077" w:gutter="0"/>
          <w:cols w:space="720" w:num="1"/>
          <w:docGrid w:type="linesAndChars" w:linePitch="312" w:charSpace="0"/>
        </w:sectPr>
      </w:pPr>
      <w:r>
        <w:t>本项目</w:t>
      </w:r>
      <w:r>
        <w:rPr>
          <w:rFonts w:hint="eastAsia"/>
        </w:rPr>
        <w:t>不设置生活区；所采建筑用凝灰岩无需筛选加工，开采后直接汽车外运，故不设置产品堆场；表土堆场</w:t>
      </w:r>
      <w:r>
        <w:t>设在采矿区范围内，位于开采区西南部，开采过程中产生的表土在此分区堆放。</w:t>
      </w:r>
      <w:r>
        <w:rPr>
          <w:rFonts w:hint="eastAsia"/>
        </w:rPr>
        <w:t>因此本项目矿区主要为开采区域、表土堆场和贮水池。项目总体平面布置示意图见图3.1-4。</w:t>
      </w:r>
    </w:p>
    <w:p w14:paraId="7EE6ECCE">
      <w:pPr>
        <w:pStyle w:val="178"/>
      </w:pPr>
      <w:r>
        <w:drawing>
          <wp:inline distT="0" distB="0" distL="0" distR="0">
            <wp:extent cx="6199505" cy="5759450"/>
            <wp:effectExtent l="19050" t="0" r="0" b="0"/>
            <wp:docPr id="69" name="图片 77" descr="G:\安然的工作\挣大钱\北测项目\1-塔溪乡马厂河采石场\6-计算\平面布置图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77" descr="G:\安然的工作\挣大钱\北测项目\1-塔溪乡马厂河采石场\6-计算\平面布置图1.jpg"/>
                    <pic:cNvPicPr>
                      <a:picLocks noChangeAspect="1" noChangeArrowheads="1"/>
                    </pic:cNvPicPr>
                  </pic:nvPicPr>
                  <pic:blipFill>
                    <a:blip r:embed="rId49" cstate="print"/>
                    <a:srcRect/>
                    <a:stretch>
                      <a:fillRect/>
                    </a:stretch>
                  </pic:blipFill>
                  <pic:spPr>
                    <a:xfrm>
                      <a:off x="0" y="0"/>
                      <a:ext cx="6200024" cy="5760000"/>
                    </a:xfrm>
                    <a:prstGeom prst="rect">
                      <a:avLst/>
                    </a:prstGeom>
                    <a:noFill/>
                    <a:ln w="9525">
                      <a:noFill/>
                      <a:miter lim="800000"/>
                      <a:headEnd/>
                      <a:tailEnd/>
                    </a:ln>
                  </pic:spPr>
                </pic:pic>
              </a:graphicData>
            </a:graphic>
          </wp:inline>
        </w:drawing>
      </w:r>
    </w:p>
    <w:p w14:paraId="11CF3727">
      <w:pPr>
        <w:pStyle w:val="178"/>
      </w:pPr>
      <w:r>
        <w:rPr>
          <w:rFonts w:hint="eastAsia"/>
        </w:rPr>
        <w:t>图3.1-2  总平面布置及施工总布置图</w:t>
      </w:r>
    </w:p>
    <w:p w14:paraId="65A0D212">
      <w:pPr>
        <w:pStyle w:val="179"/>
        <w:sectPr>
          <w:pgSz w:w="16840" w:h="11907" w:orient="landscape"/>
          <w:pgMar w:top="720" w:right="720" w:bottom="720" w:left="720" w:header="1020" w:footer="567" w:gutter="0"/>
          <w:cols w:space="720" w:num="1"/>
          <w:docGrid w:type="linesAndChars" w:linePitch="326" w:charSpace="0"/>
        </w:sectPr>
      </w:pPr>
    </w:p>
    <w:p w14:paraId="29CB000B">
      <w:pPr>
        <w:pStyle w:val="178"/>
      </w:pPr>
    </w:p>
    <w:p w14:paraId="36B5CDE7">
      <w:pPr>
        <w:pStyle w:val="4"/>
        <w:spacing w:before="234" w:after="156"/>
      </w:pPr>
      <w:r>
        <w:t>工程占地</w:t>
      </w:r>
    </w:p>
    <w:p w14:paraId="0650A50C">
      <w:pPr>
        <w:ind w:firstLine="480"/>
      </w:pPr>
      <w:r>
        <w:t>本项目属新建工程，</w:t>
      </w:r>
      <w:r>
        <w:rPr>
          <w:rFonts w:hint="eastAsia"/>
        </w:rPr>
        <w:t>矿区面积0.1101</w:t>
      </w:r>
      <w:r>
        <w:rPr>
          <w:rFonts w:hint="eastAsia" w:cs="Times New Roman"/>
        </w:rPr>
        <w:t>km</w:t>
      </w:r>
      <w:r>
        <w:rPr>
          <w:rFonts w:hint="eastAsia" w:cs="Times New Roman"/>
          <w:vertAlign w:val="superscript"/>
        </w:rPr>
        <w:t>2</w:t>
      </w:r>
      <w:r>
        <w:rPr>
          <w:rFonts w:hint="eastAsia"/>
        </w:rPr>
        <w:t>，进场道路占地面积120m</w:t>
      </w:r>
      <w:r>
        <w:rPr>
          <w:rFonts w:hint="eastAsia"/>
          <w:vertAlign w:val="superscript"/>
        </w:rPr>
        <w:t>2</w:t>
      </w:r>
      <w:r>
        <w:rPr>
          <w:rFonts w:hint="eastAsia"/>
        </w:rPr>
        <w:t>，占地类型均为林地，其中：乔木林地</w:t>
      </w:r>
      <w:r>
        <w:t>89524</w:t>
      </w:r>
      <w:r>
        <w:rPr>
          <w:rFonts w:hint="eastAsia" w:cs="Times New Roman"/>
        </w:rPr>
        <w:t xml:space="preserve"> m</w:t>
      </w:r>
      <w:r>
        <w:rPr>
          <w:rFonts w:hint="eastAsia" w:cs="Times New Roman"/>
          <w:vertAlign w:val="superscript"/>
        </w:rPr>
        <w:t>2</w:t>
      </w:r>
      <w:r>
        <w:rPr>
          <w:rFonts w:hint="eastAsia" w:cs="Times New Roman"/>
        </w:rPr>
        <w:t>，其他林地</w:t>
      </w:r>
      <w:r>
        <w:rPr>
          <w:rFonts w:cs="Times New Roman"/>
        </w:rPr>
        <w:t>21001</w:t>
      </w:r>
      <w:r>
        <w:rPr>
          <w:rFonts w:hint="eastAsia" w:cs="Times New Roman"/>
        </w:rPr>
        <w:t xml:space="preserve"> m</w:t>
      </w:r>
      <w:r>
        <w:rPr>
          <w:rFonts w:hint="eastAsia" w:cs="Times New Roman"/>
          <w:vertAlign w:val="superscript"/>
        </w:rPr>
        <w:t>2</w:t>
      </w:r>
      <w:r>
        <w:rPr>
          <w:rFonts w:hint="eastAsia"/>
        </w:rPr>
        <w:t>；本项目开采后碎石直接外运用于修路，无需破碎筛分，因此，不设置破碎筛分生产线。</w:t>
      </w:r>
    </w:p>
    <w:p w14:paraId="2B4DA3D7">
      <w:pPr>
        <w:pStyle w:val="3"/>
        <w:spacing w:before="234" w:after="156"/>
        <w:rPr>
          <w:rFonts w:cs="Times New Roman"/>
          <w:bCs/>
        </w:rPr>
      </w:pPr>
      <w:bookmarkStart w:id="118" w:name="_Toc234927694"/>
      <w:r>
        <w:rPr>
          <w:rFonts w:cs="Times New Roman"/>
        </w:rPr>
        <w:t>建设项目工程分析</w:t>
      </w:r>
      <w:bookmarkEnd w:id="118"/>
    </w:p>
    <w:p w14:paraId="631BCA64">
      <w:pPr>
        <w:pStyle w:val="4"/>
        <w:spacing w:before="234" w:after="156"/>
        <w:rPr>
          <w:rFonts w:hAnsi="Times New Roman" w:cs="Times New Roman"/>
        </w:rPr>
      </w:pPr>
      <w:r>
        <w:rPr>
          <w:rFonts w:hAnsi="Times New Roman" w:cs="Times New Roman"/>
        </w:rPr>
        <w:t>施工期环境影响源的识别和分析</w:t>
      </w:r>
    </w:p>
    <w:p w14:paraId="00697603">
      <w:pPr>
        <w:ind w:firstLine="480"/>
      </w:pPr>
      <w:r>
        <w:rPr>
          <w:rFonts w:hint="eastAsia"/>
        </w:rPr>
        <w:t>根据项目组成，施工工期约为12个月，场地平整、表土剥离、环保设施修建等阶段</w:t>
      </w:r>
      <w:r>
        <w:t>。</w:t>
      </w:r>
    </w:p>
    <w:p w14:paraId="612619F4">
      <w:pPr>
        <w:pStyle w:val="5"/>
        <w:spacing w:before="156" w:after="156"/>
      </w:pPr>
      <w:r>
        <w:rPr>
          <w:rFonts w:hint="eastAsia"/>
        </w:rPr>
        <w:t>施工期工艺流程及产污环节分析</w:t>
      </w:r>
    </w:p>
    <w:p w14:paraId="79476DB0">
      <w:pPr>
        <w:ind w:firstLine="480"/>
      </w:pPr>
      <w:r>
        <w:t>本项目为</w:t>
      </w:r>
      <w:r>
        <w:rPr>
          <w:rFonts w:hint="eastAsia"/>
        </w:rPr>
        <w:t>新</w:t>
      </w:r>
      <w:r>
        <w:t>建项目，主要施工内容为表土堆放区、道路运输设施、供配电设施、环境保护设施以及相关配套附属和辅助设施。</w:t>
      </w:r>
    </w:p>
    <w:p w14:paraId="15AAE458">
      <w:pPr>
        <w:ind w:firstLine="480"/>
      </w:pPr>
      <w:r>
        <w:t>基础施工工艺主要为：清理场地→表土剥离、临时堆存→矿石运输</w:t>
      </w:r>
      <w:r>
        <w:rPr>
          <w:rFonts w:hint="eastAsia"/>
        </w:rPr>
        <w:t>道路</w:t>
      </w:r>
      <w:r>
        <w:t>修建。</w:t>
      </w:r>
    </w:p>
    <w:p w14:paraId="2092B3C0">
      <w:pPr>
        <w:pStyle w:val="178"/>
      </w:pPr>
      <w:r>
        <w:t>表3</w:t>
      </w:r>
      <w:r>
        <w:rPr>
          <w:rFonts w:hint="eastAsia"/>
        </w:rPr>
        <w:t>.5-1</w:t>
      </w:r>
      <w:r>
        <w:t xml:space="preserve">  项目建设施工期产污环节表</w:t>
      </w:r>
    </w:p>
    <w:tbl>
      <w:tblPr>
        <w:tblStyle w:val="36"/>
        <w:tblW w:w="8290"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103"/>
        <w:gridCol w:w="2172"/>
        <w:gridCol w:w="3283"/>
        <w:gridCol w:w="1732"/>
      </w:tblGrid>
      <w:tr w14:paraId="2124BD6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103" w:type="dxa"/>
            <w:vAlign w:val="center"/>
          </w:tcPr>
          <w:p w14:paraId="19B53715">
            <w:pPr>
              <w:pStyle w:val="179"/>
              <w:rPr>
                <w:b/>
              </w:rPr>
            </w:pPr>
            <w:r>
              <w:rPr>
                <w:b/>
              </w:rPr>
              <w:t>污染类别</w:t>
            </w:r>
          </w:p>
        </w:tc>
        <w:tc>
          <w:tcPr>
            <w:tcW w:w="2172" w:type="dxa"/>
            <w:vAlign w:val="center"/>
          </w:tcPr>
          <w:p w14:paraId="1FB246EF">
            <w:pPr>
              <w:pStyle w:val="179"/>
              <w:rPr>
                <w:b/>
              </w:rPr>
            </w:pPr>
            <w:r>
              <w:rPr>
                <w:b/>
              </w:rPr>
              <w:t>污染源名称</w:t>
            </w:r>
          </w:p>
        </w:tc>
        <w:tc>
          <w:tcPr>
            <w:tcW w:w="3283" w:type="dxa"/>
            <w:vAlign w:val="center"/>
          </w:tcPr>
          <w:p w14:paraId="291745FA">
            <w:pPr>
              <w:pStyle w:val="179"/>
              <w:rPr>
                <w:b/>
              </w:rPr>
            </w:pPr>
            <w:r>
              <w:rPr>
                <w:b/>
              </w:rPr>
              <w:t>产生原因</w:t>
            </w:r>
          </w:p>
        </w:tc>
        <w:tc>
          <w:tcPr>
            <w:tcW w:w="1732" w:type="dxa"/>
            <w:vAlign w:val="center"/>
          </w:tcPr>
          <w:p w14:paraId="191B4127">
            <w:pPr>
              <w:pStyle w:val="179"/>
              <w:rPr>
                <w:b/>
              </w:rPr>
            </w:pPr>
            <w:r>
              <w:rPr>
                <w:b/>
              </w:rPr>
              <w:t>主要污染物</w:t>
            </w:r>
          </w:p>
        </w:tc>
      </w:tr>
      <w:tr w14:paraId="26E6B9B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3" w:type="dxa"/>
            <w:vAlign w:val="center"/>
          </w:tcPr>
          <w:p w14:paraId="07EEF396">
            <w:pPr>
              <w:pStyle w:val="179"/>
            </w:pPr>
            <w:r>
              <w:t>废气</w:t>
            </w:r>
          </w:p>
        </w:tc>
        <w:tc>
          <w:tcPr>
            <w:tcW w:w="2172" w:type="dxa"/>
            <w:vAlign w:val="center"/>
          </w:tcPr>
          <w:p w14:paraId="278A3025">
            <w:pPr>
              <w:pStyle w:val="179"/>
            </w:pPr>
            <w:r>
              <w:t>土地清理、挖掘、土方转运和堆积过程、材料拌合</w:t>
            </w:r>
          </w:p>
        </w:tc>
        <w:tc>
          <w:tcPr>
            <w:tcW w:w="3283" w:type="dxa"/>
            <w:vAlign w:val="center"/>
          </w:tcPr>
          <w:p w14:paraId="3024E656">
            <w:pPr>
              <w:pStyle w:val="179"/>
            </w:pPr>
            <w:r>
              <w:t>土地清理、挖掘、土方转运和堆积过程产生粉尘；汽车运输扬尘；施工机械废气和运输车辆产生尾气</w:t>
            </w:r>
          </w:p>
        </w:tc>
        <w:tc>
          <w:tcPr>
            <w:tcW w:w="1732" w:type="dxa"/>
            <w:vAlign w:val="center"/>
          </w:tcPr>
          <w:p w14:paraId="5B45AE4C">
            <w:pPr>
              <w:pStyle w:val="179"/>
            </w:pPr>
            <w:r>
              <w:t>粉尘、CO、SO</w:t>
            </w:r>
            <w:r>
              <w:rPr>
                <w:vertAlign w:val="subscript"/>
              </w:rPr>
              <w:t>2</w:t>
            </w:r>
            <w:r>
              <w:t>、NOx、碳氢化合物和烟尘</w:t>
            </w:r>
          </w:p>
        </w:tc>
      </w:tr>
      <w:tr w14:paraId="50469C3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3" w:type="dxa"/>
            <w:vAlign w:val="center"/>
          </w:tcPr>
          <w:p w14:paraId="519C7CAA">
            <w:pPr>
              <w:pStyle w:val="179"/>
            </w:pPr>
            <w:r>
              <w:t>噪声</w:t>
            </w:r>
          </w:p>
        </w:tc>
        <w:tc>
          <w:tcPr>
            <w:tcW w:w="2172" w:type="dxa"/>
            <w:vAlign w:val="center"/>
          </w:tcPr>
          <w:p w14:paraId="3FD3E6D4">
            <w:pPr>
              <w:pStyle w:val="179"/>
            </w:pPr>
            <w:r>
              <w:t>各种施工机械设备</w:t>
            </w:r>
          </w:p>
        </w:tc>
        <w:tc>
          <w:tcPr>
            <w:tcW w:w="3283" w:type="dxa"/>
            <w:vAlign w:val="center"/>
          </w:tcPr>
          <w:p w14:paraId="680D6AB1">
            <w:pPr>
              <w:pStyle w:val="179"/>
            </w:pPr>
            <w:r>
              <w:t>施工活动中推土机、挖掘机等各种振动、转动设备</w:t>
            </w:r>
            <w:r>
              <w:rPr>
                <w:rFonts w:hint="eastAsia"/>
              </w:rPr>
              <w:t>产生的</w:t>
            </w:r>
            <w:r>
              <w:t>噪声</w:t>
            </w:r>
          </w:p>
        </w:tc>
        <w:tc>
          <w:tcPr>
            <w:tcW w:w="1732" w:type="dxa"/>
            <w:vAlign w:val="center"/>
          </w:tcPr>
          <w:p w14:paraId="1341F9AE">
            <w:pPr>
              <w:pStyle w:val="179"/>
            </w:pPr>
            <w:r>
              <w:t>噪声</w:t>
            </w:r>
          </w:p>
        </w:tc>
      </w:tr>
      <w:tr w14:paraId="5E180CF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3" w:type="dxa"/>
            <w:vAlign w:val="center"/>
          </w:tcPr>
          <w:p w14:paraId="2C104600">
            <w:pPr>
              <w:pStyle w:val="179"/>
            </w:pPr>
            <w:r>
              <w:t>废水</w:t>
            </w:r>
          </w:p>
        </w:tc>
        <w:tc>
          <w:tcPr>
            <w:tcW w:w="2172" w:type="dxa"/>
            <w:vAlign w:val="center"/>
          </w:tcPr>
          <w:p w14:paraId="5161CC78">
            <w:pPr>
              <w:pStyle w:val="179"/>
            </w:pPr>
            <w:r>
              <w:t>施工机械冲洗、施工人员生活等</w:t>
            </w:r>
          </w:p>
        </w:tc>
        <w:tc>
          <w:tcPr>
            <w:tcW w:w="3283" w:type="dxa"/>
            <w:vAlign w:val="center"/>
          </w:tcPr>
          <w:p w14:paraId="3F6AF947">
            <w:pPr>
              <w:pStyle w:val="179"/>
            </w:pPr>
            <w:r>
              <w:t>施工机械冲洗废水；施工人员产生的生活污水</w:t>
            </w:r>
          </w:p>
        </w:tc>
        <w:tc>
          <w:tcPr>
            <w:tcW w:w="1732" w:type="dxa"/>
            <w:vAlign w:val="center"/>
          </w:tcPr>
          <w:p w14:paraId="1C1A7F67">
            <w:pPr>
              <w:pStyle w:val="179"/>
            </w:pPr>
            <w:r>
              <w:t>悬浮物、以泥沙为主</w:t>
            </w:r>
          </w:p>
        </w:tc>
      </w:tr>
      <w:tr w14:paraId="2DA62E8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3" w:type="dxa"/>
            <w:vAlign w:val="center"/>
          </w:tcPr>
          <w:p w14:paraId="1C67C648">
            <w:pPr>
              <w:pStyle w:val="179"/>
            </w:pPr>
            <w:r>
              <w:t>固废</w:t>
            </w:r>
          </w:p>
        </w:tc>
        <w:tc>
          <w:tcPr>
            <w:tcW w:w="2172" w:type="dxa"/>
            <w:vAlign w:val="center"/>
          </w:tcPr>
          <w:p w14:paraId="26BC31C8">
            <w:pPr>
              <w:pStyle w:val="179"/>
            </w:pPr>
            <w:r>
              <w:t>土石方、</w:t>
            </w:r>
            <w:r>
              <w:rPr>
                <w:rFonts w:hint="eastAsia"/>
              </w:rPr>
              <w:t>施工人员生活垃圾</w:t>
            </w:r>
          </w:p>
        </w:tc>
        <w:tc>
          <w:tcPr>
            <w:tcW w:w="3283" w:type="dxa"/>
            <w:vAlign w:val="center"/>
          </w:tcPr>
          <w:p w14:paraId="2FD998B3">
            <w:pPr>
              <w:pStyle w:val="179"/>
            </w:pPr>
            <w:r>
              <w:t>土石方、</w:t>
            </w:r>
            <w:r>
              <w:rPr>
                <w:rFonts w:hint="eastAsia"/>
              </w:rPr>
              <w:t>施工人员生活</w:t>
            </w:r>
          </w:p>
        </w:tc>
        <w:tc>
          <w:tcPr>
            <w:tcW w:w="1732" w:type="dxa"/>
            <w:vAlign w:val="center"/>
          </w:tcPr>
          <w:p w14:paraId="694FB1DE">
            <w:pPr>
              <w:pStyle w:val="179"/>
            </w:pPr>
            <w:r>
              <w:rPr>
                <w:rFonts w:hint="eastAsia"/>
              </w:rPr>
              <w:t>生活</w:t>
            </w:r>
            <w:r>
              <w:t>垃圾</w:t>
            </w:r>
          </w:p>
        </w:tc>
      </w:tr>
    </w:tbl>
    <w:p w14:paraId="4E0F2DAC">
      <w:pPr>
        <w:pStyle w:val="5"/>
        <w:spacing w:before="156" w:after="156"/>
      </w:pPr>
      <w:r>
        <w:t>废气影响分析</w:t>
      </w:r>
    </w:p>
    <w:p w14:paraId="44E5CA69">
      <w:pPr>
        <w:ind w:firstLine="480"/>
      </w:pPr>
      <w:r>
        <w:rPr>
          <w:rFonts w:hint="eastAsia"/>
        </w:rPr>
        <w:t>施工期大气污染物主要来自施工扬尘。场地清理、表土剥离、截流沟、排水沟开挖等过程均产生扬尘污染。</w:t>
      </w:r>
    </w:p>
    <w:p w14:paraId="2EEAAF16">
      <w:pPr>
        <w:pStyle w:val="5"/>
        <w:spacing w:before="156" w:after="156"/>
      </w:pPr>
      <w:r>
        <w:t>施工废水</w:t>
      </w:r>
    </w:p>
    <w:p w14:paraId="42925039">
      <w:pPr>
        <w:ind w:firstLine="480"/>
      </w:pPr>
      <w:r>
        <w:t>施工期废水来源于施工机械冲洗废水、施工阶段产生的施工废水及现场施工人员的生活污水。</w:t>
      </w:r>
    </w:p>
    <w:p w14:paraId="28800FBC">
      <w:pPr>
        <w:ind w:firstLine="482"/>
        <w:rPr>
          <w:b/>
        </w:rPr>
      </w:pPr>
      <w:r>
        <w:rPr>
          <w:rFonts w:hint="eastAsia"/>
          <w:b/>
        </w:rPr>
        <w:t>1、</w:t>
      </w:r>
      <w:r>
        <w:rPr>
          <w:b/>
        </w:rPr>
        <w:t>施工机械冲洗废水</w:t>
      </w:r>
    </w:p>
    <w:p w14:paraId="7E2CC2FC">
      <w:pPr>
        <w:ind w:firstLine="480"/>
      </w:pPr>
      <w:r>
        <w:t>施工场内车辆及施工设备定期清洗会产生机械冲洗废水。该废水主要污染物为SS和石油类，据同类资料调查，废水中污染物浓度可达SS100mg/L、石油类20mg/L，本项目设一个隔油沉淀池，该废水经隔油沉淀处理后回用于机械冲洗，不外排。</w:t>
      </w:r>
    </w:p>
    <w:p w14:paraId="24BC6EAA">
      <w:pPr>
        <w:ind w:firstLine="482"/>
        <w:rPr>
          <w:b/>
        </w:rPr>
      </w:pPr>
      <w:r>
        <w:rPr>
          <w:rFonts w:hint="eastAsia"/>
          <w:b/>
        </w:rPr>
        <w:t>2、</w:t>
      </w:r>
      <w:r>
        <w:rPr>
          <w:b/>
        </w:rPr>
        <w:t>生活污水</w:t>
      </w:r>
    </w:p>
    <w:p w14:paraId="68002FD6">
      <w:pPr>
        <w:ind w:firstLine="480"/>
      </w:pPr>
      <w:r>
        <w:t>本项目施工期不提供食宿，施工期全矿高峰期共有施工人员</w:t>
      </w:r>
      <w:r>
        <w:rPr>
          <w:rFonts w:hint="eastAsia"/>
        </w:rPr>
        <w:t>20</w:t>
      </w:r>
      <w:r>
        <w:t>人，</w:t>
      </w:r>
      <w:bookmarkStart w:id="119" w:name="_Toc352155980"/>
      <w:bookmarkStart w:id="120" w:name="_Toc117245325"/>
      <w:bookmarkStart w:id="121" w:name="_Toc363483263"/>
      <w:bookmarkStart w:id="122" w:name="_Toc340781681"/>
      <w:bookmarkStart w:id="123" w:name="_Toc88651046"/>
      <w:bookmarkStart w:id="124" w:name="_Toc340781287"/>
      <w:bookmarkStart w:id="125" w:name="_Toc352156218"/>
      <w:bookmarkStart w:id="126" w:name="_Toc352155482"/>
      <w:r>
        <w:t>根据黑龙江省地方标准《用水定额》（DB23/T727-2025），生活用水量按80L/人·d计，施工人员生活用水量</w:t>
      </w:r>
      <w:r>
        <w:rPr>
          <w:rFonts w:hint="eastAsia"/>
        </w:rPr>
        <w:t>1.6</w:t>
      </w:r>
      <w:r>
        <w:t>t/d，排污系数按用水量的80%计，则施工期共计生活污水排放量为</w:t>
      </w:r>
      <w:r>
        <w:rPr>
          <w:rFonts w:hint="eastAsia"/>
        </w:rPr>
        <w:t>1.28</w:t>
      </w:r>
      <w:r>
        <w:t>m</w:t>
      </w:r>
      <w:r>
        <w:rPr>
          <w:vertAlign w:val="superscript"/>
        </w:rPr>
        <w:t>3</w:t>
      </w:r>
      <w:r>
        <w:t>/d。生活污水排入防渗旱厕，定期清掏，外运堆肥</w:t>
      </w:r>
      <w:r>
        <w:rPr>
          <w:rFonts w:hint="eastAsia"/>
        </w:rPr>
        <w:t>，</w:t>
      </w:r>
      <w:r>
        <w:t>主要污染物排放情况见下表3.</w:t>
      </w:r>
      <w:r>
        <w:rPr>
          <w:rFonts w:hint="eastAsia"/>
        </w:rPr>
        <w:t>5</w:t>
      </w:r>
      <w:r>
        <w:t>-</w:t>
      </w:r>
      <w:r>
        <w:rPr>
          <w:rFonts w:hint="eastAsia"/>
        </w:rPr>
        <w:t>2</w:t>
      </w:r>
      <w:r>
        <w:t>。</w:t>
      </w:r>
    </w:p>
    <w:p w14:paraId="32E74F2C">
      <w:pPr>
        <w:pStyle w:val="178"/>
      </w:pPr>
      <w:r>
        <w:t>表3.</w:t>
      </w:r>
      <w:r>
        <w:rPr>
          <w:rFonts w:hint="eastAsia"/>
        </w:rPr>
        <w:t>5-2</w:t>
      </w:r>
      <w:r>
        <w:t xml:space="preserve">  生活污水排放源强</w:t>
      </w:r>
    </w:p>
    <w:tbl>
      <w:tblPr>
        <w:tblStyle w:val="36"/>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935"/>
        <w:gridCol w:w="1558"/>
        <w:gridCol w:w="1276"/>
        <w:gridCol w:w="709"/>
        <w:gridCol w:w="850"/>
        <w:gridCol w:w="1134"/>
        <w:gridCol w:w="1033"/>
      </w:tblGrid>
      <w:tr w14:paraId="178ED157">
        <w:tblPrEx>
          <w:tblCellMar>
            <w:top w:w="0" w:type="dxa"/>
            <w:left w:w="108" w:type="dxa"/>
            <w:bottom w:w="0" w:type="dxa"/>
            <w:right w:w="108" w:type="dxa"/>
          </w:tblCellMar>
        </w:tblPrEx>
        <w:trPr>
          <w:trHeight w:val="390" w:hRule="atLeast"/>
          <w:tblHeader/>
          <w:jc w:val="center"/>
        </w:trPr>
        <w:tc>
          <w:tcPr>
            <w:tcW w:w="1935" w:type="dxa"/>
            <w:vAlign w:val="center"/>
          </w:tcPr>
          <w:p w14:paraId="4E6067F9">
            <w:pPr>
              <w:pStyle w:val="179"/>
              <w:rPr>
                <w:b/>
              </w:rPr>
            </w:pPr>
            <w:r>
              <w:rPr>
                <w:b/>
              </w:rPr>
              <w:t>项目因子</w:t>
            </w:r>
          </w:p>
        </w:tc>
        <w:tc>
          <w:tcPr>
            <w:tcW w:w="1558" w:type="dxa"/>
            <w:vAlign w:val="center"/>
          </w:tcPr>
          <w:p w14:paraId="2022676F">
            <w:pPr>
              <w:pStyle w:val="179"/>
              <w:rPr>
                <w:b/>
              </w:rPr>
            </w:pPr>
            <w:r>
              <w:rPr>
                <w:b/>
              </w:rPr>
              <w:t>污水量（m</w:t>
            </w:r>
            <w:r>
              <w:rPr>
                <w:b/>
                <w:vertAlign w:val="superscript"/>
              </w:rPr>
              <w:t>3</w:t>
            </w:r>
            <w:r>
              <w:rPr>
                <w:b/>
              </w:rPr>
              <w:t>/d）</w:t>
            </w:r>
          </w:p>
        </w:tc>
        <w:tc>
          <w:tcPr>
            <w:tcW w:w="1276" w:type="dxa"/>
            <w:vAlign w:val="center"/>
          </w:tcPr>
          <w:p w14:paraId="0C0D6162">
            <w:pPr>
              <w:pStyle w:val="179"/>
              <w:rPr>
                <w:b/>
              </w:rPr>
            </w:pPr>
            <w:r>
              <w:rPr>
                <w:b/>
              </w:rPr>
              <w:t>pH</w:t>
            </w:r>
          </w:p>
        </w:tc>
        <w:tc>
          <w:tcPr>
            <w:tcW w:w="709" w:type="dxa"/>
            <w:vAlign w:val="center"/>
          </w:tcPr>
          <w:p w14:paraId="32DB2F25">
            <w:pPr>
              <w:pStyle w:val="179"/>
              <w:rPr>
                <w:b/>
              </w:rPr>
            </w:pPr>
            <w:r>
              <w:rPr>
                <w:b/>
              </w:rPr>
              <w:t>COD</w:t>
            </w:r>
          </w:p>
        </w:tc>
        <w:tc>
          <w:tcPr>
            <w:tcW w:w="850" w:type="dxa"/>
            <w:vAlign w:val="center"/>
          </w:tcPr>
          <w:p w14:paraId="0CF5258D">
            <w:pPr>
              <w:pStyle w:val="179"/>
              <w:rPr>
                <w:b/>
              </w:rPr>
            </w:pPr>
            <w:r>
              <w:rPr>
                <w:b/>
              </w:rPr>
              <w:t>SS</w:t>
            </w:r>
          </w:p>
        </w:tc>
        <w:tc>
          <w:tcPr>
            <w:tcW w:w="1134" w:type="dxa"/>
            <w:vAlign w:val="center"/>
          </w:tcPr>
          <w:p w14:paraId="3D537E95">
            <w:pPr>
              <w:pStyle w:val="179"/>
              <w:rPr>
                <w:b/>
              </w:rPr>
            </w:pPr>
            <w:r>
              <w:rPr>
                <w:b/>
              </w:rPr>
              <w:t>BOD</w:t>
            </w:r>
            <w:r>
              <w:rPr>
                <w:b/>
                <w:vertAlign w:val="subscript"/>
              </w:rPr>
              <w:t>5</w:t>
            </w:r>
          </w:p>
        </w:tc>
        <w:tc>
          <w:tcPr>
            <w:tcW w:w="1033" w:type="dxa"/>
            <w:vAlign w:val="center"/>
          </w:tcPr>
          <w:p w14:paraId="7A2A2B54">
            <w:pPr>
              <w:pStyle w:val="179"/>
              <w:rPr>
                <w:b/>
              </w:rPr>
            </w:pPr>
            <w:r>
              <w:rPr>
                <w:b/>
              </w:rPr>
              <w:t>NH</w:t>
            </w:r>
            <w:r>
              <w:rPr>
                <w:b/>
                <w:vertAlign w:val="subscript"/>
              </w:rPr>
              <w:t>3</w:t>
            </w:r>
            <w:r>
              <w:rPr>
                <w:b/>
              </w:rPr>
              <w:t>-N</w:t>
            </w:r>
          </w:p>
        </w:tc>
      </w:tr>
      <w:tr w14:paraId="7BD26D4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0" w:hRule="atLeast"/>
          <w:jc w:val="center"/>
        </w:trPr>
        <w:tc>
          <w:tcPr>
            <w:tcW w:w="1935" w:type="dxa"/>
            <w:vAlign w:val="center"/>
          </w:tcPr>
          <w:p w14:paraId="72F9F272">
            <w:pPr>
              <w:pStyle w:val="179"/>
            </w:pPr>
            <w:r>
              <w:t>污染物浓度mg/L</w:t>
            </w:r>
          </w:p>
        </w:tc>
        <w:tc>
          <w:tcPr>
            <w:tcW w:w="1558" w:type="dxa"/>
            <w:vMerge w:val="restart"/>
            <w:vAlign w:val="center"/>
          </w:tcPr>
          <w:p w14:paraId="1F56EB97">
            <w:pPr>
              <w:pStyle w:val="179"/>
            </w:pPr>
            <w:r>
              <w:rPr>
                <w:rFonts w:hint="eastAsia"/>
              </w:rPr>
              <w:t>1.28</w:t>
            </w:r>
          </w:p>
        </w:tc>
        <w:tc>
          <w:tcPr>
            <w:tcW w:w="1276" w:type="dxa"/>
            <w:vAlign w:val="center"/>
          </w:tcPr>
          <w:p w14:paraId="5E76E600">
            <w:pPr>
              <w:pStyle w:val="179"/>
            </w:pPr>
            <w:r>
              <w:t>6~9无量纲</w:t>
            </w:r>
          </w:p>
        </w:tc>
        <w:tc>
          <w:tcPr>
            <w:tcW w:w="709" w:type="dxa"/>
            <w:vAlign w:val="center"/>
          </w:tcPr>
          <w:p w14:paraId="50804A30">
            <w:pPr>
              <w:pStyle w:val="179"/>
            </w:pPr>
            <w:r>
              <w:t>300</w:t>
            </w:r>
          </w:p>
        </w:tc>
        <w:tc>
          <w:tcPr>
            <w:tcW w:w="850" w:type="dxa"/>
            <w:vAlign w:val="center"/>
          </w:tcPr>
          <w:p w14:paraId="02C3B14F">
            <w:pPr>
              <w:pStyle w:val="179"/>
            </w:pPr>
            <w:r>
              <w:t>200</w:t>
            </w:r>
          </w:p>
        </w:tc>
        <w:tc>
          <w:tcPr>
            <w:tcW w:w="1134" w:type="dxa"/>
            <w:vAlign w:val="center"/>
          </w:tcPr>
          <w:p w14:paraId="1CB3B5B5">
            <w:pPr>
              <w:pStyle w:val="179"/>
            </w:pPr>
            <w:r>
              <w:t>180</w:t>
            </w:r>
          </w:p>
        </w:tc>
        <w:tc>
          <w:tcPr>
            <w:tcW w:w="1033" w:type="dxa"/>
            <w:vAlign w:val="center"/>
          </w:tcPr>
          <w:p w14:paraId="00312A8A">
            <w:pPr>
              <w:pStyle w:val="179"/>
            </w:pPr>
            <w:r>
              <w:t>25</w:t>
            </w:r>
          </w:p>
        </w:tc>
      </w:tr>
      <w:tr w14:paraId="03F04CB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0" w:hRule="atLeast"/>
          <w:jc w:val="center"/>
        </w:trPr>
        <w:tc>
          <w:tcPr>
            <w:tcW w:w="1935" w:type="dxa"/>
            <w:vAlign w:val="center"/>
          </w:tcPr>
          <w:p w14:paraId="289D8005">
            <w:pPr>
              <w:pStyle w:val="179"/>
            </w:pPr>
            <w:r>
              <w:t>污染物排放量kg/d</w:t>
            </w:r>
          </w:p>
        </w:tc>
        <w:tc>
          <w:tcPr>
            <w:tcW w:w="1558" w:type="dxa"/>
            <w:vMerge w:val="continue"/>
            <w:vAlign w:val="center"/>
          </w:tcPr>
          <w:p w14:paraId="62B38C34">
            <w:pPr>
              <w:pStyle w:val="179"/>
            </w:pPr>
          </w:p>
        </w:tc>
        <w:tc>
          <w:tcPr>
            <w:tcW w:w="1276" w:type="dxa"/>
            <w:vAlign w:val="center"/>
          </w:tcPr>
          <w:p w14:paraId="22F43E64">
            <w:pPr>
              <w:pStyle w:val="179"/>
            </w:pPr>
            <w:r>
              <w:t>/</w:t>
            </w:r>
          </w:p>
        </w:tc>
        <w:tc>
          <w:tcPr>
            <w:tcW w:w="709" w:type="dxa"/>
            <w:vAlign w:val="center"/>
          </w:tcPr>
          <w:p w14:paraId="020486B7">
            <w:pPr>
              <w:pStyle w:val="179"/>
            </w:pPr>
            <w:r>
              <w:t>0.</w:t>
            </w:r>
            <w:r>
              <w:rPr>
                <w:rFonts w:hint="eastAsia"/>
              </w:rPr>
              <w:t>384</w:t>
            </w:r>
          </w:p>
        </w:tc>
        <w:tc>
          <w:tcPr>
            <w:tcW w:w="850" w:type="dxa"/>
            <w:vAlign w:val="center"/>
          </w:tcPr>
          <w:p w14:paraId="4C183B78">
            <w:pPr>
              <w:pStyle w:val="179"/>
            </w:pPr>
            <w:r>
              <w:t>0.</w:t>
            </w:r>
            <w:r>
              <w:rPr>
                <w:rFonts w:hint="eastAsia"/>
              </w:rPr>
              <w:t>256</w:t>
            </w:r>
          </w:p>
        </w:tc>
        <w:tc>
          <w:tcPr>
            <w:tcW w:w="1134" w:type="dxa"/>
            <w:vAlign w:val="center"/>
          </w:tcPr>
          <w:p w14:paraId="2CB8EC40">
            <w:pPr>
              <w:pStyle w:val="179"/>
            </w:pPr>
            <w:r>
              <w:t>0.</w:t>
            </w:r>
            <w:r>
              <w:rPr>
                <w:rFonts w:hint="eastAsia"/>
              </w:rPr>
              <w:t>230</w:t>
            </w:r>
          </w:p>
        </w:tc>
        <w:tc>
          <w:tcPr>
            <w:tcW w:w="1033" w:type="dxa"/>
            <w:vAlign w:val="center"/>
          </w:tcPr>
          <w:p w14:paraId="09C67110">
            <w:pPr>
              <w:pStyle w:val="179"/>
            </w:pPr>
            <w:r>
              <w:t>0.0</w:t>
            </w:r>
            <w:r>
              <w:rPr>
                <w:rFonts w:hint="eastAsia"/>
              </w:rPr>
              <w:t>32</w:t>
            </w:r>
          </w:p>
        </w:tc>
      </w:tr>
      <w:bookmarkEnd w:id="119"/>
      <w:bookmarkEnd w:id="120"/>
      <w:bookmarkEnd w:id="121"/>
      <w:bookmarkEnd w:id="122"/>
      <w:bookmarkEnd w:id="123"/>
      <w:bookmarkEnd w:id="124"/>
      <w:bookmarkEnd w:id="125"/>
      <w:bookmarkEnd w:id="126"/>
    </w:tbl>
    <w:p w14:paraId="0AE8F681">
      <w:pPr>
        <w:pStyle w:val="5"/>
        <w:spacing w:before="156" w:after="156"/>
      </w:pPr>
      <w:r>
        <w:t>对声环境的影响</w:t>
      </w:r>
    </w:p>
    <w:p w14:paraId="24FF8775">
      <w:pPr>
        <w:ind w:firstLine="480"/>
      </w:pPr>
      <w:r>
        <w:t>施工期噪声源主要为机械运行和车辆运输噪声，其特点是间歇性，具有流动性和噪声级较高的特征。根据类比调查法获取各类施工机械的噪声级以及防治措施见表3.</w:t>
      </w:r>
      <w:r>
        <w:rPr>
          <w:rFonts w:hint="eastAsia"/>
        </w:rPr>
        <w:t>5</w:t>
      </w:r>
      <w:r>
        <w:t>-3。</w:t>
      </w:r>
    </w:p>
    <w:p w14:paraId="35FE55B6">
      <w:pPr>
        <w:pStyle w:val="178"/>
      </w:pPr>
      <w:r>
        <w:t>表3.</w:t>
      </w:r>
      <w:r>
        <w:rPr>
          <w:rFonts w:hint="eastAsia"/>
        </w:rPr>
        <w:t>5</w:t>
      </w:r>
      <w:r>
        <w:t>-3  主要施工机械噪声源强</w:t>
      </w:r>
    </w:p>
    <w:tbl>
      <w:tblPr>
        <w:tblStyle w:val="36"/>
        <w:tblW w:w="8329" w:type="dxa"/>
        <w:jc w:val="center"/>
        <w:tblBorders>
          <w:top w:val="single" w:color="auto" w:sz="12" w:space="0"/>
          <w:left w:val="single" w:color="auto" w:sz="12" w:space="0"/>
          <w:bottom w:val="single" w:color="auto" w:sz="12" w:space="0"/>
          <w:right w:val="single" w:color="auto" w:sz="12" w:space="0"/>
          <w:insideH w:val="single" w:color="000000" w:sz="6" w:space="0"/>
          <w:insideV w:val="single" w:color="000000" w:sz="6" w:space="0"/>
        </w:tblBorders>
        <w:tblLayout w:type="fixed"/>
        <w:tblCellMar>
          <w:top w:w="0" w:type="dxa"/>
          <w:left w:w="108" w:type="dxa"/>
          <w:bottom w:w="0" w:type="dxa"/>
          <w:right w:w="108" w:type="dxa"/>
        </w:tblCellMar>
      </w:tblPr>
      <w:tblGrid>
        <w:gridCol w:w="1053"/>
        <w:gridCol w:w="2208"/>
        <w:gridCol w:w="2245"/>
        <w:gridCol w:w="2823"/>
      </w:tblGrid>
      <w:tr w14:paraId="798B21E7">
        <w:tblPrEx>
          <w:tblBorders>
            <w:top w:val="single" w:color="auto" w:sz="12" w:space="0"/>
            <w:left w:val="single" w:color="auto" w:sz="12" w:space="0"/>
            <w:bottom w:val="single" w:color="auto" w:sz="12" w:space="0"/>
            <w:right w:val="single" w:color="auto" w:sz="12" w:space="0"/>
            <w:insideH w:val="single" w:color="000000" w:sz="6" w:space="0"/>
            <w:insideV w:val="single" w:color="000000" w:sz="6" w:space="0"/>
          </w:tblBorders>
          <w:tblCellMar>
            <w:top w:w="0" w:type="dxa"/>
            <w:left w:w="108" w:type="dxa"/>
            <w:bottom w:w="0" w:type="dxa"/>
            <w:right w:w="108" w:type="dxa"/>
          </w:tblCellMar>
        </w:tblPrEx>
        <w:trPr>
          <w:trHeight w:val="340" w:hRule="atLeast"/>
          <w:jc w:val="center"/>
        </w:trPr>
        <w:tc>
          <w:tcPr>
            <w:tcW w:w="1053" w:type="dxa"/>
            <w:vAlign w:val="center"/>
          </w:tcPr>
          <w:p w14:paraId="49E985AA">
            <w:pPr>
              <w:pStyle w:val="179"/>
              <w:rPr>
                <w:b/>
              </w:rPr>
            </w:pPr>
            <w:r>
              <w:rPr>
                <w:b/>
              </w:rPr>
              <w:t>序号</w:t>
            </w:r>
          </w:p>
        </w:tc>
        <w:tc>
          <w:tcPr>
            <w:tcW w:w="2208" w:type="dxa"/>
            <w:vAlign w:val="center"/>
          </w:tcPr>
          <w:p w14:paraId="7A473841">
            <w:pPr>
              <w:pStyle w:val="179"/>
              <w:rPr>
                <w:b/>
              </w:rPr>
            </w:pPr>
            <w:r>
              <w:rPr>
                <w:b/>
              </w:rPr>
              <w:t>噪声源名称</w:t>
            </w:r>
          </w:p>
        </w:tc>
        <w:tc>
          <w:tcPr>
            <w:tcW w:w="2245" w:type="dxa"/>
            <w:vAlign w:val="center"/>
          </w:tcPr>
          <w:p w14:paraId="380C3398">
            <w:pPr>
              <w:pStyle w:val="179"/>
              <w:rPr>
                <w:b/>
              </w:rPr>
            </w:pPr>
            <w:r>
              <w:rPr>
                <w:b/>
              </w:rPr>
              <w:t>噪声级［dB(A)］</w:t>
            </w:r>
          </w:p>
        </w:tc>
        <w:tc>
          <w:tcPr>
            <w:tcW w:w="2823" w:type="dxa"/>
            <w:vAlign w:val="center"/>
          </w:tcPr>
          <w:p w14:paraId="121133DD">
            <w:pPr>
              <w:pStyle w:val="179"/>
              <w:rPr>
                <w:b/>
              </w:rPr>
            </w:pPr>
            <w:r>
              <w:rPr>
                <w:b/>
              </w:rPr>
              <w:t>防治措施</w:t>
            </w:r>
          </w:p>
        </w:tc>
      </w:tr>
      <w:tr w14:paraId="62A491A8">
        <w:tblPrEx>
          <w:tblBorders>
            <w:top w:val="single" w:color="auto" w:sz="12" w:space="0"/>
            <w:left w:val="single" w:color="auto" w:sz="12" w:space="0"/>
            <w:bottom w:val="single" w:color="auto" w:sz="12" w:space="0"/>
            <w:right w:val="single" w:color="auto" w:sz="12" w:space="0"/>
            <w:insideH w:val="single" w:color="000000" w:sz="6" w:space="0"/>
            <w:insideV w:val="single" w:color="000000" w:sz="6" w:space="0"/>
          </w:tblBorders>
          <w:tblCellMar>
            <w:top w:w="0" w:type="dxa"/>
            <w:left w:w="108" w:type="dxa"/>
            <w:bottom w:w="0" w:type="dxa"/>
            <w:right w:w="108" w:type="dxa"/>
          </w:tblCellMar>
        </w:tblPrEx>
        <w:trPr>
          <w:trHeight w:val="614" w:hRule="atLeast"/>
          <w:jc w:val="center"/>
        </w:trPr>
        <w:tc>
          <w:tcPr>
            <w:tcW w:w="1053" w:type="dxa"/>
            <w:vAlign w:val="center"/>
          </w:tcPr>
          <w:p w14:paraId="7D9F12C7">
            <w:pPr>
              <w:pStyle w:val="179"/>
            </w:pPr>
            <w:r>
              <w:t>1</w:t>
            </w:r>
          </w:p>
        </w:tc>
        <w:tc>
          <w:tcPr>
            <w:tcW w:w="2208" w:type="dxa"/>
            <w:vAlign w:val="center"/>
          </w:tcPr>
          <w:p w14:paraId="61B094AF">
            <w:pPr>
              <w:pStyle w:val="179"/>
            </w:pPr>
            <w:r>
              <w:t>挖掘机</w:t>
            </w:r>
          </w:p>
        </w:tc>
        <w:tc>
          <w:tcPr>
            <w:tcW w:w="2245" w:type="dxa"/>
            <w:vAlign w:val="center"/>
          </w:tcPr>
          <w:p w14:paraId="0B55D6AF">
            <w:pPr>
              <w:pStyle w:val="179"/>
            </w:pPr>
            <w:r>
              <w:t>67～77</w:t>
            </w:r>
          </w:p>
        </w:tc>
        <w:tc>
          <w:tcPr>
            <w:tcW w:w="2823" w:type="dxa"/>
            <w:vMerge w:val="restart"/>
            <w:vAlign w:val="center"/>
          </w:tcPr>
          <w:p w14:paraId="775DA79B">
            <w:pPr>
              <w:pStyle w:val="179"/>
            </w:pPr>
            <w:r>
              <w:rPr>
                <w:rFonts w:hint="eastAsia"/>
              </w:rPr>
              <w:t>①</w:t>
            </w:r>
            <w:r>
              <w:t>尽可能选用低噪声设备，同时对高噪声设备采用设置减振支座、包扎阻尼材料等；</w:t>
            </w:r>
            <w:r>
              <w:rPr>
                <w:rFonts w:hint="eastAsia"/>
              </w:rPr>
              <w:t>②</w:t>
            </w:r>
            <w:r>
              <w:t>噪声强度大的机械应远离居民生活区设置，使用时应避开夜间人们休息的时间；</w:t>
            </w:r>
          </w:p>
        </w:tc>
      </w:tr>
      <w:tr w14:paraId="514A49C5">
        <w:tblPrEx>
          <w:tblBorders>
            <w:top w:val="single" w:color="auto" w:sz="12" w:space="0"/>
            <w:left w:val="single" w:color="auto" w:sz="12" w:space="0"/>
            <w:bottom w:val="single" w:color="auto" w:sz="12" w:space="0"/>
            <w:right w:val="single" w:color="auto" w:sz="12" w:space="0"/>
            <w:insideH w:val="single" w:color="000000" w:sz="6" w:space="0"/>
            <w:insideV w:val="single" w:color="000000" w:sz="6" w:space="0"/>
          </w:tblBorders>
          <w:tblCellMar>
            <w:top w:w="0" w:type="dxa"/>
            <w:left w:w="108" w:type="dxa"/>
            <w:bottom w:w="0" w:type="dxa"/>
            <w:right w:w="108" w:type="dxa"/>
          </w:tblCellMar>
        </w:tblPrEx>
        <w:trPr>
          <w:trHeight w:val="614" w:hRule="atLeast"/>
          <w:jc w:val="center"/>
        </w:trPr>
        <w:tc>
          <w:tcPr>
            <w:tcW w:w="1053" w:type="dxa"/>
            <w:vAlign w:val="center"/>
          </w:tcPr>
          <w:p w14:paraId="2E344677">
            <w:pPr>
              <w:pStyle w:val="179"/>
            </w:pPr>
            <w:r>
              <w:t>2</w:t>
            </w:r>
          </w:p>
        </w:tc>
        <w:tc>
          <w:tcPr>
            <w:tcW w:w="2208" w:type="dxa"/>
            <w:vAlign w:val="center"/>
          </w:tcPr>
          <w:p w14:paraId="09BFE42F">
            <w:pPr>
              <w:pStyle w:val="179"/>
            </w:pPr>
            <w:r>
              <w:t>重型卡车</w:t>
            </w:r>
          </w:p>
        </w:tc>
        <w:tc>
          <w:tcPr>
            <w:tcW w:w="2245" w:type="dxa"/>
            <w:vAlign w:val="center"/>
          </w:tcPr>
          <w:p w14:paraId="1ADE5239">
            <w:pPr>
              <w:pStyle w:val="179"/>
            </w:pPr>
            <w:r>
              <w:t>80～85</w:t>
            </w:r>
          </w:p>
        </w:tc>
        <w:tc>
          <w:tcPr>
            <w:tcW w:w="2823" w:type="dxa"/>
            <w:vMerge w:val="continue"/>
            <w:vAlign w:val="center"/>
          </w:tcPr>
          <w:p w14:paraId="34F188AD">
            <w:pPr>
              <w:pStyle w:val="179"/>
            </w:pPr>
          </w:p>
        </w:tc>
      </w:tr>
      <w:tr w14:paraId="03F1832D">
        <w:tblPrEx>
          <w:tblBorders>
            <w:top w:val="single" w:color="auto" w:sz="12" w:space="0"/>
            <w:left w:val="single" w:color="auto" w:sz="12" w:space="0"/>
            <w:bottom w:val="single" w:color="auto" w:sz="12" w:space="0"/>
            <w:right w:val="single" w:color="auto" w:sz="12" w:space="0"/>
            <w:insideH w:val="single" w:color="000000" w:sz="6" w:space="0"/>
            <w:insideV w:val="single" w:color="000000" w:sz="6" w:space="0"/>
          </w:tblBorders>
          <w:tblCellMar>
            <w:top w:w="0" w:type="dxa"/>
            <w:left w:w="108" w:type="dxa"/>
            <w:bottom w:w="0" w:type="dxa"/>
            <w:right w:w="108" w:type="dxa"/>
          </w:tblCellMar>
        </w:tblPrEx>
        <w:trPr>
          <w:trHeight w:val="614" w:hRule="atLeast"/>
          <w:jc w:val="center"/>
        </w:trPr>
        <w:tc>
          <w:tcPr>
            <w:tcW w:w="1053" w:type="dxa"/>
            <w:vAlign w:val="center"/>
          </w:tcPr>
          <w:p w14:paraId="376878ED">
            <w:pPr>
              <w:pStyle w:val="179"/>
            </w:pPr>
            <w:r>
              <w:t>3</w:t>
            </w:r>
          </w:p>
        </w:tc>
        <w:tc>
          <w:tcPr>
            <w:tcW w:w="2208" w:type="dxa"/>
            <w:vAlign w:val="center"/>
          </w:tcPr>
          <w:p w14:paraId="233C670B">
            <w:pPr>
              <w:pStyle w:val="179"/>
            </w:pPr>
            <w:r>
              <w:t>装载机</w:t>
            </w:r>
          </w:p>
        </w:tc>
        <w:tc>
          <w:tcPr>
            <w:tcW w:w="2245" w:type="dxa"/>
            <w:vAlign w:val="center"/>
          </w:tcPr>
          <w:p w14:paraId="78231197">
            <w:pPr>
              <w:pStyle w:val="179"/>
            </w:pPr>
            <w:r>
              <w:t>85</w:t>
            </w:r>
          </w:p>
        </w:tc>
        <w:tc>
          <w:tcPr>
            <w:tcW w:w="2823" w:type="dxa"/>
            <w:vMerge w:val="continue"/>
            <w:vAlign w:val="center"/>
          </w:tcPr>
          <w:p w14:paraId="30954A1A">
            <w:pPr>
              <w:pStyle w:val="179"/>
            </w:pPr>
          </w:p>
        </w:tc>
      </w:tr>
    </w:tbl>
    <w:p w14:paraId="78245AA9">
      <w:pPr>
        <w:pStyle w:val="5"/>
        <w:spacing w:before="156" w:after="156"/>
      </w:pPr>
      <w:r>
        <w:t>固体废物</w:t>
      </w:r>
    </w:p>
    <w:p w14:paraId="739E4B18">
      <w:pPr>
        <w:ind w:firstLine="482"/>
        <w:rPr>
          <w:b/>
        </w:rPr>
      </w:pPr>
      <w:r>
        <w:rPr>
          <w:rFonts w:hint="eastAsia"/>
          <w:b/>
        </w:rPr>
        <w:t>1、表土</w:t>
      </w:r>
    </w:p>
    <w:p w14:paraId="0B134609">
      <w:pPr>
        <w:ind w:firstLine="480"/>
      </w:pPr>
      <w:r>
        <w:rPr>
          <w:rFonts w:hint="eastAsia"/>
        </w:rPr>
        <w:t>施工期开采区暂不进行表土剥离，仅场内运输道路进行基建期表土剥离，剥离面积0.75hm</w:t>
      </w:r>
      <w:r>
        <w:rPr>
          <w:rFonts w:hint="eastAsia"/>
          <w:vertAlign w:val="superscript"/>
        </w:rPr>
        <w:t>2</w:t>
      </w:r>
      <w:r>
        <w:rPr>
          <w:rFonts w:hint="eastAsia"/>
        </w:rPr>
        <w:t>，表土剥离厚度为50cm，则剥离表土量3750m</w:t>
      </w:r>
      <w:r>
        <w:rPr>
          <w:rFonts w:hint="eastAsia"/>
          <w:vertAlign w:val="superscript"/>
        </w:rPr>
        <w:t>3</w:t>
      </w:r>
      <w:r>
        <w:rPr>
          <w:rFonts w:hint="eastAsia"/>
        </w:rPr>
        <w:t>，全部暂存于表土堆存区。</w:t>
      </w:r>
    </w:p>
    <w:p w14:paraId="203D3F93">
      <w:pPr>
        <w:ind w:firstLine="480"/>
      </w:pPr>
      <w:r>
        <w:rPr>
          <w:rFonts w:hint="eastAsia"/>
        </w:rPr>
        <w:t>建设前期剥离的表土在该处单独堆放。为了防止临时堆土风蚀，堆放后表面必须拍实，并用苫布覆盖，后期用于植被恢复。</w:t>
      </w:r>
    </w:p>
    <w:p w14:paraId="636990A8">
      <w:pPr>
        <w:ind w:firstLine="482"/>
        <w:rPr>
          <w:b/>
        </w:rPr>
      </w:pPr>
      <w:r>
        <w:rPr>
          <w:rFonts w:hint="eastAsia"/>
          <w:b/>
        </w:rPr>
        <w:t>2、施工人员生活垃圾</w:t>
      </w:r>
    </w:p>
    <w:p w14:paraId="45D0AFA3">
      <w:pPr>
        <w:ind w:firstLine="480"/>
      </w:pPr>
      <w:r>
        <w:rPr>
          <w:rFonts w:hint="eastAsia"/>
        </w:rPr>
        <w:t>预计平均施工人员20人/天，生活垃圾产生量按0.5kg/d.人计，生活垃圾产生量为0.01t/d，施工期为90天，则施工期生活垃圾产生量为0.9t。集中收集后，运送至环卫部门指定地点，由市政环卫部门统一处置。</w:t>
      </w:r>
    </w:p>
    <w:p w14:paraId="65B5E96B">
      <w:pPr>
        <w:ind w:firstLine="482"/>
        <w:rPr>
          <w:b/>
        </w:rPr>
      </w:pPr>
      <w:r>
        <w:rPr>
          <w:rFonts w:hint="eastAsia"/>
          <w:b/>
        </w:rPr>
        <w:t>3、隔油沉淀池废油及废渣</w:t>
      </w:r>
    </w:p>
    <w:p w14:paraId="66DDDC59">
      <w:pPr>
        <w:ind w:firstLine="480"/>
      </w:pPr>
      <w:r>
        <w:rPr>
          <w:rFonts w:hint="eastAsia"/>
        </w:rPr>
        <w:t>施工期隔油沉淀池</w:t>
      </w:r>
      <w:r>
        <w:t>沉积泥砂</w:t>
      </w:r>
      <w:r>
        <w:rPr>
          <w:rFonts w:hint="eastAsia"/>
        </w:rPr>
        <w:t>产生量约0.5t/a，用于矿坑土地平整；废油脂产生量约0.1t/a，交由有资质单位回收处置。</w:t>
      </w:r>
    </w:p>
    <w:p w14:paraId="4AB3D76C">
      <w:pPr>
        <w:pStyle w:val="5"/>
        <w:spacing w:before="156" w:after="156"/>
      </w:pPr>
      <w:r>
        <w:rPr>
          <w:rFonts w:hint="eastAsia"/>
        </w:rPr>
        <w:t>施工期生态环境影响因素分析</w:t>
      </w:r>
    </w:p>
    <w:p w14:paraId="5183B1C8">
      <w:pPr>
        <w:ind w:firstLine="480"/>
      </w:pPr>
      <w:r>
        <w:t>本项目永久占地面积</w:t>
      </w:r>
      <w:r>
        <w:rPr>
          <w:rFonts w:hint="eastAsia"/>
        </w:rPr>
        <w:t>11.01</w:t>
      </w:r>
      <w:r>
        <w:t>hm</w:t>
      </w:r>
      <w:r>
        <w:rPr>
          <w:vertAlign w:val="superscript"/>
        </w:rPr>
        <w:t>2</w:t>
      </w:r>
      <w:r>
        <w:rPr>
          <w:rFonts w:hint="eastAsia"/>
        </w:rPr>
        <w:t>，土地性质为工矿仓储用地；道路依托原有道路，无新建道路。</w:t>
      </w:r>
    </w:p>
    <w:p w14:paraId="0BAB8ED0">
      <w:pPr>
        <w:ind w:firstLine="480"/>
      </w:pPr>
      <w:r>
        <w:t>（1）土地利用类型的</w:t>
      </w:r>
      <w:r>
        <w:rPr>
          <w:rFonts w:hint="eastAsia"/>
        </w:rPr>
        <w:t>影响</w:t>
      </w:r>
    </w:p>
    <w:p w14:paraId="69AFD807">
      <w:pPr>
        <w:ind w:firstLine="480"/>
      </w:pPr>
      <w:r>
        <w:t>本项目采场将占用</w:t>
      </w:r>
      <w:r>
        <w:rPr>
          <w:rFonts w:hint="eastAsia"/>
        </w:rPr>
        <w:t>工矿用地及乔木林地进行开采，经现场勘查，将扰动损坏植被的面积为11.01hm</w:t>
      </w:r>
      <w:r>
        <w:rPr>
          <w:rFonts w:hint="eastAsia"/>
          <w:vertAlign w:val="superscript"/>
        </w:rPr>
        <w:t>2</w:t>
      </w:r>
      <w:r>
        <w:rPr>
          <w:rFonts w:hint="eastAsia"/>
        </w:rPr>
        <w:t>，本项目开采使现状乔木林地变为工矿用地，改变土地使用功能。项目采用台阶式开采，每个台阶开采结束即进行生态恢复；矿山服务期满后，对</w:t>
      </w:r>
      <w:r>
        <w:t>最终采坑进行治理</w:t>
      </w:r>
      <w:r>
        <w:rPr>
          <w:rFonts w:hint="eastAsia"/>
        </w:rPr>
        <w:t>，</w:t>
      </w:r>
      <w:r>
        <w:t>对最终采坑台阶上底部进行平整</w:t>
      </w:r>
      <w:r>
        <w:rPr>
          <w:rFonts w:hint="eastAsia"/>
        </w:rPr>
        <w:t>，</w:t>
      </w:r>
      <w:r>
        <w:t>覆土</w:t>
      </w:r>
      <w:r>
        <w:rPr>
          <w:rFonts w:hint="eastAsia"/>
        </w:rPr>
        <w:t>，</w:t>
      </w:r>
      <w:r>
        <w:t>恢复地表植被</w:t>
      </w:r>
      <w:r>
        <w:rPr>
          <w:rFonts w:hint="eastAsia"/>
        </w:rPr>
        <w:t>。</w:t>
      </w:r>
    </w:p>
    <w:p w14:paraId="4190AE1E">
      <w:pPr>
        <w:ind w:firstLine="480"/>
      </w:pPr>
      <w:r>
        <w:t>（2）对生态系统的影响</w:t>
      </w:r>
    </w:p>
    <w:p w14:paraId="14DD2839">
      <w:pPr>
        <w:ind w:firstLine="480"/>
      </w:pPr>
      <w:r>
        <w:rPr>
          <w:rFonts w:hint="eastAsia"/>
        </w:rPr>
        <w:t>本</w:t>
      </w:r>
      <w:r>
        <w:t>项目建设占用</w:t>
      </w:r>
      <w:r>
        <w:rPr>
          <w:rFonts w:hint="eastAsia"/>
        </w:rPr>
        <w:t>为乔木林地</w:t>
      </w:r>
      <w:r>
        <w:t>，</w:t>
      </w:r>
      <w:r>
        <w:rPr>
          <w:rFonts w:hint="eastAsia"/>
        </w:rPr>
        <w:t>占用面积较小，经现场调查，项目建设破坏</w:t>
      </w:r>
      <w:r>
        <w:t>植被</w:t>
      </w:r>
      <w:r>
        <w:rPr>
          <w:rFonts w:hint="eastAsia"/>
        </w:rPr>
        <w:t>面积较小，</w:t>
      </w:r>
      <w:r>
        <w:t>仅</w:t>
      </w:r>
      <w:r>
        <w:rPr>
          <w:rFonts w:hint="eastAsia"/>
        </w:rPr>
        <w:t>11.01hm</w:t>
      </w:r>
      <w:r>
        <w:rPr>
          <w:rFonts w:hint="eastAsia"/>
          <w:vertAlign w:val="superscript"/>
        </w:rPr>
        <w:t>2</w:t>
      </w:r>
      <w:r>
        <w:t>。经现场样方与遥感专题栅格（分类值1-7，包含森林、灌丛、农田、草地、水域、裸地、工矿7类生态系统）叠加核算，项目实施前景观香农多样性指数</w:t>
      </w:r>
      <w:r>
        <w:rPr>
          <w:rFonts w:hint="eastAsia"/>
        </w:rPr>
        <w:t>2.9016</w:t>
      </w:r>
      <w:r>
        <w:t>，开采运营后为</w:t>
      </w:r>
      <w:r>
        <w:rPr>
          <w:rFonts w:hint="eastAsia"/>
        </w:rPr>
        <w:t>2.8923</w:t>
      </w:r>
      <w:r>
        <w:t>，指数仅微小下降，整体未改变评价范围森林、灌丛、农田、河谷湿地镶嵌分布的整体生态格局，区域生态系统多样性仍处于较高水平。</w:t>
      </w:r>
    </w:p>
    <w:p w14:paraId="62B49BC7">
      <w:pPr>
        <w:ind w:firstLine="480"/>
      </w:pPr>
      <w:r>
        <w:t>（3）对植被影响</w:t>
      </w:r>
    </w:p>
    <w:p w14:paraId="71193BC3">
      <w:pPr>
        <w:ind w:firstLine="480"/>
      </w:pPr>
      <w:r>
        <w:rPr>
          <w:rFonts w:hint="eastAsia"/>
        </w:rPr>
        <w:t>本</w:t>
      </w:r>
      <w:r>
        <w:t>项目建设</w:t>
      </w:r>
      <w:r>
        <w:rPr>
          <w:rFonts w:hint="eastAsia"/>
        </w:rPr>
        <w:t>占地面积</w:t>
      </w:r>
      <w:r>
        <w:t>为</w:t>
      </w:r>
      <w:r>
        <w:rPr>
          <w:rFonts w:hint="eastAsia"/>
        </w:rPr>
        <w:t>11.01hm</w:t>
      </w:r>
      <w:r>
        <w:rPr>
          <w:vertAlign w:val="superscript"/>
        </w:rPr>
        <w:t>2</w:t>
      </w:r>
      <w:r>
        <w:rPr>
          <w:rFonts w:hint="eastAsia"/>
        </w:rPr>
        <w:t>，</w:t>
      </w:r>
      <w:r>
        <w:t>植被种类均为评价区内常见种类或广布种，</w:t>
      </w:r>
      <w:r>
        <w:rPr>
          <w:rFonts w:hint="eastAsia"/>
        </w:rPr>
        <w:t>生长范围较广，适应性强，项目建设不会导致植物种群消失或灭绝。占地范围内未见国家级保护植物，项目建设对保护植物没有影响。</w:t>
      </w:r>
    </w:p>
    <w:p w14:paraId="5AEE70A5">
      <w:pPr>
        <w:ind w:firstLine="480"/>
      </w:pPr>
      <w:r>
        <w:t>（4）动物资源的影响</w:t>
      </w:r>
    </w:p>
    <w:p w14:paraId="2C649993">
      <w:pPr>
        <w:ind w:firstLine="480"/>
      </w:pPr>
      <w:r>
        <w:t>经现场踏勘，工程区域范围无珍稀保护动物分布，施工期间施工人员活动和施工机械噪声等将会使项目区域及周围一定范围内栖息的小型鼠类和两栖动物等产生一定影响。因此，本项目施工中应采取一定的降噪、减震措施，减小对上述野生动物的影响</w:t>
      </w:r>
      <w:r>
        <w:rPr>
          <w:rFonts w:hint="eastAsia"/>
        </w:rPr>
        <w:t>。</w:t>
      </w:r>
    </w:p>
    <w:p w14:paraId="0FCC05C2">
      <w:pPr>
        <w:pStyle w:val="4"/>
        <w:spacing w:before="234" w:after="156"/>
        <w:rPr>
          <w:rFonts w:hAnsi="Times New Roman" w:cs="Times New Roman"/>
        </w:rPr>
      </w:pPr>
      <w:r>
        <w:rPr>
          <w:rFonts w:hAnsi="Times New Roman" w:cs="Times New Roman"/>
        </w:rPr>
        <w:t>运行期环境影响源的识别和分析</w:t>
      </w:r>
    </w:p>
    <w:p w14:paraId="057645A0">
      <w:pPr>
        <w:pStyle w:val="5"/>
        <w:spacing w:before="156" w:after="156"/>
      </w:pPr>
      <w:r>
        <w:rPr>
          <w:rFonts w:hint="eastAsia"/>
        </w:rPr>
        <w:t>运行期废气</w:t>
      </w:r>
    </w:p>
    <w:p w14:paraId="61CAA0A4">
      <w:pPr>
        <w:ind w:firstLine="480"/>
      </w:pPr>
      <w:r>
        <w:t>本项目废气排放主要来自矿石的开采</w:t>
      </w:r>
      <w:bookmarkStart w:id="127" w:name="_Hlk97660577"/>
      <w:r>
        <w:rPr>
          <w:rFonts w:hint="eastAsia"/>
        </w:rPr>
        <w:t>，</w:t>
      </w:r>
      <w:r>
        <w:t>集堆铲装粉尘、运输粉尘</w:t>
      </w:r>
      <w:r>
        <w:rPr>
          <w:rFonts w:hint="eastAsia"/>
        </w:rPr>
        <w:t>及堆土场粉尘</w:t>
      </w:r>
      <w:r>
        <w:t>，排放方式为无组织</w:t>
      </w:r>
      <w:bookmarkEnd w:id="127"/>
      <w:r>
        <w:t>。</w:t>
      </w:r>
    </w:p>
    <w:p w14:paraId="33381EC3">
      <w:pPr>
        <w:ind w:firstLine="482"/>
        <w:rPr>
          <w:b/>
        </w:rPr>
      </w:pPr>
      <w:r>
        <w:rPr>
          <w:b/>
        </w:rPr>
        <w:t>1、正常工况</w:t>
      </w:r>
    </w:p>
    <w:p w14:paraId="69A973D8">
      <w:pPr>
        <w:ind w:firstLine="482"/>
        <w:rPr>
          <w:b/>
        </w:rPr>
      </w:pPr>
      <w:r>
        <w:rPr>
          <w:b/>
        </w:rPr>
        <w:t>（</w:t>
      </w:r>
      <w:r>
        <w:rPr>
          <w:rFonts w:hint="eastAsia"/>
          <w:b/>
        </w:rPr>
        <w:t>1</w:t>
      </w:r>
      <w:r>
        <w:rPr>
          <w:b/>
        </w:rPr>
        <w:t>）集堆、铲装粉尘</w:t>
      </w:r>
    </w:p>
    <w:p w14:paraId="2C6C1828">
      <w:pPr>
        <w:ind w:firstLine="480"/>
      </w:pPr>
      <w:r>
        <w:t>铲装、集堆粉尘产生情况采用交通水运研究所武汉水运工程学院提出的装车粉尘经验公式估算，经验公式为：</w:t>
      </w:r>
    </w:p>
    <w:p w14:paraId="749E25EE">
      <w:pPr>
        <w:pStyle w:val="179"/>
        <w:rPr>
          <w:rFonts w:cs="Times New Roman"/>
          <w:szCs w:val="28"/>
        </w:rPr>
      </w:pPr>
      <w:r>
        <w:drawing>
          <wp:inline distT="0" distB="0" distL="0" distR="0">
            <wp:extent cx="1551305" cy="359410"/>
            <wp:effectExtent l="0" t="0" r="0" b="0"/>
            <wp:docPr id="33" name="图片 109"/>
            <wp:cNvGraphicFramePr/>
            <a:graphic xmlns:a="http://schemas.openxmlformats.org/drawingml/2006/main">
              <a:graphicData uri="http://schemas.openxmlformats.org/drawingml/2006/picture">
                <pic:pic xmlns:pic="http://schemas.openxmlformats.org/drawingml/2006/picture">
                  <pic:nvPicPr>
                    <pic:cNvPr id="33" name="图片 109"/>
                    <pic:cNvPicPr>
                      <a:picLocks noChangeArrowheads="1"/>
                    </pic:cNvPicPr>
                  </pic:nvPicPr>
                  <pic:blipFill>
                    <a:blip r:embed="rId50"/>
                    <a:srcRect/>
                    <a:stretch>
                      <a:fillRect/>
                    </a:stretch>
                  </pic:blipFill>
                  <pic:spPr>
                    <a:xfrm>
                      <a:off x="0" y="0"/>
                      <a:ext cx="1551305" cy="359410"/>
                    </a:xfrm>
                    <a:prstGeom prst="rect">
                      <a:avLst/>
                    </a:prstGeom>
                    <a:noFill/>
                    <a:ln w="9525" cmpd="sng">
                      <a:noFill/>
                      <a:miter lim="800000"/>
                      <a:headEnd/>
                      <a:tailEnd/>
                    </a:ln>
                  </pic:spPr>
                </pic:pic>
              </a:graphicData>
            </a:graphic>
          </wp:inline>
        </w:drawing>
      </w:r>
    </w:p>
    <w:p w14:paraId="72ED02A2">
      <w:pPr>
        <w:ind w:firstLine="480"/>
      </w:pPr>
      <w:r>
        <w:t>式中：Q——物料装车时机械落差起尘量，kg/s；</w:t>
      </w:r>
    </w:p>
    <w:p w14:paraId="4F172BA1">
      <w:pPr>
        <w:ind w:left="1920" w:leftChars="500" w:hanging="720" w:hangingChars="300"/>
      </w:pPr>
      <w:r>
        <w:t>H——物料落差，m；装载车与自卸车车厢间距，取0.5m；</w:t>
      </w:r>
    </w:p>
    <w:p w14:paraId="3C9325D1">
      <w:pPr>
        <w:ind w:left="1920" w:leftChars="500" w:hanging="720" w:hangingChars="300"/>
        <w:rPr>
          <w:rFonts w:hAnsi="Times New Roman" w:cs="Times New Roman"/>
        </w:rPr>
      </w:pPr>
      <w:r>
        <w:rPr>
          <w:rFonts w:hAnsi="Times New Roman" w:cs="Times New Roman"/>
        </w:rPr>
        <w:t>μ——平均风速，m/s；取塔溪乡年平均风速，2.4m/s；</w:t>
      </w:r>
    </w:p>
    <w:p w14:paraId="10DA5438">
      <w:pPr>
        <w:ind w:left="1920" w:leftChars="500" w:hanging="720" w:hangingChars="300"/>
        <w:rPr>
          <w:rFonts w:hAnsi="Times New Roman" w:cs="Times New Roman"/>
        </w:rPr>
      </w:pPr>
      <w:r>
        <w:rPr>
          <w:rFonts w:hAnsi="Times New Roman" w:cs="Times New Roman"/>
        </w:rPr>
        <w:t>ω——物料含水率，%；取2.1%；参照《扬尘源颗粒物排放清单编制技术指南（试行）》中表11各种行业堆场物料的含水率参考值，采石加工中的各种石灰石产品物料含水率；</w:t>
      </w:r>
    </w:p>
    <w:p w14:paraId="1756FABC">
      <w:pPr>
        <w:ind w:left="1920" w:leftChars="500" w:hanging="720" w:hangingChars="300"/>
      </w:pPr>
      <w:r>
        <w:rPr>
          <w:rFonts w:hAnsi="Times New Roman" w:cs="Times New Roman"/>
        </w:rPr>
        <w:t>t ——物料装车所需时间</w:t>
      </w:r>
      <w:r>
        <w:t>，s；装载车每铲容量为5t，每铲物料下落时间为1s，则物料装车所需时间为</w:t>
      </w:r>
      <w:r>
        <w:rPr>
          <w:rFonts w:hint="eastAsia"/>
        </w:rPr>
        <w:t>10</w:t>
      </w:r>
      <w:r>
        <w:t>s。</w:t>
      </w:r>
    </w:p>
    <w:p w14:paraId="0AE6B400">
      <w:pPr>
        <w:ind w:firstLine="480"/>
      </w:pPr>
      <w:r>
        <w:t>经计算铲装集堆起尘量为0.00</w:t>
      </w:r>
      <w:r>
        <w:rPr>
          <w:rFonts w:hint="eastAsia"/>
        </w:rPr>
        <w:t>5</w:t>
      </w:r>
      <w:r>
        <w:t>kg/s，装载机每铲容量为5t，每铲物料下落时间为1s，</w:t>
      </w:r>
      <w:r>
        <w:rPr>
          <w:rFonts w:hint="eastAsia"/>
        </w:rPr>
        <w:t>本项目</w:t>
      </w:r>
      <w:r>
        <w:t>每天装运</w:t>
      </w:r>
      <w:r>
        <w:rPr>
          <w:rFonts w:hint="eastAsia"/>
        </w:rPr>
        <w:t>4333.3</w:t>
      </w:r>
      <w:r>
        <w:t>t（</w:t>
      </w:r>
      <w:r>
        <w:rPr>
          <w:rFonts w:hint="eastAsia"/>
        </w:rPr>
        <w:t>1666.7</w:t>
      </w:r>
      <w:r>
        <w:t>m</w:t>
      </w:r>
      <w:r>
        <w:rPr>
          <w:vertAlign w:val="superscript"/>
        </w:rPr>
        <w:t>3</w:t>
      </w:r>
      <w:r>
        <w:t>，石料密度取2.</w:t>
      </w:r>
      <w:r>
        <w:rPr>
          <w:rFonts w:hint="eastAsia"/>
        </w:rPr>
        <w:t>6</w:t>
      </w:r>
      <w:r>
        <w:t>t/m</w:t>
      </w:r>
      <w:r>
        <w:rPr>
          <w:vertAlign w:val="superscript"/>
        </w:rPr>
        <w:t>3</w:t>
      </w:r>
      <w:r>
        <w:t>）物料，相当于物料下落总时间为每天</w:t>
      </w:r>
      <w:r>
        <w:rPr>
          <w:rFonts w:hint="eastAsia"/>
        </w:rPr>
        <w:t>866.67</w:t>
      </w:r>
      <w:r>
        <w:t>s，全年工作180天，经计算得出矿区铲装每年产生粉尘量为</w:t>
      </w:r>
      <w:r>
        <w:rPr>
          <w:rFonts w:hint="eastAsia"/>
        </w:rPr>
        <w:t>0.780</w:t>
      </w:r>
      <w:r>
        <w:t>t/a，根据《扬尘源颗粒物排放清单编制技术指南（试行）》，堆场操作（集堆</w:t>
      </w:r>
      <w:r>
        <w:rPr>
          <w:rFonts w:hint="eastAsia"/>
        </w:rPr>
        <w:t>铲</w:t>
      </w:r>
      <w:r>
        <w:t>装参照堆场操作）TSP洒水控制效率为74%</w:t>
      </w:r>
      <w:r>
        <w:rPr>
          <w:rFonts w:hint="eastAsia"/>
        </w:rPr>
        <w:t>，因此，本项目</w:t>
      </w:r>
      <w:r>
        <w:t>通过</w:t>
      </w:r>
      <w:r>
        <w:rPr>
          <w:rFonts w:hint="eastAsia"/>
        </w:rPr>
        <w:t>洒水车</w:t>
      </w:r>
      <w:r>
        <w:t>洒水抑尘可使粉尘排放量降低</w:t>
      </w:r>
      <w:r>
        <w:rPr>
          <w:rFonts w:hint="eastAsia"/>
        </w:rPr>
        <w:t>74</w:t>
      </w:r>
      <w:r>
        <w:t>%，则集堆铲装排放的粉尘量为0.203t/a</w:t>
      </w:r>
      <w:r>
        <w:rPr>
          <w:rFonts w:hint="eastAsia"/>
        </w:rPr>
        <w:t>，0.141kg/h</w:t>
      </w:r>
      <w:r>
        <w:t>。</w:t>
      </w:r>
    </w:p>
    <w:p w14:paraId="55EC8FDE">
      <w:pPr>
        <w:ind w:firstLine="482"/>
        <w:rPr>
          <w:b/>
        </w:rPr>
      </w:pPr>
      <w:r>
        <w:rPr>
          <w:b/>
        </w:rPr>
        <w:t>（</w:t>
      </w:r>
      <w:r>
        <w:rPr>
          <w:rFonts w:hint="eastAsia"/>
          <w:b/>
        </w:rPr>
        <w:t>2</w:t>
      </w:r>
      <w:r>
        <w:rPr>
          <w:b/>
        </w:rPr>
        <w:t>）运输过程扬尘</w:t>
      </w:r>
    </w:p>
    <w:p w14:paraId="7A9726AE">
      <w:pPr>
        <w:ind w:firstLine="480"/>
        <w:rPr>
          <w:rFonts w:hAnsi="Times New Roman"/>
        </w:rPr>
      </w:pPr>
      <w:r>
        <w:rPr>
          <w:rFonts w:hAnsi="Times New Roman"/>
        </w:rPr>
        <w:t>根据《扬尘源颗粒物排放清单编制技术指南（试行）》，计算本项目运输场地道路产生的粉尘公式：</w:t>
      </w:r>
    </w:p>
    <w:p w14:paraId="463A8466">
      <w:pPr>
        <w:ind w:firstLine="480"/>
        <w:jc w:val="center"/>
        <w:rPr>
          <w:rFonts w:hAnsi="Times New Roman"/>
          <w:bCs w:val="0"/>
        </w:rPr>
      </w:pPr>
      <w:r>
        <w:rPr>
          <w:rFonts w:hAnsi="Times New Roman"/>
        </w:rPr>
        <w:drawing>
          <wp:inline distT="0" distB="0" distL="0" distR="0">
            <wp:extent cx="2830195" cy="506095"/>
            <wp:effectExtent l="19050" t="0" r="8255" b="0"/>
            <wp:docPr id="3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1"/>
                    <pic:cNvPicPr>
                      <a:picLocks noChangeAspect="1" noChangeArrowheads="1"/>
                    </pic:cNvPicPr>
                  </pic:nvPicPr>
                  <pic:blipFill>
                    <a:blip r:embed="rId51"/>
                    <a:srcRect l="8623" t="12437" r="6018" b="21452"/>
                    <a:stretch>
                      <a:fillRect/>
                    </a:stretch>
                  </pic:blipFill>
                  <pic:spPr>
                    <a:xfrm>
                      <a:off x="0" y="0"/>
                      <a:ext cx="2830195" cy="506095"/>
                    </a:xfrm>
                    <a:prstGeom prst="rect">
                      <a:avLst/>
                    </a:prstGeom>
                    <a:noFill/>
                    <a:ln w="9525" cmpd="sng">
                      <a:noFill/>
                      <a:miter lim="800000"/>
                      <a:headEnd/>
                      <a:tailEnd/>
                    </a:ln>
                  </pic:spPr>
                </pic:pic>
              </a:graphicData>
            </a:graphic>
          </wp:inline>
        </w:drawing>
      </w:r>
    </w:p>
    <w:p w14:paraId="384DD032">
      <w:pPr>
        <w:ind w:firstLine="480"/>
        <w:textAlignment w:val="center"/>
      </w:pPr>
      <w:r>
        <w:t>式中：E</w:t>
      </w:r>
      <w:r>
        <w:rPr>
          <w:vertAlign w:val="subscript"/>
        </w:rPr>
        <w:t>UPi</w:t>
      </w:r>
      <w:r>
        <w:t>—未铺装道路扬尘中PMi排放系数，g/km；</w:t>
      </w:r>
    </w:p>
    <w:p w14:paraId="7CB966C3">
      <w:pPr>
        <w:ind w:left="1680" w:leftChars="500" w:hanging="480" w:hangingChars="200"/>
        <w:textAlignment w:val="center"/>
      </w:pPr>
      <w:r>
        <w:t>k</w:t>
      </w:r>
      <w:r>
        <w:rPr>
          <w:vertAlign w:val="subscript"/>
        </w:rPr>
        <w:t>i</w:t>
      </w:r>
      <w:r>
        <w:t>—产生的扬尘中PMi的粒度乘数，TSP取1691.4g/km；a取0.3，b取0.3；</w:t>
      </w:r>
    </w:p>
    <w:p w14:paraId="79EBF8E5">
      <w:pPr>
        <w:ind w:left="1680" w:leftChars="500" w:hanging="480" w:hangingChars="200"/>
        <w:textAlignment w:val="center"/>
      </w:pPr>
      <w:r>
        <w:t>s—道路表面有效积尘率，取45%；根据《矿山运输和堆场扬尘排放系数估算及防治措施分析》（科技创业月刊 欧阳明、张家冀、胡少敏），非铺装道路路面有效积尘率平均为45%。</w:t>
      </w:r>
    </w:p>
    <w:p w14:paraId="6D59691D">
      <w:pPr>
        <w:ind w:left="1680" w:leftChars="500" w:hanging="480" w:hangingChars="200"/>
        <w:textAlignment w:val="center"/>
      </w:pPr>
      <w:r>
        <w:t>v—平均车速，取15km/h；</w:t>
      </w:r>
    </w:p>
    <w:p w14:paraId="724C7AAB">
      <w:pPr>
        <w:ind w:left="1680" w:leftChars="500" w:hanging="480" w:hangingChars="200"/>
        <w:textAlignment w:val="center"/>
      </w:pPr>
      <w:r>
        <w:t>M —道路积尘含水率，取10%；</w:t>
      </w:r>
      <w:r>
        <w:rPr>
          <w:rFonts w:hint="eastAsia"/>
        </w:rPr>
        <w:t>根据《道路扬尘的理化特性研究分析》（道路桥梁 刘媛媛）</w:t>
      </w:r>
      <w:r>
        <w:t>道路积尘含水率</w:t>
      </w:r>
      <w:r>
        <w:rPr>
          <w:rFonts w:hint="eastAsia"/>
        </w:rPr>
        <w:t>为</w:t>
      </w:r>
      <w:r>
        <w:t>10%</w:t>
      </w:r>
      <w:r>
        <w:rPr>
          <w:rFonts w:hint="eastAsia"/>
        </w:rPr>
        <w:t>。</w:t>
      </w:r>
    </w:p>
    <w:p w14:paraId="6088216D">
      <w:pPr>
        <w:ind w:left="1680" w:leftChars="500" w:hanging="480" w:hangingChars="200"/>
        <w:textAlignment w:val="center"/>
      </w:pPr>
      <w:r>
        <w:drawing>
          <wp:inline distT="0" distB="0" distL="0" distR="0">
            <wp:extent cx="125095" cy="207010"/>
            <wp:effectExtent l="19050" t="0" r="8255" b="0"/>
            <wp:docPr id="3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8"/>
                    <pic:cNvPicPr>
                      <a:picLocks noChangeAspect="1" noChangeArrowheads="1"/>
                    </pic:cNvPicPr>
                  </pic:nvPicPr>
                  <pic:blipFill>
                    <a:blip r:embed="rId52"/>
                    <a:srcRect/>
                    <a:stretch>
                      <a:fillRect/>
                    </a:stretch>
                  </pic:blipFill>
                  <pic:spPr>
                    <a:xfrm>
                      <a:off x="0" y="0"/>
                      <a:ext cx="125095" cy="207010"/>
                    </a:xfrm>
                    <a:prstGeom prst="rect">
                      <a:avLst/>
                    </a:prstGeom>
                    <a:noFill/>
                    <a:ln w="9525" cmpd="sng">
                      <a:noFill/>
                      <a:miter lim="800000"/>
                      <a:headEnd/>
                      <a:tailEnd/>
                    </a:ln>
                  </pic:spPr>
                </pic:pic>
              </a:graphicData>
            </a:graphic>
          </wp:inline>
        </w:drawing>
      </w:r>
      <w:r>
        <w:t>—污染控制技术对扬尘的去除效率，本项目采取</w:t>
      </w:r>
      <w:r>
        <w:rPr>
          <w:rFonts w:hint="eastAsia"/>
        </w:rPr>
        <w:t>洒水车</w:t>
      </w:r>
      <w:r>
        <w:t>洒水2次/天，根据《扬尘源颗粒物排放清单编制技术指南（试行）》，未铺装道路TSP</w:t>
      </w:r>
      <w:r>
        <w:rPr>
          <w:rFonts w:hint="eastAsia"/>
        </w:rPr>
        <w:t>通过</w:t>
      </w:r>
      <w:r>
        <w:t>洒水控制效率为66%，</w:t>
      </w:r>
      <w:r>
        <w:rPr>
          <w:rFonts w:hint="eastAsia"/>
        </w:rPr>
        <w:t>因此</w:t>
      </w:r>
      <w:r>
        <w:t>控制效率取66%。</w:t>
      </w:r>
    </w:p>
    <w:p w14:paraId="69DEC8AF">
      <w:pPr>
        <w:ind w:firstLine="480"/>
        <w:rPr>
          <w:rFonts w:cs="Times New Roman"/>
        </w:rPr>
      </w:pPr>
      <w:r>
        <w:rPr>
          <w:rFonts w:cs="Times New Roman"/>
        </w:rPr>
        <w:t>通过上式计算，E</w:t>
      </w:r>
      <w:r>
        <w:rPr>
          <w:rFonts w:cs="Times New Roman"/>
          <w:vertAlign w:val="subscript"/>
        </w:rPr>
        <w:t>UPi</w:t>
      </w:r>
      <w:r>
        <w:rPr>
          <w:rFonts w:cs="Times New Roman"/>
        </w:rPr>
        <w:t>为28.39g/km，</w:t>
      </w:r>
      <w:r>
        <w:rPr>
          <w:rFonts w:hint="eastAsia" w:cs="Times New Roman"/>
        </w:rPr>
        <w:t>本项目</w:t>
      </w:r>
      <w:r>
        <w:rPr>
          <w:rFonts w:cs="Times New Roman"/>
        </w:rPr>
        <w:t>道路长度为</w:t>
      </w:r>
      <w:r>
        <w:rPr>
          <w:rFonts w:hint="eastAsia" w:cs="Times New Roman"/>
        </w:rPr>
        <w:t>1.25</w:t>
      </w:r>
      <w:r>
        <w:rPr>
          <w:rFonts w:cs="Times New Roman"/>
        </w:rPr>
        <w:t>km，矿区运输次数约为</w:t>
      </w:r>
      <w:r>
        <w:rPr>
          <w:rFonts w:hint="eastAsia" w:cs="Times New Roman"/>
        </w:rPr>
        <w:t>6000</w:t>
      </w:r>
      <w:r>
        <w:rPr>
          <w:rFonts w:cs="Times New Roman"/>
        </w:rPr>
        <w:t>次/a，道路扬尘</w:t>
      </w:r>
      <w:r>
        <w:rPr>
          <w:rFonts w:hint="eastAsia" w:cs="Times New Roman"/>
        </w:rPr>
        <w:t>排放量为</w:t>
      </w:r>
      <w:r>
        <w:rPr>
          <w:rFonts w:cs="Times New Roman"/>
        </w:rPr>
        <w:t>0.213t/a</w:t>
      </w:r>
      <w:r>
        <w:rPr>
          <w:rFonts w:hint="eastAsia" w:cs="Times New Roman"/>
        </w:rPr>
        <w:t>，</w:t>
      </w:r>
      <w:r>
        <w:rPr>
          <w:rFonts w:cs="Times New Roman"/>
        </w:rPr>
        <w:t>0.148</w:t>
      </w:r>
      <w:r>
        <w:rPr>
          <w:rFonts w:hint="eastAsia" w:cs="Times New Roman"/>
        </w:rPr>
        <w:t>kg/h。</w:t>
      </w:r>
    </w:p>
    <w:p w14:paraId="2EF3DC2C">
      <w:pPr>
        <w:ind w:firstLine="482"/>
        <w:rPr>
          <w:rFonts w:cs="Times New Roman"/>
          <w:b/>
        </w:rPr>
      </w:pPr>
      <w:r>
        <w:rPr>
          <w:rFonts w:hint="eastAsia" w:cs="Times New Roman"/>
          <w:b/>
        </w:rPr>
        <w:t>（3）</w:t>
      </w:r>
      <w:r>
        <w:rPr>
          <w:rFonts w:cs="Times New Roman"/>
          <w:b/>
        </w:rPr>
        <w:t>采场剥采</w:t>
      </w:r>
      <w:r>
        <w:rPr>
          <w:rFonts w:hint="eastAsia" w:cs="Times New Roman"/>
          <w:b/>
        </w:rPr>
        <w:t>粉</w:t>
      </w:r>
      <w:r>
        <w:rPr>
          <w:rFonts w:cs="Times New Roman"/>
          <w:b/>
        </w:rPr>
        <w:t>尘</w:t>
      </w:r>
    </w:p>
    <w:p w14:paraId="1D9662E8">
      <w:pPr>
        <w:ind w:firstLine="480"/>
        <w:rPr>
          <w:rFonts w:cs="Times New Roman"/>
        </w:rPr>
      </w:pPr>
      <w:r>
        <w:rPr>
          <w:rFonts w:cs="Times New Roman"/>
        </w:rPr>
        <w:t>本项目剥采方式为直接使用挖掘机剥离，根据国家环保总局环境影响评价工程师执业资格登记管理办公室《建材火电教材》（2006年8月）矿山凿岩时的粉尘产生量约为3g/m</w:t>
      </w:r>
      <w:r>
        <w:rPr>
          <w:rFonts w:cs="Times New Roman"/>
          <w:vertAlign w:val="superscript"/>
        </w:rPr>
        <w:t>3</w:t>
      </w:r>
      <w:r>
        <w:rPr>
          <w:rFonts w:cs="Times New Roman"/>
        </w:rPr>
        <w:t>，</w:t>
      </w:r>
      <w:r>
        <w:rPr>
          <w:rFonts w:hint="eastAsia"/>
        </w:rPr>
        <w:t>本项目开采规模30.00×10</w:t>
      </w:r>
      <w:r>
        <w:rPr>
          <w:rFonts w:hint="eastAsia"/>
          <w:vertAlign w:val="superscript"/>
        </w:rPr>
        <w:t>4</w:t>
      </w:r>
      <w:r>
        <w:rPr>
          <w:rFonts w:hint="eastAsia"/>
        </w:rPr>
        <w:t>m</w:t>
      </w:r>
      <w:r>
        <w:rPr>
          <w:rFonts w:hint="eastAsia"/>
          <w:vertAlign w:val="superscript"/>
        </w:rPr>
        <w:t>3</w:t>
      </w:r>
      <w:r>
        <w:rPr>
          <w:rFonts w:hint="eastAsia"/>
        </w:rPr>
        <w:t>/a，经计算</w:t>
      </w:r>
      <w:r>
        <w:rPr>
          <w:rFonts w:cs="Times New Roman"/>
        </w:rPr>
        <w:t>粉尘产生量为</w:t>
      </w:r>
      <w:r>
        <w:rPr>
          <w:rFonts w:hint="eastAsia" w:cs="Times New Roman"/>
        </w:rPr>
        <w:t>0.9</w:t>
      </w:r>
      <w:r>
        <w:rPr>
          <w:rFonts w:cs="Times New Roman"/>
        </w:rPr>
        <w:t>t/a，0.625kg/h。</w:t>
      </w:r>
      <w:r>
        <w:rPr>
          <w:rFonts w:hint="eastAsia" w:cs="Times New Roman"/>
        </w:rPr>
        <w:t>根据《机掘工作面除尘与降尘效率的探讨》（煤科总院重庆分院 罗茂蜀）中可知洒水抑尘降尘效率为60%~80%，</w:t>
      </w:r>
      <w:r>
        <w:rPr>
          <w:rFonts w:cs="Times New Roman"/>
        </w:rPr>
        <w:t>通过</w:t>
      </w:r>
      <w:r>
        <w:rPr>
          <w:rFonts w:hint="eastAsia" w:cs="Times New Roman"/>
          <w:szCs w:val="28"/>
        </w:rPr>
        <w:t>洒水车</w:t>
      </w:r>
      <w:r>
        <w:rPr>
          <w:rFonts w:cs="Times New Roman"/>
        </w:rPr>
        <w:t>洒水抑尘，可使粉尘排放量降低70%，</w:t>
      </w:r>
      <w:r>
        <w:rPr>
          <w:rFonts w:hint="eastAsia" w:cs="Times New Roman"/>
        </w:rPr>
        <w:t>本项目</w:t>
      </w:r>
      <w:r>
        <w:rPr>
          <w:rFonts w:cs="Times New Roman"/>
        </w:rPr>
        <w:t>剥采排放的粉尘量约为</w:t>
      </w:r>
      <w:r>
        <w:rPr>
          <w:rFonts w:hint="eastAsia" w:cs="Times New Roman"/>
        </w:rPr>
        <w:t>0.27</w:t>
      </w:r>
      <w:r>
        <w:rPr>
          <w:rFonts w:cs="Times New Roman"/>
        </w:rPr>
        <w:t>t/a，0.188kg/h</w:t>
      </w:r>
      <w:r>
        <w:rPr>
          <w:rFonts w:hint="eastAsia" w:cs="Times New Roman"/>
        </w:rPr>
        <w:t>。</w:t>
      </w:r>
    </w:p>
    <w:p w14:paraId="07CD7530">
      <w:pPr>
        <w:ind w:firstLine="482"/>
        <w:rPr>
          <w:rFonts w:cs="Times New Roman"/>
          <w:b/>
        </w:rPr>
      </w:pPr>
      <w:r>
        <w:rPr>
          <w:rFonts w:cs="Times New Roman"/>
          <w:b/>
        </w:rPr>
        <w:t>（</w:t>
      </w:r>
      <w:r>
        <w:rPr>
          <w:rFonts w:hint="eastAsia" w:cs="Times New Roman"/>
          <w:b/>
        </w:rPr>
        <w:t>4</w:t>
      </w:r>
      <w:r>
        <w:rPr>
          <w:rFonts w:cs="Times New Roman"/>
          <w:b/>
        </w:rPr>
        <w:t>）</w:t>
      </w:r>
      <w:r>
        <w:rPr>
          <w:rFonts w:hint="eastAsia" w:cs="Times New Roman"/>
          <w:b/>
        </w:rPr>
        <w:t>堆土场</w:t>
      </w:r>
      <w:r>
        <w:rPr>
          <w:rFonts w:cs="Times New Roman"/>
          <w:b/>
        </w:rPr>
        <w:t>堆场粉尘</w:t>
      </w:r>
    </w:p>
    <w:p w14:paraId="4995BEF5">
      <w:pPr>
        <w:ind w:firstLine="480"/>
        <w:rPr>
          <w:rFonts w:cs="Times New Roman"/>
        </w:rPr>
      </w:pPr>
      <w:r>
        <w:rPr>
          <w:rFonts w:cs="Times New Roman"/>
        </w:rPr>
        <w:t>根据《扬尘源颗粒物排放清单编制技术指南》（试行），堆场的扬尘源排放量是装卸、运输引起的扬尘与堆积存放期间风蚀的加和，计算公式如下：</w:t>
      </w:r>
    </w:p>
    <w:p w14:paraId="6798BF5D">
      <w:pPr>
        <w:pStyle w:val="179"/>
      </w:pPr>
      <w:r>
        <w:drawing>
          <wp:inline distT="0" distB="0" distL="0" distR="0">
            <wp:extent cx="3456305" cy="501015"/>
            <wp:effectExtent l="19050" t="0" r="0" b="0"/>
            <wp:docPr id="36"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37"/>
                    <pic:cNvPicPr>
                      <a:picLocks noChangeAspect="1" noChangeArrowheads="1"/>
                    </pic:cNvPicPr>
                  </pic:nvPicPr>
                  <pic:blipFill>
                    <a:blip r:embed="rId53"/>
                    <a:srcRect l="4726" t="11676" r="3766" b="18271"/>
                    <a:stretch>
                      <a:fillRect/>
                    </a:stretch>
                  </pic:blipFill>
                  <pic:spPr>
                    <a:xfrm>
                      <a:off x="0" y="0"/>
                      <a:ext cx="3456305" cy="501015"/>
                    </a:xfrm>
                    <a:prstGeom prst="rect">
                      <a:avLst/>
                    </a:prstGeom>
                    <a:noFill/>
                    <a:ln w="9525" cmpd="sng">
                      <a:noFill/>
                      <a:miter lim="800000"/>
                      <a:headEnd/>
                      <a:tailEnd/>
                    </a:ln>
                  </pic:spPr>
                </pic:pic>
              </a:graphicData>
            </a:graphic>
          </wp:inline>
        </w:drawing>
      </w:r>
    </w:p>
    <w:p w14:paraId="07648EB4">
      <w:pPr>
        <w:ind w:firstLine="480"/>
      </w:pPr>
      <w:r>
        <w:t>式中：W</w:t>
      </w:r>
      <w:r>
        <w:rPr>
          <w:vertAlign w:val="subscript"/>
        </w:rPr>
        <w:t>Y</w:t>
      </w:r>
      <w:r>
        <w:t>——堆场扬尘源中颗粒物总排放量，t/a；</w:t>
      </w:r>
    </w:p>
    <w:p w14:paraId="0E2EA7EC">
      <w:pPr>
        <w:ind w:firstLine="1200" w:firstLineChars="500"/>
      </w:pPr>
      <w:r>
        <w:t>E</w:t>
      </w:r>
      <w:r>
        <w:rPr>
          <w:vertAlign w:val="subscript"/>
        </w:rPr>
        <w:t>h</w:t>
      </w:r>
      <w:r>
        <w:t>——堆场装卸运输过程的扬尘颗粒物排放系数，kg/t；</w:t>
      </w:r>
    </w:p>
    <w:p w14:paraId="79D6D2E5">
      <w:pPr>
        <w:ind w:firstLine="1200" w:firstLineChars="500"/>
      </w:pPr>
      <w:r>
        <w:t>m——每年料堆物料装卸总次数，</w:t>
      </w:r>
      <w:r>
        <w:rPr>
          <w:rFonts w:hint="eastAsia"/>
        </w:rPr>
        <w:t>取180次</w:t>
      </w:r>
      <w:r>
        <w:t>；</w:t>
      </w:r>
    </w:p>
    <w:p w14:paraId="690E4EB9">
      <w:pPr>
        <w:ind w:firstLine="1200" w:firstLineChars="500"/>
      </w:pPr>
      <w:r>
        <w:t>G</w:t>
      </w:r>
      <w:r>
        <w:rPr>
          <w:vertAlign w:val="subscript"/>
        </w:rPr>
        <w:t>Yi</w:t>
      </w:r>
      <w:r>
        <w:t>——第i次装卸过程的物料装卸量，取</w:t>
      </w:r>
      <w:r>
        <w:rPr>
          <w:rFonts w:hint="eastAsia"/>
        </w:rPr>
        <w:t>1666.67</w:t>
      </w:r>
      <w:r>
        <w:t>t；</w:t>
      </w:r>
    </w:p>
    <w:p w14:paraId="2A9594FD">
      <w:pPr>
        <w:ind w:firstLine="1200" w:firstLineChars="500"/>
      </w:pPr>
      <w:r>
        <w:t>E</w:t>
      </w:r>
      <w:r>
        <w:rPr>
          <w:vertAlign w:val="subscript"/>
        </w:rPr>
        <w:t>w</w:t>
      </w:r>
      <w:r>
        <w:t>——料堆受到风蚀作用的颗粒物排放系数，kg/m</w:t>
      </w:r>
      <w:r>
        <w:rPr>
          <w:vertAlign w:val="superscript"/>
        </w:rPr>
        <w:t>2</w:t>
      </w:r>
      <w:r>
        <w:t>；</w:t>
      </w:r>
    </w:p>
    <w:p w14:paraId="69C40327">
      <w:pPr>
        <w:ind w:firstLine="1200" w:firstLineChars="500"/>
      </w:pPr>
      <w:r>
        <w:t>A</w:t>
      </w:r>
      <w:r>
        <w:rPr>
          <w:vertAlign w:val="subscript"/>
        </w:rPr>
        <w:t>Y</w:t>
      </w:r>
      <w:r>
        <w:t>——料堆表面积，本项目成品</w:t>
      </w:r>
      <w:r>
        <w:rPr>
          <w:rFonts w:hint="eastAsia"/>
        </w:rPr>
        <w:t>堆场（堆土场）</w:t>
      </w:r>
      <w:r>
        <w:t>表面积取</w:t>
      </w:r>
      <w:r>
        <w:rPr>
          <w:rFonts w:hint="eastAsia"/>
        </w:rPr>
        <w:t>2000m</w:t>
      </w:r>
      <w:r>
        <w:rPr>
          <w:rFonts w:hint="eastAsia"/>
          <w:vertAlign w:val="superscript"/>
        </w:rPr>
        <w:t>2</w:t>
      </w:r>
      <w:r>
        <w:t>；</w:t>
      </w:r>
    </w:p>
    <w:p w14:paraId="21FAF0CA">
      <w:pPr>
        <w:ind w:firstLine="480"/>
      </w:pPr>
      <w:r>
        <w:t>装卸、运输物料过程扬尘排放系数的估算：</w:t>
      </w:r>
    </w:p>
    <w:p w14:paraId="6E3095A3">
      <w:pPr>
        <w:pStyle w:val="178"/>
      </w:pPr>
      <w:r>
        <w:drawing>
          <wp:inline distT="0" distB="0" distL="0" distR="0">
            <wp:extent cx="3145790" cy="821690"/>
            <wp:effectExtent l="19050" t="0" r="0" b="0"/>
            <wp:docPr id="37"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38"/>
                    <pic:cNvPicPr>
                      <a:picLocks noChangeAspect="1" noChangeArrowheads="1"/>
                    </pic:cNvPicPr>
                  </pic:nvPicPr>
                  <pic:blipFill>
                    <a:blip r:embed="rId54"/>
                    <a:srcRect l="1080" t="10268" r="3244" b="11301"/>
                    <a:stretch>
                      <a:fillRect/>
                    </a:stretch>
                  </pic:blipFill>
                  <pic:spPr>
                    <a:xfrm>
                      <a:off x="0" y="0"/>
                      <a:ext cx="3145790" cy="821690"/>
                    </a:xfrm>
                    <a:prstGeom prst="rect">
                      <a:avLst/>
                    </a:prstGeom>
                    <a:noFill/>
                    <a:ln w="9525" cmpd="sng">
                      <a:noFill/>
                      <a:miter lim="800000"/>
                      <a:headEnd/>
                      <a:tailEnd/>
                    </a:ln>
                  </pic:spPr>
                </pic:pic>
              </a:graphicData>
            </a:graphic>
          </wp:inline>
        </w:drawing>
      </w:r>
    </w:p>
    <w:p w14:paraId="717C13AE">
      <w:pPr>
        <w:ind w:firstLine="480"/>
      </w:pPr>
      <w:r>
        <w:t>式中：E</w:t>
      </w:r>
      <w:r>
        <w:rPr>
          <w:vertAlign w:val="subscript"/>
        </w:rPr>
        <w:t>h</w:t>
      </w:r>
      <w:r>
        <w:t>——堆场装卸扬尘的排放系数，kg/t；</w:t>
      </w:r>
    </w:p>
    <w:p w14:paraId="5D71DFF9">
      <w:pPr>
        <w:ind w:firstLine="1200" w:firstLineChars="500"/>
        <w:textAlignment w:val="center"/>
      </w:pPr>
      <w:r>
        <w:rPr>
          <w:rFonts w:hint="eastAsia"/>
        </w:rPr>
        <w:t>k</w:t>
      </w:r>
      <w:r>
        <w:rPr>
          <w:vertAlign w:val="subscript"/>
        </w:rPr>
        <w:t>i</w:t>
      </w:r>
      <w:r>
        <w:t>——物料的粒度乘数，取0.74；</w:t>
      </w:r>
    </w:p>
    <w:p w14:paraId="2DE236E1">
      <w:pPr>
        <w:ind w:firstLine="1200" w:firstLineChars="500"/>
        <w:textAlignment w:val="center"/>
      </w:pPr>
      <w:r>
        <w:t>u——地面平均风速，取2.</w:t>
      </w:r>
      <w:r>
        <w:rPr>
          <w:rFonts w:hint="eastAsia"/>
        </w:rPr>
        <w:t>4</w:t>
      </w:r>
      <w:r>
        <w:t>m/s；</w:t>
      </w:r>
    </w:p>
    <w:p w14:paraId="522083A0">
      <w:pPr>
        <w:ind w:firstLine="1200" w:firstLineChars="500"/>
        <w:textAlignment w:val="center"/>
      </w:pPr>
      <w:r>
        <w:t>M——物料含水率，本项目</w:t>
      </w:r>
      <w:r>
        <w:rPr>
          <w:rFonts w:hint="eastAsia"/>
        </w:rPr>
        <w:t>堆</w:t>
      </w:r>
      <w:r>
        <w:t>场表面含水率为10%；</w:t>
      </w:r>
    </w:p>
    <w:p w14:paraId="427DE0F2">
      <w:pPr>
        <w:tabs>
          <w:tab w:val="clear" w:pos="0"/>
        </w:tabs>
        <w:ind w:left="1984" w:leftChars="500" w:hanging="784" w:hangingChars="327"/>
        <w:textAlignment w:val="center"/>
      </w:pPr>
      <w:r>
        <w:drawing>
          <wp:inline distT="0" distB="0" distL="0" distR="0">
            <wp:extent cx="125095" cy="207010"/>
            <wp:effectExtent l="19050" t="0" r="8255" b="0"/>
            <wp:docPr id="38"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39"/>
                    <pic:cNvPicPr>
                      <a:picLocks noChangeAspect="1" noChangeArrowheads="1"/>
                    </pic:cNvPicPr>
                  </pic:nvPicPr>
                  <pic:blipFill>
                    <a:blip r:embed="rId52"/>
                    <a:srcRect/>
                    <a:stretch>
                      <a:fillRect/>
                    </a:stretch>
                  </pic:blipFill>
                  <pic:spPr>
                    <a:xfrm>
                      <a:off x="0" y="0"/>
                      <a:ext cx="125095" cy="207010"/>
                    </a:xfrm>
                    <a:prstGeom prst="rect">
                      <a:avLst/>
                    </a:prstGeom>
                    <a:noFill/>
                    <a:ln w="9525" cmpd="sng">
                      <a:noFill/>
                      <a:miter lim="800000"/>
                      <a:headEnd/>
                      <a:tailEnd/>
                    </a:ln>
                  </pic:spPr>
                </pic:pic>
              </a:graphicData>
            </a:graphic>
          </wp:inline>
        </w:drawing>
      </w:r>
      <w:r>
        <w:t>——污染控制技术对扬尘的去除效率，本项目采取洒水降尘，取74%。</w:t>
      </w:r>
    </w:p>
    <w:p w14:paraId="54EBA6DE">
      <w:pPr>
        <w:pStyle w:val="178"/>
      </w:pPr>
      <w:r>
        <w:drawing>
          <wp:inline distT="0" distB="0" distL="0" distR="0">
            <wp:extent cx="4060190" cy="1344295"/>
            <wp:effectExtent l="19050" t="0" r="0" b="0"/>
            <wp:docPr id="39"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40"/>
                    <pic:cNvPicPr>
                      <a:picLocks noChangeAspect="1" noChangeArrowheads="1"/>
                    </pic:cNvPicPr>
                  </pic:nvPicPr>
                  <pic:blipFill>
                    <a:blip r:embed="rId55"/>
                    <a:srcRect b="9624"/>
                    <a:stretch>
                      <a:fillRect/>
                    </a:stretch>
                  </pic:blipFill>
                  <pic:spPr>
                    <a:xfrm>
                      <a:off x="0" y="0"/>
                      <a:ext cx="4060190" cy="1344295"/>
                    </a:xfrm>
                    <a:prstGeom prst="rect">
                      <a:avLst/>
                    </a:prstGeom>
                    <a:noFill/>
                    <a:ln w="9525" cmpd="sng">
                      <a:noFill/>
                      <a:miter lim="800000"/>
                      <a:headEnd/>
                      <a:tailEnd/>
                    </a:ln>
                  </pic:spPr>
                </pic:pic>
              </a:graphicData>
            </a:graphic>
          </wp:inline>
        </w:drawing>
      </w:r>
    </w:p>
    <w:p w14:paraId="1143E140">
      <w:pPr>
        <w:pStyle w:val="178"/>
      </w:pPr>
      <w:r>
        <w:drawing>
          <wp:inline distT="0" distB="0" distL="0" distR="0">
            <wp:extent cx="2683510" cy="516890"/>
            <wp:effectExtent l="19050" t="0" r="2540" b="0"/>
            <wp:docPr id="40"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41"/>
                    <pic:cNvPicPr>
                      <a:picLocks noChangeAspect="1" noChangeArrowheads="1"/>
                    </pic:cNvPicPr>
                  </pic:nvPicPr>
                  <pic:blipFill>
                    <a:blip r:embed="rId56"/>
                    <a:srcRect/>
                    <a:stretch>
                      <a:fillRect/>
                    </a:stretch>
                  </pic:blipFill>
                  <pic:spPr>
                    <a:xfrm>
                      <a:off x="0" y="0"/>
                      <a:ext cx="2683510" cy="516890"/>
                    </a:xfrm>
                    <a:prstGeom prst="rect">
                      <a:avLst/>
                    </a:prstGeom>
                    <a:noFill/>
                    <a:ln w="9525" cmpd="sng">
                      <a:noFill/>
                      <a:miter lim="800000"/>
                      <a:headEnd/>
                      <a:tailEnd/>
                    </a:ln>
                  </pic:spPr>
                </pic:pic>
              </a:graphicData>
            </a:graphic>
          </wp:inline>
        </w:drawing>
      </w:r>
    </w:p>
    <w:p w14:paraId="44F2851D">
      <w:pPr>
        <w:ind w:firstLine="480"/>
      </w:pPr>
      <w:r>
        <w:t>式中：E</w:t>
      </w:r>
      <w:r>
        <w:rPr>
          <w:vertAlign w:val="subscript"/>
        </w:rPr>
        <w:t>w</w:t>
      </w:r>
      <w:r>
        <w:t>——堆场风蚀扬尘的排放系数，kg/m</w:t>
      </w:r>
      <w:r>
        <w:rPr>
          <w:vertAlign w:val="superscript"/>
        </w:rPr>
        <w:t>2</w:t>
      </w:r>
      <w:r>
        <w:t>；</w:t>
      </w:r>
    </w:p>
    <w:p w14:paraId="11608CFD">
      <w:pPr>
        <w:ind w:left="1920" w:leftChars="500" w:hanging="720" w:hangingChars="300"/>
        <w:textAlignment w:val="center"/>
      </w:pPr>
      <w:r>
        <w:t>k</w:t>
      </w:r>
      <w:r>
        <w:rPr>
          <w:vertAlign w:val="subscript"/>
        </w:rPr>
        <w:t>i</w:t>
      </w:r>
      <w:r>
        <w:t>——物料的粒度乘数，TSP取1.0；</w:t>
      </w:r>
    </w:p>
    <w:p w14:paraId="229CD230">
      <w:pPr>
        <w:ind w:left="1920" w:leftChars="500" w:hanging="720" w:hangingChars="300"/>
        <w:textAlignment w:val="center"/>
      </w:pPr>
      <w:r>
        <w:t>n——料堆每年受扰动的次数，取</w:t>
      </w:r>
      <w:r>
        <w:rPr>
          <w:rFonts w:hint="eastAsia"/>
        </w:rPr>
        <w:t>180</w:t>
      </w:r>
      <w:r>
        <w:t>次；</w:t>
      </w:r>
    </w:p>
    <w:p w14:paraId="411F6E8B">
      <w:pPr>
        <w:ind w:left="1920" w:leftChars="500" w:hanging="720" w:hangingChars="300"/>
        <w:textAlignment w:val="center"/>
      </w:pPr>
      <w:r>
        <w:t>P</w:t>
      </w:r>
      <w:r>
        <w:rPr>
          <w:vertAlign w:val="subscript"/>
        </w:rPr>
        <w:t>i</w:t>
      </w:r>
      <w:r>
        <w:t>——第i次扰动中观测的最大风速的风蚀潜势，g/m</w:t>
      </w:r>
      <w:r>
        <w:rPr>
          <w:vertAlign w:val="superscript"/>
        </w:rPr>
        <w:t>2</w:t>
      </w:r>
      <w:r>
        <w:t>；</w:t>
      </w:r>
    </w:p>
    <w:p w14:paraId="2E1AF17F">
      <w:pPr>
        <w:ind w:left="1920" w:leftChars="500" w:hanging="720" w:hangingChars="300"/>
        <w:textAlignment w:val="center"/>
      </w:pPr>
      <w:r>
        <w:drawing>
          <wp:inline distT="0" distB="0" distL="0" distR="0">
            <wp:extent cx="125095" cy="207010"/>
            <wp:effectExtent l="19050" t="0" r="8255" b="0"/>
            <wp:docPr id="41"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42"/>
                    <pic:cNvPicPr>
                      <a:picLocks noChangeAspect="1" noChangeArrowheads="1"/>
                    </pic:cNvPicPr>
                  </pic:nvPicPr>
                  <pic:blipFill>
                    <a:blip r:embed="rId52"/>
                    <a:srcRect/>
                    <a:stretch>
                      <a:fillRect/>
                    </a:stretch>
                  </pic:blipFill>
                  <pic:spPr>
                    <a:xfrm>
                      <a:off x="0" y="0"/>
                      <a:ext cx="125095" cy="207010"/>
                    </a:xfrm>
                    <a:prstGeom prst="rect">
                      <a:avLst/>
                    </a:prstGeom>
                    <a:noFill/>
                    <a:ln w="9525" cmpd="sng">
                      <a:noFill/>
                      <a:miter lim="800000"/>
                      <a:headEnd/>
                      <a:tailEnd/>
                    </a:ln>
                  </pic:spPr>
                </pic:pic>
              </a:graphicData>
            </a:graphic>
          </wp:inline>
        </w:drawing>
      </w:r>
      <w:r>
        <w:t>——污染控制技术对扬尘的去除效率，本项目采取定期洒水和密目网苫盖，取74%；</w:t>
      </w:r>
    </w:p>
    <w:p w14:paraId="398C1A7F">
      <w:pPr>
        <w:ind w:left="1920" w:leftChars="500" w:hanging="720" w:hangingChars="300"/>
        <w:textAlignment w:val="center"/>
      </w:pPr>
      <w:r>
        <w:t>u*——摩擦风速，m/s；</w:t>
      </w:r>
    </w:p>
    <w:p w14:paraId="4CDA1CC8">
      <w:pPr>
        <w:ind w:left="1920" w:leftChars="500" w:hanging="720" w:hangingChars="300"/>
        <w:textAlignment w:val="center"/>
      </w:pPr>
      <w:r>
        <w:t>u</w:t>
      </w:r>
      <w:r>
        <w:rPr>
          <w:vertAlign w:val="subscript"/>
        </w:rPr>
        <w:t>t</w:t>
      </w:r>
      <w:r>
        <w:t>*——阈值摩擦风速，即起尘的临界摩擦风速，取1.33m/s；</w:t>
      </w:r>
    </w:p>
    <w:p w14:paraId="79D0B6A2">
      <w:pPr>
        <w:ind w:left="1920" w:leftChars="500" w:hanging="720" w:hangingChars="300"/>
        <w:textAlignment w:val="center"/>
      </w:pPr>
      <w:r>
        <w:t>u（z）——地面风速，取2.</w:t>
      </w:r>
      <w:r>
        <w:rPr>
          <w:rFonts w:hint="eastAsia"/>
        </w:rPr>
        <w:t>4</w:t>
      </w:r>
      <w:r>
        <w:t>m/s；</w:t>
      </w:r>
    </w:p>
    <w:p w14:paraId="631EA566">
      <w:pPr>
        <w:ind w:left="1920" w:leftChars="500" w:hanging="720" w:hangingChars="300"/>
        <w:textAlignment w:val="center"/>
      </w:pPr>
      <w:r>
        <w:t>z——地面风速检测高度，取10m；</w:t>
      </w:r>
    </w:p>
    <w:p w14:paraId="48306869">
      <w:pPr>
        <w:ind w:left="1920" w:leftChars="500" w:hanging="720" w:hangingChars="300"/>
        <w:textAlignment w:val="center"/>
      </w:pPr>
      <w:r>
        <w:t>z</w:t>
      </w:r>
      <w:r>
        <w:rPr>
          <w:vertAlign w:val="subscript"/>
        </w:rPr>
        <w:t>0</w:t>
      </w:r>
      <w:r>
        <w:t>——地面粗糙度，m，郊区取值0.2；</w:t>
      </w:r>
    </w:p>
    <w:p w14:paraId="21F8FAA9">
      <w:pPr>
        <w:ind w:left="1920" w:leftChars="500" w:hanging="720" w:hangingChars="300"/>
        <w:textAlignment w:val="center"/>
      </w:pPr>
      <w:r>
        <w:t>0.4——冯卡门常数，无量纲。</w:t>
      </w:r>
    </w:p>
    <w:p w14:paraId="650CA756">
      <w:pPr>
        <w:ind w:firstLine="480"/>
      </w:pPr>
      <w:r>
        <w:t>经计算，</w:t>
      </w:r>
      <w:r>
        <w:rPr>
          <w:rFonts w:hint="eastAsia"/>
        </w:rPr>
        <w:t>堆土场起尘量约0.206t/a，0.143kg/h</w:t>
      </w:r>
      <w:r>
        <w:t>。</w:t>
      </w:r>
    </w:p>
    <w:p w14:paraId="065B11EF">
      <w:pPr>
        <w:ind w:firstLine="482"/>
        <w:rPr>
          <w:rFonts w:hAnsi="Times New Roman"/>
          <w:b/>
        </w:rPr>
      </w:pPr>
      <w:r>
        <w:rPr>
          <w:rFonts w:hint="eastAsia" w:hAnsi="Times New Roman"/>
          <w:b/>
        </w:rPr>
        <w:t>（4）</w:t>
      </w:r>
      <w:r>
        <w:rPr>
          <w:rFonts w:hAnsi="Times New Roman"/>
          <w:b/>
        </w:rPr>
        <w:t>作业机械及车辆废气</w:t>
      </w:r>
    </w:p>
    <w:p w14:paraId="02A97F27">
      <w:pPr>
        <w:ind w:firstLine="480"/>
        <w:rPr>
          <w:rFonts w:hAnsi="Times New Roman"/>
        </w:rPr>
      </w:pPr>
      <w:r>
        <w:rPr>
          <w:rFonts w:hAnsi="Times New Roman"/>
        </w:rPr>
        <w:t>本项目作业机械与车辆主要有：挖掘机</w:t>
      </w:r>
      <w:r>
        <w:rPr>
          <w:rFonts w:hint="eastAsia" w:hAnsi="Times New Roman"/>
        </w:rPr>
        <w:t>4</w:t>
      </w:r>
      <w:r>
        <w:rPr>
          <w:rFonts w:hAnsi="Times New Roman"/>
        </w:rPr>
        <w:t>台，装载机</w:t>
      </w:r>
      <w:r>
        <w:rPr>
          <w:rFonts w:hint="eastAsia" w:hAnsi="Times New Roman"/>
        </w:rPr>
        <w:t>4</w:t>
      </w:r>
      <w:r>
        <w:rPr>
          <w:rFonts w:hAnsi="Times New Roman"/>
        </w:rPr>
        <w:t>台，</w:t>
      </w:r>
      <w:r>
        <w:rPr>
          <w:rFonts w:hint="eastAsia" w:hAnsi="Times New Roman"/>
        </w:rPr>
        <w:t>自卸车4</w:t>
      </w:r>
      <w:r>
        <w:rPr>
          <w:rFonts w:hAnsi="Times New Roman"/>
        </w:rPr>
        <w:t>台。以上机械及车辆均使用柴油燃料，根据环境保护部2014年第92号公告《非道路移动源大气污染物排放清单编制技术指南（试行）》，柴油废气污染物排放系数见表</w:t>
      </w:r>
      <w:r>
        <w:rPr>
          <w:rFonts w:hint="eastAsia" w:hAnsi="Times New Roman"/>
        </w:rPr>
        <w:t>3.5-4</w:t>
      </w:r>
      <w:r>
        <w:rPr>
          <w:rFonts w:hAnsi="Times New Roman"/>
        </w:rPr>
        <w:t>，本项目各类机械及车辆年燃用柴油30t/a，因此，运行期废气污染物排放量见表</w:t>
      </w:r>
      <w:r>
        <w:rPr>
          <w:rFonts w:hint="eastAsia" w:hAnsi="Times New Roman"/>
        </w:rPr>
        <w:t>3.5-5</w:t>
      </w:r>
      <w:r>
        <w:rPr>
          <w:rFonts w:hAnsi="Times New Roman"/>
        </w:rPr>
        <w:t>。</w:t>
      </w:r>
    </w:p>
    <w:p w14:paraId="162BD6FC">
      <w:pPr>
        <w:pStyle w:val="178"/>
      </w:pPr>
      <w:r>
        <w:t>表</w:t>
      </w:r>
      <w:r>
        <w:rPr>
          <w:rFonts w:hint="eastAsia"/>
        </w:rPr>
        <w:t xml:space="preserve">3.5-4  </w:t>
      </w:r>
      <w:r>
        <w:t>燃油废气污染物排放系数</w:t>
      </w:r>
    </w:p>
    <w:tbl>
      <w:tblPr>
        <w:tblStyle w:val="36"/>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840"/>
        <w:gridCol w:w="1420"/>
        <w:gridCol w:w="1421"/>
        <w:gridCol w:w="1420"/>
        <w:gridCol w:w="1421"/>
      </w:tblGrid>
      <w:tr w14:paraId="6FC4445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840" w:type="dxa"/>
            <w:vAlign w:val="center"/>
          </w:tcPr>
          <w:p w14:paraId="65EA4F01">
            <w:pPr>
              <w:pStyle w:val="179"/>
              <w:rPr>
                <w:b/>
              </w:rPr>
            </w:pPr>
            <w:r>
              <w:rPr>
                <w:b/>
              </w:rPr>
              <w:t>污染物</w:t>
            </w:r>
          </w:p>
        </w:tc>
        <w:tc>
          <w:tcPr>
            <w:tcW w:w="1420" w:type="dxa"/>
            <w:vAlign w:val="center"/>
          </w:tcPr>
          <w:p w14:paraId="544F5E64">
            <w:pPr>
              <w:pStyle w:val="179"/>
              <w:rPr>
                <w:b/>
              </w:rPr>
            </w:pPr>
            <w:r>
              <w:rPr>
                <w:b/>
              </w:rPr>
              <w:t>PM</w:t>
            </w:r>
            <w:r>
              <w:rPr>
                <w:b/>
                <w:vertAlign w:val="subscript"/>
              </w:rPr>
              <w:t>10</w:t>
            </w:r>
          </w:p>
        </w:tc>
        <w:tc>
          <w:tcPr>
            <w:tcW w:w="1421" w:type="dxa"/>
            <w:vAlign w:val="center"/>
          </w:tcPr>
          <w:p w14:paraId="11457E58">
            <w:pPr>
              <w:pStyle w:val="179"/>
              <w:rPr>
                <w:b/>
              </w:rPr>
            </w:pPr>
            <w:r>
              <w:rPr>
                <w:b/>
              </w:rPr>
              <w:t>HC</w:t>
            </w:r>
          </w:p>
        </w:tc>
        <w:tc>
          <w:tcPr>
            <w:tcW w:w="1420" w:type="dxa"/>
            <w:vAlign w:val="center"/>
          </w:tcPr>
          <w:p w14:paraId="5C6146DF">
            <w:pPr>
              <w:pStyle w:val="179"/>
              <w:rPr>
                <w:b/>
              </w:rPr>
            </w:pPr>
            <w:r>
              <w:rPr>
                <w:b/>
              </w:rPr>
              <w:t>NO</w:t>
            </w:r>
            <w:r>
              <w:rPr>
                <w:b/>
                <w:vertAlign w:val="subscript"/>
              </w:rPr>
              <w:t>x</w:t>
            </w:r>
          </w:p>
        </w:tc>
        <w:tc>
          <w:tcPr>
            <w:tcW w:w="1421" w:type="dxa"/>
            <w:vAlign w:val="center"/>
          </w:tcPr>
          <w:p w14:paraId="016329E6">
            <w:pPr>
              <w:pStyle w:val="179"/>
              <w:rPr>
                <w:b/>
              </w:rPr>
            </w:pPr>
            <w:r>
              <w:rPr>
                <w:b/>
              </w:rPr>
              <w:t>CO</w:t>
            </w:r>
          </w:p>
        </w:tc>
      </w:tr>
      <w:tr w14:paraId="177C138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840" w:type="dxa"/>
            <w:vAlign w:val="center"/>
          </w:tcPr>
          <w:p w14:paraId="6AB9F472">
            <w:pPr>
              <w:pStyle w:val="179"/>
              <w:rPr>
                <w:vertAlign w:val="subscript"/>
              </w:rPr>
            </w:pPr>
            <w:r>
              <w:t>系数（g/kg柴油）</w:t>
            </w:r>
          </w:p>
        </w:tc>
        <w:tc>
          <w:tcPr>
            <w:tcW w:w="1420" w:type="dxa"/>
            <w:vAlign w:val="center"/>
          </w:tcPr>
          <w:p w14:paraId="6EAD41F3">
            <w:pPr>
              <w:pStyle w:val="179"/>
            </w:pPr>
            <w:r>
              <w:t>2.09</w:t>
            </w:r>
          </w:p>
        </w:tc>
        <w:tc>
          <w:tcPr>
            <w:tcW w:w="1421" w:type="dxa"/>
            <w:vAlign w:val="center"/>
          </w:tcPr>
          <w:p w14:paraId="5BA7DE1F">
            <w:pPr>
              <w:pStyle w:val="179"/>
            </w:pPr>
            <w:r>
              <w:t>3.39</w:t>
            </w:r>
          </w:p>
        </w:tc>
        <w:tc>
          <w:tcPr>
            <w:tcW w:w="1420" w:type="dxa"/>
            <w:vAlign w:val="center"/>
          </w:tcPr>
          <w:p w14:paraId="71CA2189">
            <w:pPr>
              <w:pStyle w:val="179"/>
            </w:pPr>
            <w:r>
              <w:t>32.79</w:t>
            </w:r>
          </w:p>
        </w:tc>
        <w:tc>
          <w:tcPr>
            <w:tcW w:w="1421" w:type="dxa"/>
            <w:vAlign w:val="center"/>
          </w:tcPr>
          <w:p w14:paraId="67301960">
            <w:pPr>
              <w:pStyle w:val="179"/>
            </w:pPr>
            <w:r>
              <w:t>10.72</w:t>
            </w:r>
          </w:p>
        </w:tc>
      </w:tr>
    </w:tbl>
    <w:p w14:paraId="1D816521">
      <w:pPr>
        <w:pStyle w:val="178"/>
      </w:pPr>
      <w:r>
        <w:t>表3</w:t>
      </w:r>
      <w:r>
        <w:rPr>
          <w:rFonts w:hint="eastAsia"/>
        </w:rPr>
        <w:t xml:space="preserve">.5-5  </w:t>
      </w:r>
      <w:r>
        <w:t>运行期废气污染物排放量</w:t>
      </w:r>
    </w:p>
    <w:tbl>
      <w:tblPr>
        <w:tblStyle w:val="36"/>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840"/>
        <w:gridCol w:w="1420"/>
        <w:gridCol w:w="1421"/>
        <w:gridCol w:w="1420"/>
        <w:gridCol w:w="1421"/>
      </w:tblGrid>
      <w:tr w14:paraId="12F5D26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840" w:type="dxa"/>
            <w:vAlign w:val="center"/>
          </w:tcPr>
          <w:p w14:paraId="12F68D2F">
            <w:pPr>
              <w:pStyle w:val="179"/>
              <w:rPr>
                <w:b/>
              </w:rPr>
            </w:pPr>
            <w:r>
              <w:rPr>
                <w:b/>
              </w:rPr>
              <w:t>污染物</w:t>
            </w:r>
          </w:p>
        </w:tc>
        <w:tc>
          <w:tcPr>
            <w:tcW w:w="1420" w:type="dxa"/>
            <w:vAlign w:val="center"/>
          </w:tcPr>
          <w:p w14:paraId="67EC5BF5">
            <w:pPr>
              <w:pStyle w:val="179"/>
              <w:rPr>
                <w:b/>
              </w:rPr>
            </w:pPr>
            <w:r>
              <w:rPr>
                <w:b/>
              </w:rPr>
              <w:t>PM</w:t>
            </w:r>
            <w:r>
              <w:rPr>
                <w:b/>
                <w:vertAlign w:val="subscript"/>
              </w:rPr>
              <w:t>10</w:t>
            </w:r>
          </w:p>
        </w:tc>
        <w:tc>
          <w:tcPr>
            <w:tcW w:w="1421" w:type="dxa"/>
            <w:vAlign w:val="center"/>
          </w:tcPr>
          <w:p w14:paraId="341A576C">
            <w:pPr>
              <w:pStyle w:val="179"/>
              <w:rPr>
                <w:b/>
              </w:rPr>
            </w:pPr>
            <w:r>
              <w:rPr>
                <w:b/>
              </w:rPr>
              <w:t>HC</w:t>
            </w:r>
          </w:p>
        </w:tc>
        <w:tc>
          <w:tcPr>
            <w:tcW w:w="1420" w:type="dxa"/>
            <w:vAlign w:val="center"/>
          </w:tcPr>
          <w:p w14:paraId="6B254FA9">
            <w:pPr>
              <w:pStyle w:val="179"/>
              <w:rPr>
                <w:b/>
              </w:rPr>
            </w:pPr>
            <w:r>
              <w:rPr>
                <w:b/>
              </w:rPr>
              <w:t>NO</w:t>
            </w:r>
            <w:r>
              <w:rPr>
                <w:b/>
                <w:vertAlign w:val="subscript"/>
              </w:rPr>
              <w:t>x</w:t>
            </w:r>
          </w:p>
        </w:tc>
        <w:tc>
          <w:tcPr>
            <w:tcW w:w="1421" w:type="dxa"/>
            <w:vAlign w:val="center"/>
          </w:tcPr>
          <w:p w14:paraId="7D047E43">
            <w:pPr>
              <w:pStyle w:val="179"/>
              <w:rPr>
                <w:b/>
              </w:rPr>
            </w:pPr>
            <w:r>
              <w:rPr>
                <w:b/>
              </w:rPr>
              <w:t>CO</w:t>
            </w:r>
          </w:p>
        </w:tc>
      </w:tr>
      <w:tr w14:paraId="379843E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840" w:type="dxa"/>
            <w:vAlign w:val="center"/>
          </w:tcPr>
          <w:p w14:paraId="6F64E474">
            <w:pPr>
              <w:pStyle w:val="179"/>
              <w:rPr>
                <w:vertAlign w:val="subscript"/>
              </w:rPr>
            </w:pPr>
            <w:r>
              <w:t>排放量（t/a）</w:t>
            </w:r>
          </w:p>
        </w:tc>
        <w:tc>
          <w:tcPr>
            <w:tcW w:w="1420" w:type="dxa"/>
            <w:vAlign w:val="center"/>
          </w:tcPr>
          <w:p w14:paraId="2C90F449">
            <w:pPr>
              <w:pStyle w:val="179"/>
              <w:rPr>
                <w:rFonts w:ascii="宋体" w:hAnsi="宋体"/>
              </w:rPr>
            </w:pPr>
            <w:r>
              <w:rPr>
                <w:rFonts w:hint="eastAsia"/>
              </w:rPr>
              <w:t xml:space="preserve">0.063 </w:t>
            </w:r>
          </w:p>
        </w:tc>
        <w:tc>
          <w:tcPr>
            <w:tcW w:w="1421" w:type="dxa"/>
            <w:vAlign w:val="center"/>
          </w:tcPr>
          <w:p w14:paraId="00AF986F">
            <w:pPr>
              <w:pStyle w:val="179"/>
              <w:rPr>
                <w:rFonts w:ascii="宋体" w:hAnsi="宋体"/>
              </w:rPr>
            </w:pPr>
            <w:r>
              <w:rPr>
                <w:rFonts w:hint="eastAsia"/>
              </w:rPr>
              <w:t xml:space="preserve">0.102 </w:t>
            </w:r>
          </w:p>
        </w:tc>
        <w:tc>
          <w:tcPr>
            <w:tcW w:w="1420" w:type="dxa"/>
            <w:vAlign w:val="center"/>
          </w:tcPr>
          <w:p w14:paraId="0AB8F209">
            <w:pPr>
              <w:pStyle w:val="179"/>
              <w:rPr>
                <w:rFonts w:ascii="宋体" w:hAnsi="宋体"/>
              </w:rPr>
            </w:pPr>
            <w:r>
              <w:rPr>
                <w:rFonts w:hint="eastAsia"/>
              </w:rPr>
              <w:t xml:space="preserve">0.984 </w:t>
            </w:r>
          </w:p>
        </w:tc>
        <w:tc>
          <w:tcPr>
            <w:tcW w:w="1421" w:type="dxa"/>
            <w:vAlign w:val="center"/>
          </w:tcPr>
          <w:p w14:paraId="4C3199FD">
            <w:pPr>
              <w:pStyle w:val="179"/>
              <w:rPr>
                <w:rFonts w:ascii="宋体" w:hAnsi="宋体"/>
              </w:rPr>
            </w:pPr>
            <w:r>
              <w:rPr>
                <w:rFonts w:hint="eastAsia"/>
              </w:rPr>
              <w:t xml:space="preserve">0.322 </w:t>
            </w:r>
          </w:p>
        </w:tc>
      </w:tr>
    </w:tbl>
    <w:p w14:paraId="58E18B51">
      <w:pPr>
        <w:ind w:firstLine="480"/>
      </w:pPr>
    </w:p>
    <w:p w14:paraId="0DD50F09">
      <w:pPr>
        <w:ind w:firstLine="480"/>
      </w:pPr>
    </w:p>
    <w:p w14:paraId="281F1E5D">
      <w:pPr>
        <w:ind w:firstLine="480"/>
        <w:sectPr>
          <w:pgSz w:w="11907" w:h="16840"/>
          <w:pgMar w:top="1134" w:right="1797" w:bottom="1134" w:left="1797" w:header="1020" w:footer="1077" w:gutter="0"/>
          <w:cols w:space="720" w:num="1"/>
          <w:docGrid w:type="linesAndChars" w:linePitch="312" w:charSpace="0"/>
        </w:sectPr>
      </w:pPr>
    </w:p>
    <w:p w14:paraId="063A5355">
      <w:pPr>
        <w:pStyle w:val="178"/>
      </w:pPr>
      <w:r>
        <w:t>表3.</w:t>
      </w:r>
      <w:r>
        <w:rPr>
          <w:rFonts w:hint="eastAsia"/>
        </w:rPr>
        <w:t>5-6</w:t>
      </w:r>
      <w:r>
        <w:t>主要大气污染物产生情况一览表</w:t>
      </w:r>
    </w:p>
    <w:tbl>
      <w:tblPr>
        <w:tblStyle w:val="36"/>
        <w:tblW w:w="14296"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
      <w:tblGrid>
        <w:gridCol w:w="1358"/>
        <w:gridCol w:w="1095"/>
        <w:gridCol w:w="870"/>
        <w:gridCol w:w="987"/>
        <w:gridCol w:w="850"/>
        <w:gridCol w:w="930"/>
        <w:gridCol w:w="1338"/>
        <w:gridCol w:w="993"/>
        <w:gridCol w:w="1134"/>
        <w:gridCol w:w="850"/>
        <w:gridCol w:w="992"/>
        <w:gridCol w:w="1134"/>
        <w:gridCol w:w="925"/>
        <w:gridCol w:w="840"/>
      </w:tblGrid>
      <w:tr w14:paraId="7EF47B8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61" w:hRule="atLeast"/>
        </w:trPr>
        <w:tc>
          <w:tcPr>
            <w:tcW w:w="1358" w:type="dxa"/>
            <w:vMerge w:val="restart"/>
            <w:vAlign w:val="center"/>
          </w:tcPr>
          <w:p w14:paraId="19B3AA33">
            <w:pPr>
              <w:pStyle w:val="179"/>
              <w:rPr>
                <w:b/>
              </w:rPr>
            </w:pPr>
            <w:r>
              <w:rPr>
                <w:b/>
              </w:rPr>
              <w:t>工序</w:t>
            </w:r>
          </w:p>
        </w:tc>
        <w:tc>
          <w:tcPr>
            <w:tcW w:w="1095" w:type="dxa"/>
            <w:vMerge w:val="restart"/>
            <w:vAlign w:val="center"/>
          </w:tcPr>
          <w:p w14:paraId="3B45C9B4">
            <w:pPr>
              <w:pStyle w:val="179"/>
              <w:rPr>
                <w:b/>
              </w:rPr>
            </w:pPr>
            <w:r>
              <w:rPr>
                <w:b/>
              </w:rPr>
              <w:t>装置</w:t>
            </w:r>
          </w:p>
        </w:tc>
        <w:tc>
          <w:tcPr>
            <w:tcW w:w="870" w:type="dxa"/>
            <w:vMerge w:val="restart"/>
            <w:vAlign w:val="center"/>
          </w:tcPr>
          <w:p w14:paraId="13C59793">
            <w:pPr>
              <w:pStyle w:val="179"/>
              <w:rPr>
                <w:b/>
              </w:rPr>
            </w:pPr>
            <w:r>
              <w:rPr>
                <w:b/>
              </w:rPr>
              <w:t>污染源</w:t>
            </w:r>
            <w:r>
              <w:rPr>
                <w:rFonts w:hint="eastAsia"/>
                <w:b/>
              </w:rPr>
              <w:t>排放方式</w:t>
            </w:r>
          </w:p>
        </w:tc>
        <w:tc>
          <w:tcPr>
            <w:tcW w:w="987" w:type="dxa"/>
            <w:vMerge w:val="restart"/>
            <w:vAlign w:val="center"/>
          </w:tcPr>
          <w:p w14:paraId="40CEADF4">
            <w:pPr>
              <w:pStyle w:val="179"/>
              <w:rPr>
                <w:b/>
              </w:rPr>
            </w:pPr>
            <w:r>
              <w:rPr>
                <w:b/>
              </w:rPr>
              <w:t>污染物</w:t>
            </w:r>
          </w:p>
        </w:tc>
        <w:tc>
          <w:tcPr>
            <w:tcW w:w="4111" w:type="dxa"/>
            <w:gridSpan w:val="4"/>
            <w:vAlign w:val="center"/>
          </w:tcPr>
          <w:p w14:paraId="4C39F0D7">
            <w:pPr>
              <w:pStyle w:val="179"/>
              <w:rPr>
                <w:b/>
              </w:rPr>
            </w:pPr>
            <w:r>
              <w:rPr>
                <w:b/>
              </w:rPr>
              <w:t>污染物产生</w:t>
            </w:r>
          </w:p>
        </w:tc>
        <w:tc>
          <w:tcPr>
            <w:tcW w:w="1984" w:type="dxa"/>
            <w:gridSpan w:val="2"/>
            <w:vAlign w:val="center"/>
          </w:tcPr>
          <w:p w14:paraId="5C411887">
            <w:pPr>
              <w:pStyle w:val="179"/>
              <w:rPr>
                <w:b/>
              </w:rPr>
            </w:pPr>
            <w:r>
              <w:rPr>
                <w:b/>
              </w:rPr>
              <w:t>治理措施</w:t>
            </w:r>
          </w:p>
        </w:tc>
        <w:tc>
          <w:tcPr>
            <w:tcW w:w="3051" w:type="dxa"/>
            <w:gridSpan w:val="3"/>
            <w:vAlign w:val="center"/>
          </w:tcPr>
          <w:p w14:paraId="7B72FCFC">
            <w:pPr>
              <w:pStyle w:val="179"/>
              <w:rPr>
                <w:b/>
              </w:rPr>
            </w:pPr>
            <w:r>
              <w:rPr>
                <w:b/>
              </w:rPr>
              <w:t>污染物排放</w:t>
            </w:r>
          </w:p>
        </w:tc>
        <w:tc>
          <w:tcPr>
            <w:tcW w:w="840" w:type="dxa"/>
            <w:vMerge w:val="restart"/>
            <w:vAlign w:val="center"/>
          </w:tcPr>
          <w:p w14:paraId="0E55B43D">
            <w:pPr>
              <w:pStyle w:val="179"/>
              <w:rPr>
                <w:b/>
              </w:rPr>
            </w:pPr>
            <w:r>
              <w:rPr>
                <w:b/>
              </w:rPr>
              <w:t>排放时间h</w:t>
            </w:r>
          </w:p>
        </w:tc>
      </w:tr>
      <w:tr w14:paraId="2E4BEEE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779" w:hRule="atLeast"/>
        </w:trPr>
        <w:tc>
          <w:tcPr>
            <w:tcW w:w="1358" w:type="dxa"/>
            <w:vMerge w:val="continue"/>
            <w:vAlign w:val="center"/>
          </w:tcPr>
          <w:p w14:paraId="651E0068">
            <w:pPr>
              <w:pStyle w:val="179"/>
              <w:rPr>
                <w:b/>
              </w:rPr>
            </w:pPr>
          </w:p>
        </w:tc>
        <w:tc>
          <w:tcPr>
            <w:tcW w:w="1095" w:type="dxa"/>
            <w:vMerge w:val="continue"/>
            <w:vAlign w:val="center"/>
          </w:tcPr>
          <w:p w14:paraId="2B6AB1BA">
            <w:pPr>
              <w:pStyle w:val="179"/>
              <w:rPr>
                <w:b/>
              </w:rPr>
            </w:pPr>
          </w:p>
        </w:tc>
        <w:tc>
          <w:tcPr>
            <w:tcW w:w="870" w:type="dxa"/>
            <w:vMerge w:val="continue"/>
            <w:vAlign w:val="center"/>
          </w:tcPr>
          <w:p w14:paraId="2265DE72">
            <w:pPr>
              <w:pStyle w:val="179"/>
              <w:rPr>
                <w:b/>
              </w:rPr>
            </w:pPr>
          </w:p>
        </w:tc>
        <w:tc>
          <w:tcPr>
            <w:tcW w:w="987" w:type="dxa"/>
            <w:vMerge w:val="continue"/>
            <w:vAlign w:val="center"/>
          </w:tcPr>
          <w:p w14:paraId="3DC50554">
            <w:pPr>
              <w:pStyle w:val="179"/>
              <w:rPr>
                <w:b/>
              </w:rPr>
            </w:pPr>
          </w:p>
        </w:tc>
        <w:tc>
          <w:tcPr>
            <w:tcW w:w="850" w:type="dxa"/>
            <w:vAlign w:val="center"/>
          </w:tcPr>
          <w:p w14:paraId="7327513A">
            <w:pPr>
              <w:pStyle w:val="179"/>
              <w:rPr>
                <w:b/>
              </w:rPr>
            </w:pPr>
            <w:r>
              <w:rPr>
                <w:b/>
              </w:rPr>
              <w:t>核算方法</w:t>
            </w:r>
          </w:p>
        </w:tc>
        <w:tc>
          <w:tcPr>
            <w:tcW w:w="930" w:type="dxa"/>
            <w:vAlign w:val="center"/>
          </w:tcPr>
          <w:p w14:paraId="69F75D5E">
            <w:pPr>
              <w:pStyle w:val="179"/>
              <w:rPr>
                <w:b/>
              </w:rPr>
            </w:pPr>
            <w:r>
              <w:rPr>
                <w:b/>
              </w:rPr>
              <w:t>废气产生量</w:t>
            </w:r>
          </w:p>
          <w:p w14:paraId="7AFD1535">
            <w:pPr>
              <w:pStyle w:val="179"/>
              <w:rPr>
                <w:b/>
              </w:rPr>
            </w:pPr>
            <w:r>
              <w:rPr>
                <w:b/>
              </w:rPr>
              <w:t>（m</w:t>
            </w:r>
            <w:r>
              <w:rPr>
                <w:b/>
                <w:vertAlign w:val="superscript"/>
              </w:rPr>
              <w:t>3</w:t>
            </w:r>
            <w:r>
              <w:rPr>
                <w:b/>
              </w:rPr>
              <w:t>/h）</w:t>
            </w:r>
          </w:p>
        </w:tc>
        <w:tc>
          <w:tcPr>
            <w:tcW w:w="1338" w:type="dxa"/>
            <w:vAlign w:val="center"/>
          </w:tcPr>
          <w:p w14:paraId="773ACECA">
            <w:pPr>
              <w:pStyle w:val="179"/>
              <w:rPr>
                <w:b/>
              </w:rPr>
            </w:pPr>
            <w:r>
              <w:rPr>
                <w:b/>
              </w:rPr>
              <w:t>产生浓度（mg/m</w:t>
            </w:r>
            <w:r>
              <w:rPr>
                <w:b/>
                <w:vertAlign w:val="superscript"/>
              </w:rPr>
              <w:t>3</w:t>
            </w:r>
            <w:r>
              <w:rPr>
                <w:b/>
              </w:rPr>
              <w:t>）</w:t>
            </w:r>
          </w:p>
        </w:tc>
        <w:tc>
          <w:tcPr>
            <w:tcW w:w="993" w:type="dxa"/>
            <w:vAlign w:val="center"/>
          </w:tcPr>
          <w:p w14:paraId="34D81981">
            <w:pPr>
              <w:pStyle w:val="179"/>
              <w:rPr>
                <w:b/>
              </w:rPr>
            </w:pPr>
            <w:r>
              <w:rPr>
                <w:b/>
              </w:rPr>
              <w:t>产生量（kg/h）</w:t>
            </w:r>
          </w:p>
        </w:tc>
        <w:tc>
          <w:tcPr>
            <w:tcW w:w="1134" w:type="dxa"/>
            <w:vAlign w:val="center"/>
          </w:tcPr>
          <w:p w14:paraId="0CB3C1E2">
            <w:pPr>
              <w:pStyle w:val="179"/>
              <w:rPr>
                <w:b/>
              </w:rPr>
            </w:pPr>
            <w:r>
              <w:rPr>
                <w:b/>
              </w:rPr>
              <w:t>工艺</w:t>
            </w:r>
          </w:p>
        </w:tc>
        <w:tc>
          <w:tcPr>
            <w:tcW w:w="850" w:type="dxa"/>
            <w:vAlign w:val="center"/>
          </w:tcPr>
          <w:p w14:paraId="6E9C0B6D">
            <w:pPr>
              <w:pStyle w:val="179"/>
              <w:rPr>
                <w:b/>
              </w:rPr>
            </w:pPr>
            <w:r>
              <w:rPr>
                <w:b/>
              </w:rPr>
              <w:t>效率%</w:t>
            </w:r>
          </w:p>
        </w:tc>
        <w:tc>
          <w:tcPr>
            <w:tcW w:w="992" w:type="dxa"/>
            <w:vAlign w:val="center"/>
          </w:tcPr>
          <w:p w14:paraId="4E04F0D3">
            <w:pPr>
              <w:pStyle w:val="179"/>
              <w:rPr>
                <w:b/>
              </w:rPr>
            </w:pPr>
            <w:r>
              <w:rPr>
                <w:b/>
              </w:rPr>
              <w:t>废气排放量（m</w:t>
            </w:r>
            <w:r>
              <w:rPr>
                <w:b/>
                <w:vertAlign w:val="superscript"/>
              </w:rPr>
              <w:t>3</w:t>
            </w:r>
            <w:r>
              <w:rPr>
                <w:b/>
              </w:rPr>
              <w:t>/h）</w:t>
            </w:r>
          </w:p>
        </w:tc>
        <w:tc>
          <w:tcPr>
            <w:tcW w:w="1134" w:type="dxa"/>
            <w:vAlign w:val="center"/>
          </w:tcPr>
          <w:p w14:paraId="4C9745D9">
            <w:pPr>
              <w:pStyle w:val="179"/>
              <w:rPr>
                <w:b/>
              </w:rPr>
            </w:pPr>
            <w:r>
              <w:rPr>
                <w:b/>
              </w:rPr>
              <w:t>排放浓度（mg/m</w:t>
            </w:r>
            <w:r>
              <w:rPr>
                <w:b/>
                <w:vertAlign w:val="superscript"/>
              </w:rPr>
              <w:t>3</w:t>
            </w:r>
            <w:r>
              <w:rPr>
                <w:b/>
              </w:rPr>
              <w:t>）</w:t>
            </w:r>
          </w:p>
        </w:tc>
        <w:tc>
          <w:tcPr>
            <w:tcW w:w="925" w:type="dxa"/>
            <w:vAlign w:val="center"/>
          </w:tcPr>
          <w:p w14:paraId="705FF588">
            <w:pPr>
              <w:pStyle w:val="179"/>
              <w:rPr>
                <w:b/>
              </w:rPr>
            </w:pPr>
            <w:r>
              <w:rPr>
                <w:b/>
              </w:rPr>
              <w:t>排放量（kg/h）</w:t>
            </w:r>
          </w:p>
        </w:tc>
        <w:tc>
          <w:tcPr>
            <w:tcW w:w="840" w:type="dxa"/>
            <w:vMerge w:val="continue"/>
            <w:vAlign w:val="center"/>
          </w:tcPr>
          <w:p w14:paraId="00D7CB1A">
            <w:pPr>
              <w:pStyle w:val="179"/>
              <w:rPr>
                <w:b/>
              </w:rPr>
            </w:pPr>
          </w:p>
        </w:tc>
      </w:tr>
      <w:tr w14:paraId="7A18778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65" w:hRule="atLeast"/>
        </w:trPr>
        <w:tc>
          <w:tcPr>
            <w:tcW w:w="1358" w:type="dxa"/>
            <w:vAlign w:val="center"/>
          </w:tcPr>
          <w:p w14:paraId="5E9EC27E">
            <w:pPr>
              <w:pStyle w:val="179"/>
            </w:pPr>
            <w:r>
              <w:t>集堆铲装</w:t>
            </w:r>
          </w:p>
        </w:tc>
        <w:tc>
          <w:tcPr>
            <w:tcW w:w="1095" w:type="dxa"/>
            <w:vAlign w:val="center"/>
          </w:tcPr>
          <w:p w14:paraId="5C91211E">
            <w:pPr>
              <w:pStyle w:val="179"/>
            </w:pPr>
            <w:r>
              <w:t>装载机</w:t>
            </w:r>
          </w:p>
        </w:tc>
        <w:tc>
          <w:tcPr>
            <w:tcW w:w="870" w:type="dxa"/>
            <w:vAlign w:val="center"/>
          </w:tcPr>
          <w:p w14:paraId="121D5342">
            <w:pPr>
              <w:pStyle w:val="179"/>
            </w:pPr>
            <w:r>
              <w:t>无组织</w:t>
            </w:r>
          </w:p>
        </w:tc>
        <w:tc>
          <w:tcPr>
            <w:tcW w:w="987" w:type="dxa"/>
            <w:vAlign w:val="center"/>
          </w:tcPr>
          <w:p w14:paraId="77D60AD6">
            <w:pPr>
              <w:pStyle w:val="179"/>
            </w:pPr>
            <w:r>
              <w:t>TSP</w:t>
            </w:r>
          </w:p>
        </w:tc>
        <w:tc>
          <w:tcPr>
            <w:tcW w:w="850" w:type="dxa"/>
            <w:vMerge w:val="restart"/>
            <w:vAlign w:val="center"/>
          </w:tcPr>
          <w:p w14:paraId="0BA74629">
            <w:pPr>
              <w:pStyle w:val="179"/>
            </w:pPr>
            <w:r>
              <w:t>产</w:t>
            </w:r>
            <w:r>
              <w:rPr>
                <w:rFonts w:hint="eastAsia"/>
              </w:rPr>
              <w:t>污</w:t>
            </w:r>
            <w:r>
              <w:t>系数法</w:t>
            </w:r>
          </w:p>
        </w:tc>
        <w:tc>
          <w:tcPr>
            <w:tcW w:w="930" w:type="dxa"/>
            <w:vAlign w:val="center"/>
          </w:tcPr>
          <w:p w14:paraId="43586621">
            <w:pPr>
              <w:pStyle w:val="179"/>
            </w:pPr>
            <w:r>
              <w:t>--</w:t>
            </w:r>
          </w:p>
        </w:tc>
        <w:tc>
          <w:tcPr>
            <w:tcW w:w="1338" w:type="dxa"/>
            <w:vAlign w:val="center"/>
          </w:tcPr>
          <w:p w14:paraId="460F50C7">
            <w:pPr>
              <w:pStyle w:val="179"/>
            </w:pPr>
            <w:r>
              <w:t>--</w:t>
            </w:r>
          </w:p>
        </w:tc>
        <w:tc>
          <w:tcPr>
            <w:tcW w:w="993" w:type="dxa"/>
            <w:vAlign w:val="center"/>
          </w:tcPr>
          <w:p w14:paraId="4A5093CC">
            <w:pPr>
              <w:pStyle w:val="179"/>
              <w:rPr>
                <w:rFonts w:ascii="宋体" w:hAnsi="宋体"/>
              </w:rPr>
            </w:pPr>
            <w:r>
              <w:rPr>
                <w:rFonts w:hint="eastAsia"/>
              </w:rPr>
              <w:t xml:space="preserve">0.542 </w:t>
            </w:r>
          </w:p>
        </w:tc>
        <w:tc>
          <w:tcPr>
            <w:tcW w:w="1134" w:type="dxa"/>
            <w:vAlign w:val="center"/>
          </w:tcPr>
          <w:p w14:paraId="464FADC1">
            <w:pPr>
              <w:pStyle w:val="179"/>
            </w:pPr>
            <w:r>
              <w:t>洒水降尘</w:t>
            </w:r>
          </w:p>
        </w:tc>
        <w:tc>
          <w:tcPr>
            <w:tcW w:w="850" w:type="dxa"/>
            <w:vAlign w:val="center"/>
          </w:tcPr>
          <w:p w14:paraId="2054FB8D">
            <w:pPr>
              <w:pStyle w:val="179"/>
            </w:pPr>
            <w:r>
              <w:t>74</w:t>
            </w:r>
          </w:p>
        </w:tc>
        <w:tc>
          <w:tcPr>
            <w:tcW w:w="992" w:type="dxa"/>
            <w:vAlign w:val="center"/>
          </w:tcPr>
          <w:p w14:paraId="1D0902A6">
            <w:pPr>
              <w:pStyle w:val="179"/>
            </w:pPr>
            <w:r>
              <w:t>--</w:t>
            </w:r>
          </w:p>
        </w:tc>
        <w:tc>
          <w:tcPr>
            <w:tcW w:w="1134" w:type="dxa"/>
            <w:vAlign w:val="center"/>
          </w:tcPr>
          <w:p w14:paraId="0B24E6BB">
            <w:pPr>
              <w:pStyle w:val="179"/>
            </w:pPr>
            <w:r>
              <w:t>--</w:t>
            </w:r>
          </w:p>
        </w:tc>
        <w:tc>
          <w:tcPr>
            <w:tcW w:w="925" w:type="dxa"/>
            <w:vAlign w:val="center"/>
          </w:tcPr>
          <w:p w14:paraId="47BE5B49">
            <w:pPr>
              <w:pStyle w:val="179"/>
            </w:pPr>
            <w:r>
              <w:rPr>
                <w:rFonts w:hint="eastAsia"/>
              </w:rPr>
              <w:t>0.141</w:t>
            </w:r>
          </w:p>
        </w:tc>
        <w:tc>
          <w:tcPr>
            <w:tcW w:w="840" w:type="dxa"/>
            <w:vAlign w:val="center"/>
          </w:tcPr>
          <w:p w14:paraId="7F44C9B8">
            <w:pPr>
              <w:pStyle w:val="179"/>
            </w:pPr>
            <w:r>
              <w:rPr>
                <w:rFonts w:hint="eastAsia"/>
              </w:rPr>
              <w:t>1440</w:t>
            </w:r>
          </w:p>
        </w:tc>
      </w:tr>
      <w:tr w14:paraId="545B113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65" w:hRule="atLeast"/>
        </w:trPr>
        <w:tc>
          <w:tcPr>
            <w:tcW w:w="1358" w:type="dxa"/>
            <w:vAlign w:val="center"/>
          </w:tcPr>
          <w:p w14:paraId="42886319">
            <w:pPr>
              <w:pStyle w:val="179"/>
            </w:pPr>
            <w:r>
              <w:t>运输</w:t>
            </w:r>
          </w:p>
        </w:tc>
        <w:tc>
          <w:tcPr>
            <w:tcW w:w="1095" w:type="dxa"/>
            <w:vAlign w:val="center"/>
          </w:tcPr>
          <w:p w14:paraId="315025BF">
            <w:pPr>
              <w:pStyle w:val="179"/>
            </w:pPr>
            <w:r>
              <w:t>车辆</w:t>
            </w:r>
          </w:p>
        </w:tc>
        <w:tc>
          <w:tcPr>
            <w:tcW w:w="870" w:type="dxa"/>
            <w:vAlign w:val="center"/>
          </w:tcPr>
          <w:p w14:paraId="72AFB3A5">
            <w:pPr>
              <w:pStyle w:val="179"/>
            </w:pPr>
            <w:r>
              <w:t>无组织</w:t>
            </w:r>
          </w:p>
        </w:tc>
        <w:tc>
          <w:tcPr>
            <w:tcW w:w="987" w:type="dxa"/>
            <w:vAlign w:val="center"/>
          </w:tcPr>
          <w:p w14:paraId="65F4C308">
            <w:pPr>
              <w:pStyle w:val="179"/>
            </w:pPr>
            <w:r>
              <w:t>TSP</w:t>
            </w:r>
          </w:p>
        </w:tc>
        <w:tc>
          <w:tcPr>
            <w:tcW w:w="850" w:type="dxa"/>
            <w:vMerge w:val="continue"/>
            <w:vAlign w:val="center"/>
          </w:tcPr>
          <w:p w14:paraId="55EADDB3">
            <w:pPr>
              <w:pStyle w:val="179"/>
            </w:pPr>
          </w:p>
        </w:tc>
        <w:tc>
          <w:tcPr>
            <w:tcW w:w="930" w:type="dxa"/>
            <w:vAlign w:val="center"/>
          </w:tcPr>
          <w:p w14:paraId="784BA97C">
            <w:pPr>
              <w:pStyle w:val="179"/>
            </w:pPr>
            <w:r>
              <w:t>--</w:t>
            </w:r>
          </w:p>
        </w:tc>
        <w:tc>
          <w:tcPr>
            <w:tcW w:w="1338" w:type="dxa"/>
            <w:vAlign w:val="center"/>
          </w:tcPr>
          <w:p w14:paraId="1EF71B9D">
            <w:pPr>
              <w:pStyle w:val="179"/>
            </w:pPr>
            <w:r>
              <w:t>--</w:t>
            </w:r>
          </w:p>
        </w:tc>
        <w:tc>
          <w:tcPr>
            <w:tcW w:w="993" w:type="dxa"/>
            <w:vAlign w:val="center"/>
          </w:tcPr>
          <w:p w14:paraId="3675B21E">
            <w:pPr>
              <w:pStyle w:val="179"/>
              <w:rPr>
                <w:rFonts w:ascii="宋体" w:hAnsi="宋体"/>
              </w:rPr>
            </w:pPr>
            <w:r>
              <w:rPr>
                <w:rFonts w:hint="eastAsia"/>
              </w:rPr>
              <w:t xml:space="preserve">0.435 </w:t>
            </w:r>
          </w:p>
        </w:tc>
        <w:tc>
          <w:tcPr>
            <w:tcW w:w="1134" w:type="dxa"/>
            <w:vAlign w:val="center"/>
          </w:tcPr>
          <w:p w14:paraId="50D73871">
            <w:pPr>
              <w:pStyle w:val="179"/>
              <w:rPr>
                <w:spacing w:val="-12"/>
              </w:rPr>
            </w:pPr>
            <w:r>
              <w:t>洒水降尘</w:t>
            </w:r>
          </w:p>
        </w:tc>
        <w:tc>
          <w:tcPr>
            <w:tcW w:w="850" w:type="dxa"/>
            <w:vAlign w:val="center"/>
          </w:tcPr>
          <w:p w14:paraId="0DC9D85D">
            <w:pPr>
              <w:pStyle w:val="179"/>
            </w:pPr>
            <w:r>
              <w:t>66</w:t>
            </w:r>
          </w:p>
        </w:tc>
        <w:tc>
          <w:tcPr>
            <w:tcW w:w="992" w:type="dxa"/>
            <w:vAlign w:val="center"/>
          </w:tcPr>
          <w:p w14:paraId="4B4D2AAD">
            <w:pPr>
              <w:pStyle w:val="179"/>
            </w:pPr>
            <w:r>
              <w:t>--</w:t>
            </w:r>
          </w:p>
        </w:tc>
        <w:tc>
          <w:tcPr>
            <w:tcW w:w="1134" w:type="dxa"/>
            <w:vAlign w:val="center"/>
          </w:tcPr>
          <w:p w14:paraId="70914F5F">
            <w:pPr>
              <w:pStyle w:val="179"/>
            </w:pPr>
            <w:r>
              <w:t>--</w:t>
            </w:r>
          </w:p>
        </w:tc>
        <w:tc>
          <w:tcPr>
            <w:tcW w:w="925" w:type="dxa"/>
            <w:vAlign w:val="center"/>
          </w:tcPr>
          <w:p w14:paraId="367DFDB4">
            <w:pPr>
              <w:pStyle w:val="179"/>
            </w:pPr>
            <w:r>
              <w:rPr>
                <w:rFonts w:hint="eastAsia"/>
              </w:rPr>
              <w:t>0.148</w:t>
            </w:r>
          </w:p>
        </w:tc>
        <w:tc>
          <w:tcPr>
            <w:tcW w:w="840" w:type="dxa"/>
            <w:vAlign w:val="center"/>
          </w:tcPr>
          <w:p w14:paraId="4A620467">
            <w:pPr>
              <w:pStyle w:val="179"/>
            </w:pPr>
            <w:r>
              <w:rPr>
                <w:rFonts w:hint="eastAsia"/>
              </w:rPr>
              <w:t>1440</w:t>
            </w:r>
          </w:p>
        </w:tc>
      </w:tr>
      <w:tr w14:paraId="70D5E72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65" w:hRule="atLeast"/>
        </w:trPr>
        <w:tc>
          <w:tcPr>
            <w:tcW w:w="1358" w:type="dxa"/>
            <w:vAlign w:val="center"/>
          </w:tcPr>
          <w:p w14:paraId="51BA237E">
            <w:pPr>
              <w:pStyle w:val="179"/>
            </w:pPr>
            <w:r>
              <w:t>采场剥采</w:t>
            </w:r>
          </w:p>
        </w:tc>
        <w:tc>
          <w:tcPr>
            <w:tcW w:w="1095" w:type="dxa"/>
            <w:vAlign w:val="center"/>
          </w:tcPr>
          <w:p w14:paraId="77A8AE6C">
            <w:pPr>
              <w:pStyle w:val="179"/>
            </w:pPr>
            <w:r>
              <w:rPr>
                <w:rFonts w:hint="eastAsia"/>
              </w:rPr>
              <w:t>挖掘机</w:t>
            </w:r>
          </w:p>
        </w:tc>
        <w:tc>
          <w:tcPr>
            <w:tcW w:w="870" w:type="dxa"/>
            <w:vAlign w:val="center"/>
          </w:tcPr>
          <w:p w14:paraId="39CA57E1">
            <w:pPr>
              <w:pStyle w:val="179"/>
            </w:pPr>
            <w:r>
              <w:t>无组织</w:t>
            </w:r>
          </w:p>
        </w:tc>
        <w:tc>
          <w:tcPr>
            <w:tcW w:w="987" w:type="dxa"/>
            <w:vAlign w:val="center"/>
          </w:tcPr>
          <w:p w14:paraId="4D8CC30A">
            <w:pPr>
              <w:pStyle w:val="179"/>
            </w:pPr>
            <w:r>
              <w:t>TSP</w:t>
            </w:r>
          </w:p>
        </w:tc>
        <w:tc>
          <w:tcPr>
            <w:tcW w:w="850" w:type="dxa"/>
            <w:vMerge w:val="continue"/>
            <w:vAlign w:val="center"/>
          </w:tcPr>
          <w:p w14:paraId="0457F748">
            <w:pPr>
              <w:pStyle w:val="179"/>
            </w:pPr>
          </w:p>
        </w:tc>
        <w:tc>
          <w:tcPr>
            <w:tcW w:w="930" w:type="dxa"/>
            <w:vAlign w:val="center"/>
          </w:tcPr>
          <w:p w14:paraId="23F91A0F">
            <w:pPr>
              <w:pStyle w:val="179"/>
            </w:pPr>
            <w:r>
              <w:t>--</w:t>
            </w:r>
          </w:p>
        </w:tc>
        <w:tc>
          <w:tcPr>
            <w:tcW w:w="1338" w:type="dxa"/>
            <w:vAlign w:val="center"/>
          </w:tcPr>
          <w:p w14:paraId="16A0F62B">
            <w:pPr>
              <w:pStyle w:val="179"/>
            </w:pPr>
            <w:r>
              <w:t>--</w:t>
            </w:r>
          </w:p>
        </w:tc>
        <w:tc>
          <w:tcPr>
            <w:tcW w:w="993" w:type="dxa"/>
            <w:vAlign w:val="center"/>
          </w:tcPr>
          <w:p w14:paraId="3ED410F0">
            <w:pPr>
              <w:pStyle w:val="179"/>
              <w:rPr>
                <w:rFonts w:ascii="宋体" w:hAnsi="宋体"/>
              </w:rPr>
            </w:pPr>
            <w:r>
              <w:rPr>
                <w:rFonts w:hint="eastAsia"/>
              </w:rPr>
              <w:t xml:space="preserve">0.625 </w:t>
            </w:r>
          </w:p>
        </w:tc>
        <w:tc>
          <w:tcPr>
            <w:tcW w:w="1134" w:type="dxa"/>
            <w:vAlign w:val="center"/>
          </w:tcPr>
          <w:p w14:paraId="321310A7">
            <w:pPr>
              <w:pStyle w:val="179"/>
            </w:pPr>
            <w:r>
              <w:t>洒水降尘</w:t>
            </w:r>
          </w:p>
        </w:tc>
        <w:tc>
          <w:tcPr>
            <w:tcW w:w="850" w:type="dxa"/>
            <w:vAlign w:val="center"/>
          </w:tcPr>
          <w:p w14:paraId="6A6A5486">
            <w:pPr>
              <w:pStyle w:val="179"/>
            </w:pPr>
            <w:r>
              <w:rPr>
                <w:rFonts w:hint="eastAsia"/>
              </w:rPr>
              <w:t>70</w:t>
            </w:r>
          </w:p>
        </w:tc>
        <w:tc>
          <w:tcPr>
            <w:tcW w:w="992" w:type="dxa"/>
            <w:vAlign w:val="center"/>
          </w:tcPr>
          <w:p w14:paraId="7E9F4DB9">
            <w:pPr>
              <w:pStyle w:val="179"/>
            </w:pPr>
            <w:r>
              <w:t>--</w:t>
            </w:r>
          </w:p>
        </w:tc>
        <w:tc>
          <w:tcPr>
            <w:tcW w:w="1134" w:type="dxa"/>
            <w:vAlign w:val="center"/>
          </w:tcPr>
          <w:p w14:paraId="4BAD3795">
            <w:pPr>
              <w:pStyle w:val="179"/>
            </w:pPr>
            <w:r>
              <w:t>--</w:t>
            </w:r>
          </w:p>
        </w:tc>
        <w:tc>
          <w:tcPr>
            <w:tcW w:w="925" w:type="dxa"/>
            <w:vAlign w:val="center"/>
          </w:tcPr>
          <w:p w14:paraId="141FF47E">
            <w:pPr>
              <w:pStyle w:val="179"/>
            </w:pPr>
            <w:r>
              <w:rPr>
                <w:rFonts w:hint="eastAsia"/>
              </w:rPr>
              <w:t>0.188</w:t>
            </w:r>
          </w:p>
        </w:tc>
        <w:tc>
          <w:tcPr>
            <w:tcW w:w="840" w:type="dxa"/>
            <w:vAlign w:val="center"/>
          </w:tcPr>
          <w:p w14:paraId="392017DF">
            <w:pPr>
              <w:pStyle w:val="179"/>
            </w:pPr>
            <w:r>
              <w:rPr>
                <w:rFonts w:hint="eastAsia"/>
              </w:rPr>
              <w:t>1440</w:t>
            </w:r>
          </w:p>
        </w:tc>
      </w:tr>
      <w:tr w14:paraId="67C4C80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65" w:hRule="atLeast"/>
        </w:trPr>
        <w:tc>
          <w:tcPr>
            <w:tcW w:w="1358" w:type="dxa"/>
            <w:vAlign w:val="center"/>
          </w:tcPr>
          <w:p w14:paraId="10C2849D">
            <w:pPr>
              <w:pStyle w:val="179"/>
            </w:pPr>
            <w:r>
              <w:rPr>
                <w:rFonts w:hint="eastAsia"/>
              </w:rPr>
              <w:t>堆土场</w:t>
            </w:r>
          </w:p>
        </w:tc>
        <w:tc>
          <w:tcPr>
            <w:tcW w:w="1095" w:type="dxa"/>
            <w:vAlign w:val="center"/>
          </w:tcPr>
          <w:p w14:paraId="786BF419">
            <w:pPr>
              <w:pStyle w:val="179"/>
            </w:pPr>
            <w:r>
              <w:rPr>
                <w:rFonts w:hint="eastAsia"/>
              </w:rPr>
              <w:t>/</w:t>
            </w:r>
          </w:p>
        </w:tc>
        <w:tc>
          <w:tcPr>
            <w:tcW w:w="870" w:type="dxa"/>
            <w:vAlign w:val="center"/>
          </w:tcPr>
          <w:p w14:paraId="5C7FF508">
            <w:pPr>
              <w:pStyle w:val="179"/>
            </w:pPr>
            <w:r>
              <w:rPr>
                <w:rFonts w:hint="eastAsia"/>
              </w:rPr>
              <w:t>无组织</w:t>
            </w:r>
          </w:p>
        </w:tc>
        <w:tc>
          <w:tcPr>
            <w:tcW w:w="987" w:type="dxa"/>
            <w:vAlign w:val="center"/>
          </w:tcPr>
          <w:p w14:paraId="60436A63">
            <w:pPr>
              <w:pStyle w:val="179"/>
            </w:pPr>
            <w:r>
              <w:rPr>
                <w:rFonts w:hint="eastAsia"/>
              </w:rPr>
              <w:t>TSP</w:t>
            </w:r>
          </w:p>
        </w:tc>
        <w:tc>
          <w:tcPr>
            <w:tcW w:w="850" w:type="dxa"/>
            <w:vMerge w:val="continue"/>
            <w:vAlign w:val="center"/>
          </w:tcPr>
          <w:p w14:paraId="4950CECB">
            <w:pPr>
              <w:pStyle w:val="179"/>
            </w:pPr>
          </w:p>
        </w:tc>
        <w:tc>
          <w:tcPr>
            <w:tcW w:w="930" w:type="dxa"/>
            <w:vAlign w:val="center"/>
          </w:tcPr>
          <w:p w14:paraId="62D470A5">
            <w:pPr>
              <w:pStyle w:val="179"/>
            </w:pPr>
            <w:r>
              <w:t>--</w:t>
            </w:r>
          </w:p>
        </w:tc>
        <w:tc>
          <w:tcPr>
            <w:tcW w:w="1338" w:type="dxa"/>
            <w:vAlign w:val="center"/>
          </w:tcPr>
          <w:p w14:paraId="5F79454F">
            <w:pPr>
              <w:pStyle w:val="179"/>
            </w:pPr>
            <w:r>
              <w:t>--</w:t>
            </w:r>
          </w:p>
        </w:tc>
        <w:tc>
          <w:tcPr>
            <w:tcW w:w="993" w:type="dxa"/>
            <w:vAlign w:val="center"/>
          </w:tcPr>
          <w:p w14:paraId="738AE333">
            <w:pPr>
              <w:pStyle w:val="179"/>
              <w:rPr>
                <w:rFonts w:ascii="宋体" w:hAnsi="宋体"/>
              </w:rPr>
            </w:pPr>
            <w:r>
              <w:rPr>
                <w:rFonts w:hint="eastAsia"/>
              </w:rPr>
              <w:t xml:space="preserve">0.550 </w:t>
            </w:r>
          </w:p>
        </w:tc>
        <w:tc>
          <w:tcPr>
            <w:tcW w:w="1134" w:type="dxa"/>
            <w:vAlign w:val="center"/>
          </w:tcPr>
          <w:p w14:paraId="4DCF79C3">
            <w:pPr>
              <w:pStyle w:val="179"/>
            </w:pPr>
            <w:r>
              <w:t>洒水降尘</w:t>
            </w:r>
          </w:p>
        </w:tc>
        <w:tc>
          <w:tcPr>
            <w:tcW w:w="850" w:type="dxa"/>
            <w:vAlign w:val="center"/>
          </w:tcPr>
          <w:p w14:paraId="2675F71C">
            <w:pPr>
              <w:pStyle w:val="179"/>
            </w:pPr>
            <w:r>
              <w:rPr>
                <w:rFonts w:hint="eastAsia"/>
              </w:rPr>
              <w:t>74</w:t>
            </w:r>
          </w:p>
        </w:tc>
        <w:tc>
          <w:tcPr>
            <w:tcW w:w="992" w:type="dxa"/>
            <w:vAlign w:val="center"/>
          </w:tcPr>
          <w:p w14:paraId="21B736AB">
            <w:pPr>
              <w:pStyle w:val="179"/>
            </w:pPr>
            <w:r>
              <w:t>--</w:t>
            </w:r>
          </w:p>
        </w:tc>
        <w:tc>
          <w:tcPr>
            <w:tcW w:w="1134" w:type="dxa"/>
            <w:vAlign w:val="center"/>
          </w:tcPr>
          <w:p w14:paraId="5D31E681">
            <w:pPr>
              <w:pStyle w:val="179"/>
            </w:pPr>
            <w:r>
              <w:t>--</w:t>
            </w:r>
          </w:p>
        </w:tc>
        <w:tc>
          <w:tcPr>
            <w:tcW w:w="925" w:type="dxa"/>
            <w:vAlign w:val="center"/>
          </w:tcPr>
          <w:p w14:paraId="3E4BCF46">
            <w:pPr>
              <w:pStyle w:val="179"/>
            </w:pPr>
            <w:r>
              <w:rPr>
                <w:rFonts w:hint="eastAsia"/>
              </w:rPr>
              <w:t>0.143</w:t>
            </w:r>
          </w:p>
        </w:tc>
        <w:tc>
          <w:tcPr>
            <w:tcW w:w="840" w:type="dxa"/>
            <w:vAlign w:val="center"/>
          </w:tcPr>
          <w:p w14:paraId="58A93CE8">
            <w:pPr>
              <w:pStyle w:val="179"/>
            </w:pPr>
            <w:r>
              <w:rPr>
                <w:rFonts w:hint="eastAsia"/>
              </w:rPr>
              <w:t>4320</w:t>
            </w:r>
          </w:p>
        </w:tc>
      </w:tr>
      <w:tr w14:paraId="73EB19D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65" w:hRule="atLeast"/>
        </w:trPr>
        <w:tc>
          <w:tcPr>
            <w:tcW w:w="1358" w:type="dxa"/>
            <w:vMerge w:val="restart"/>
            <w:vAlign w:val="center"/>
          </w:tcPr>
          <w:p w14:paraId="3936750C">
            <w:pPr>
              <w:pStyle w:val="179"/>
            </w:pPr>
            <w:r>
              <w:rPr>
                <w:rFonts w:hint="eastAsia"/>
              </w:rPr>
              <w:t>作业机械车辆</w:t>
            </w:r>
          </w:p>
        </w:tc>
        <w:tc>
          <w:tcPr>
            <w:tcW w:w="1095" w:type="dxa"/>
            <w:vMerge w:val="restart"/>
            <w:vAlign w:val="center"/>
          </w:tcPr>
          <w:p w14:paraId="704E2B62">
            <w:pPr>
              <w:pStyle w:val="179"/>
            </w:pPr>
            <w:r>
              <w:rPr>
                <w:rFonts w:hint="eastAsia"/>
              </w:rPr>
              <w:t>挖掘机、装载机、自卸车</w:t>
            </w:r>
          </w:p>
        </w:tc>
        <w:tc>
          <w:tcPr>
            <w:tcW w:w="870" w:type="dxa"/>
            <w:vAlign w:val="center"/>
          </w:tcPr>
          <w:p w14:paraId="051FA5A6">
            <w:pPr>
              <w:pStyle w:val="179"/>
            </w:pPr>
            <w:r>
              <w:t>无组织</w:t>
            </w:r>
          </w:p>
        </w:tc>
        <w:tc>
          <w:tcPr>
            <w:tcW w:w="987" w:type="dxa"/>
            <w:vAlign w:val="center"/>
          </w:tcPr>
          <w:p w14:paraId="76CFB8B0">
            <w:pPr>
              <w:pStyle w:val="179"/>
            </w:pPr>
            <w:r>
              <w:t>PM</w:t>
            </w:r>
            <w:r>
              <w:rPr>
                <w:vertAlign w:val="subscript"/>
              </w:rPr>
              <w:t>10</w:t>
            </w:r>
          </w:p>
        </w:tc>
        <w:tc>
          <w:tcPr>
            <w:tcW w:w="850" w:type="dxa"/>
            <w:vMerge w:val="continue"/>
            <w:vAlign w:val="center"/>
          </w:tcPr>
          <w:p w14:paraId="5EDCF35B">
            <w:pPr>
              <w:pStyle w:val="179"/>
            </w:pPr>
          </w:p>
        </w:tc>
        <w:tc>
          <w:tcPr>
            <w:tcW w:w="930" w:type="dxa"/>
            <w:vAlign w:val="center"/>
          </w:tcPr>
          <w:p w14:paraId="15A6E091">
            <w:pPr>
              <w:pStyle w:val="179"/>
            </w:pPr>
            <w:r>
              <w:t>--</w:t>
            </w:r>
          </w:p>
        </w:tc>
        <w:tc>
          <w:tcPr>
            <w:tcW w:w="1338" w:type="dxa"/>
            <w:vAlign w:val="center"/>
          </w:tcPr>
          <w:p w14:paraId="16F79F50">
            <w:pPr>
              <w:pStyle w:val="179"/>
            </w:pPr>
            <w:r>
              <w:t>--</w:t>
            </w:r>
          </w:p>
        </w:tc>
        <w:tc>
          <w:tcPr>
            <w:tcW w:w="993" w:type="dxa"/>
            <w:vAlign w:val="center"/>
          </w:tcPr>
          <w:p w14:paraId="3CAB1EFC">
            <w:pPr>
              <w:pStyle w:val="179"/>
              <w:rPr>
                <w:rFonts w:ascii="宋体" w:hAnsi="宋体"/>
              </w:rPr>
            </w:pPr>
            <w:r>
              <w:rPr>
                <w:rFonts w:hint="eastAsia"/>
              </w:rPr>
              <w:t xml:space="preserve">0.063 </w:t>
            </w:r>
          </w:p>
        </w:tc>
        <w:tc>
          <w:tcPr>
            <w:tcW w:w="1134" w:type="dxa"/>
            <w:vAlign w:val="center"/>
          </w:tcPr>
          <w:p w14:paraId="3ACB7F1E">
            <w:pPr>
              <w:pStyle w:val="179"/>
            </w:pPr>
            <w:r>
              <w:t>/</w:t>
            </w:r>
          </w:p>
        </w:tc>
        <w:tc>
          <w:tcPr>
            <w:tcW w:w="850" w:type="dxa"/>
            <w:vAlign w:val="center"/>
          </w:tcPr>
          <w:p w14:paraId="15577583">
            <w:pPr>
              <w:pStyle w:val="179"/>
            </w:pPr>
            <w:r>
              <w:t>/</w:t>
            </w:r>
          </w:p>
        </w:tc>
        <w:tc>
          <w:tcPr>
            <w:tcW w:w="992" w:type="dxa"/>
            <w:vAlign w:val="center"/>
          </w:tcPr>
          <w:p w14:paraId="0CDBD439">
            <w:pPr>
              <w:pStyle w:val="179"/>
            </w:pPr>
            <w:r>
              <w:t>--</w:t>
            </w:r>
          </w:p>
        </w:tc>
        <w:tc>
          <w:tcPr>
            <w:tcW w:w="1134" w:type="dxa"/>
            <w:vAlign w:val="center"/>
          </w:tcPr>
          <w:p w14:paraId="334C69ED">
            <w:pPr>
              <w:pStyle w:val="179"/>
            </w:pPr>
            <w:r>
              <w:t>--</w:t>
            </w:r>
          </w:p>
        </w:tc>
        <w:tc>
          <w:tcPr>
            <w:tcW w:w="925" w:type="dxa"/>
            <w:vAlign w:val="center"/>
          </w:tcPr>
          <w:p w14:paraId="297C7CEB">
            <w:pPr>
              <w:pStyle w:val="179"/>
              <w:rPr>
                <w:rFonts w:ascii="宋体" w:hAnsi="宋体"/>
              </w:rPr>
            </w:pPr>
            <w:r>
              <w:rPr>
                <w:rFonts w:hint="eastAsia"/>
              </w:rPr>
              <w:t xml:space="preserve">0.063 </w:t>
            </w:r>
          </w:p>
        </w:tc>
        <w:tc>
          <w:tcPr>
            <w:tcW w:w="840" w:type="dxa"/>
            <w:vAlign w:val="center"/>
          </w:tcPr>
          <w:p w14:paraId="5FAB6756">
            <w:pPr>
              <w:pStyle w:val="179"/>
            </w:pPr>
            <w:r>
              <w:rPr>
                <w:rFonts w:hint="eastAsia"/>
              </w:rPr>
              <w:t>1440</w:t>
            </w:r>
          </w:p>
        </w:tc>
      </w:tr>
      <w:tr w14:paraId="63B2557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65" w:hRule="atLeast"/>
        </w:trPr>
        <w:tc>
          <w:tcPr>
            <w:tcW w:w="1358" w:type="dxa"/>
            <w:vMerge w:val="continue"/>
            <w:vAlign w:val="center"/>
          </w:tcPr>
          <w:p w14:paraId="6D87B199">
            <w:pPr>
              <w:pStyle w:val="179"/>
            </w:pPr>
          </w:p>
        </w:tc>
        <w:tc>
          <w:tcPr>
            <w:tcW w:w="1095" w:type="dxa"/>
            <w:vMerge w:val="continue"/>
            <w:vAlign w:val="center"/>
          </w:tcPr>
          <w:p w14:paraId="682B79CB">
            <w:pPr>
              <w:pStyle w:val="179"/>
            </w:pPr>
          </w:p>
        </w:tc>
        <w:tc>
          <w:tcPr>
            <w:tcW w:w="870" w:type="dxa"/>
            <w:vAlign w:val="center"/>
          </w:tcPr>
          <w:p w14:paraId="43679C2E">
            <w:pPr>
              <w:pStyle w:val="179"/>
            </w:pPr>
            <w:r>
              <w:rPr>
                <w:rFonts w:hint="eastAsia"/>
              </w:rPr>
              <w:t>无组织</w:t>
            </w:r>
          </w:p>
        </w:tc>
        <w:tc>
          <w:tcPr>
            <w:tcW w:w="987" w:type="dxa"/>
            <w:vAlign w:val="center"/>
          </w:tcPr>
          <w:p w14:paraId="18A63D47">
            <w:pPr>
              <w:pStyle w:val="179"/>
            </w:pPr>
            <w:r>
              <w:t>HC</w:t>
            </w:r>
          </w:p>
        </w:tc>
        <w:tc>
          <w:tcPr>
            <w:tcW w:w="850" w:type="dxa"/>
            <w:vMerge w:val="continue"/>
            <w:vAlign w:val="center"/>
          </w:tcPr>
          <w:p w14:paraId="42E464E7">
            <w:pPr>
              <w:pStyle w:val="179"/>
            </w:pPr>
          </w:p>
        </w:tc>
        <w:tc>
          <w:tcPr>
            <w:tcW w:w="930" w:type="dxa"/>
            <w:vAlign w:val="center"/>
          </w:tcPr>
          <w:p w14:paraId="39E9648D">
            <w:pPr>
              <w:pStyle w:val="179"/>
            </w:pPr>
            <w:r>
              <w:t>--</w:t>
            </w:r>
          </w:p>
        </w:tc>
        <w:tc>
          <w:tcPr>
            <w:tcW w:w="1338" w:type="dxa"/>
            <w:vAlign w:val="center"/>
          </w:tcPr>
          <w:p w14:paraId="474F938C">
            <w:pPr>
              <w:pStyle w:val="179"/>
            </w:pPr>
            <w:r>
              <w:t>--</w:t>
            </w:r>
          </w:p>
        </w:tc>
        <w:tc>
          <w:tcPr>
            <w:tcW w:w="993" w:type="dxa"/>
            <w:vAlign w:val="center"/>
          </w:tcPr>
          <w:p w14:paraId="0F8F0F51">
            <w:pPr>
              <w:pStyle w:val="179"/>
              <w:rPr>
                <w:rFonts w:ascii="宋体" w:hAnsi="宋体"/>
              </w:rPr>
            </w:pPr>
            <w:r>
              <w:rPr>
                <w:rFonts w:hint="eastAsia"/>
              </w:rPr>
              <w:t xml:space="preserve">0.102 </w:t>
            </w:r>
          </w:p>
        </w:tc>
        <w:tc>
          <w:tcPr>
            <w:tcW w:w="1134" w:type="dxa"/>
            <w:vAlign w:val="center"/>
          </w:tcPr>
          <w:p w14:paraId="73E521A6">
            <w:pPr>
              <w:pStyle w:val="179"/>
            </w:pPr>
            <w:r>
              <w:t>/</w:t>
            </w:r>
          </w:p>
        </w:tc>
        <w:tc>
          <w:tcPr>
            <w:tcW w:w="850" w:type="dxa"/>
            <w:vAlign w:val="center"/>
          </w:tcPr>
          <w:p w14:paraId="4612167A">
            <w:pPr>
              <w:pStyle w:val="179"/>
            </w:pPr>
            <w:r>
              <w:t>/</w:t>
            </w:r>
          </w:p>
        </w:tc>
        <w:tc>
          <w:tcPr>
            <w:tcW w:w="992" w:type="dxa"/>
            <w:vAlign w:val="center"/>
          </w:tcPr>
          <w:p w14:paraId="58B211EB">
            <w:pPr>
              <w:pStyle w:val="179"/>
            </w:pPr>
            <w:r>
              <w:t>--</w:t>
            </w:r>
          </w:p>
        </w:tc>
        <w:tc>
          <w:tcPr>
            <w:tcW w:w="1134" w:type="dxa"/>
            <w:vAlign w:val="center"/>
          </w:tcPr>
          <w:p w14:paraId="5FC0BA77">
            <w:pPr>
              <w:pStyle w:val="179"/>
            </w:pPr>
            <w:r>
              <w:t>--</w:t>
            </w:r>
          </w:p>
        </w:tc>
        <w:tc>
          <w:tcPr>
            <w:tcW w:w="925" w:type="dxa"/>
            <w:vAlign w:val="center"/>
          </w:tcPr>
          <w:p w14:paraId="614CF868">
            <w:pPr>
              <w:pStyle w:val="179"/>
              <w:rPr>
                <w:rFonts w:ascii="宋体" w:hAnsi="宋体"/>
              </w:rPr>
            </w:pPr>
            <w:r>
              <w:rPr>
                <w:rFonts w:hint="eastAsia"/>
              </w:rPr>
              <w:t xml:space="preserve">0.102 </w:t>
            </w:r>
          </w:p>
        </w:tc>
        <w:tc>
          <w:tcPr>
            <w:tcW w:w="840" w:type="dxa"/>
            <w:vAlign w:val="center"/>
          </w:tcPr>
          <w:p w14:paraId="7B786C23">
            <w:pPr>
              <w:pStyle w:val="179"/>
            </w:pPr>
            <w:r>
              <w:rPr>
                <w:rFonts w:hint="eastAsia"/>
              </w:rPr>
              <w:t>1440</w:t>
            </w:r>
          </w:p>
        </w:tc>
      </w:tr>
      <w:tr w14:paraId="4B68D64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65" w:hRule="atLeast"/>
        </w:trPr>
        <w:tc>
          <w:tcPr>
            <w:tcW w:w="1358" w:type="dxa"/>
            <w:vMerge w:val="continue"/>
            <w:vAlign w:val="center"/>
          </w:tcPr>
          <w:p w14:paraId="4DE0E395">
            <w:pPr>
              <w:pStyle w:val="179"/>
            </w:pPr>
          </w:p>
        </w:tc>
        <w:tc>
          <w:tcPr>
            <w:tcW w:w="1095" w:type="dxa"/>
            <w:vMerge w:val="continue"/>
            <w:vAlign w:val="center"/>
          </w:tcPr>
          <w:p w14:paraId="668E9CD0">
            <w:pPr>
              <w:pStyle w:val="179"/>
            </w:pPr>
          </w:p>
        </w:tc>
        <w:tc>
          <w:tcPr>
            <w:tcW w:w="870" w:type="dxa"/>
            <w:vAlign w:val="center"/>
          </w:tcPr>
          <w:p w14:paraId="041A152B">
            <w:pPr>
              <w:pStyle w:val="179"/>
            </w:pPr>
            <w:r>
              <w:t>无组织</w:t>
            </w:r>
          </w:p>
        </w:tc>
        <w:tc>
          <w:tcPr>
            <w:tcW w:w="987" w:type="dxa"/>
            <w:vAlign w:val="center"/>
          </w:tcPr>
          <w:p w14:paraId="613A8081">
            <w:pPr>
              <w:pStyle w:val="179"/>
            </w:pPr>
            <w:r>
              <w:t>NO</w:t>
            </w:r>
            <w:r>
              <w:rPr>
                <w:vertAlign w:val="subscript"/>
              </w:rPr>
              <w:t>x</w:t>
            </w:r>
          </w:p>
        </w:tc>
        <w:tc>
          <w:tcPr>
            <w:tcW w:w="850" w:type="dxa"/>
            <w:vMerge w:val="continue"/>
            <w:vAlign w:val="center"/>
          </w:tcPr>
          <w:p w14:paraId="031EDC38">
            <w:pPr>
              <w:pStyle w:val="179"/>
            </w:pPr>
          </w:p>
        </w:tc>
        <w:tc>
          <w:tcPr>
            <w:tcW w:w="930" w:type="dxa"/>
            <w:vAlign w:val="center"/>
          </w:tcPr>
          <w:p w14:paraId="3B8F9C5E">
            <w:pPr>
              <w:pStyle w:val="179"/>
            </w:pPr>
            <w:r>
              <w:t>--</w:t>
            </w:r>
          </w:p>
        </w:tc>
        <w:tc>
          <w:tcPr>
            <w:tcW w:w="1338" w:type="dxa"/>
            <w:vAlign w:val="center"/>
          </w:tcPr>
          <w:p w14:paraId="3053B77E">
            <w:pPr>
              <w:pStyle w:val="179"/>
            </w:pPr>
            <w:r>
              <w:t>--</w:t>
            </w:r>
          </w:p>
        </w:tc>
        <w:tc>
          <w:tcPr>
            <w:tcW w:w="993" w:type="dxa"/>
            <w:vAlign w:val="center"/>
          </w:tcPr>
          <w:p w14:paraId="25C5C691">
            <w:pPr>
              <w:pStyle w:val="179"/>
              <w:rPr>
                <w:rFonts w:ascii="宋体" w:hAnsi="宋体"/>
              </w:rPr>
            </w:pPr>
            <w:r>
              <w:rPr>
                <w:rFonts w:hint="eastAsia"/>
              </w:rPr>
              <w:t xml:space="preserve">0.984 </w:t>
            </w:r>
          </w:p>
        </w:tc>
        <w:tc>
          <w:tcPr>
            <w:tcW w:w="1134" w:type="dxa"/>
            <w:vAlign w:val="center"/>
          </w:tcPr>
          <w:p w14:paraId="6881AEED">
            <w:pPr>
              <w:pStyle w:val="179"/>
            </w:pPr>
            <w:r>
              <w:t>/</w:t>
            </w:r>
          </w:p>
        </w:tc>
        <w:tc>
          <w:tcPr>
            <w:tcW w:w="850" w:type="dxa"/>
            <w:vAlign w:val="center"/>
          </w:tcPr>
          <w:p w14:paraId="305038F5">
            <w:pPr>
              <w:pStyle w:val="179"/>
            </w:pPr>
            <w:r>
              <w:t>/</w:t>
            </w:r>
          </w:p>
        </w:tc>
        <w:tc>
          <w:tcPr>
            <w:tcW w:w="992" w:type="dxa"/>
            <w:vAlign w:val="center"/>
          </w:tcPr>
          <w:p w14:paraId="3BDC74CA">
            <w:pPr>
              <w:pStyle w:val="179"/>
            </w:pPr>
            <w:r>
              <w:t>--</w:t>
            </w:r>
          </w:p>
        </w:tc>
        <w:tc>
          <w:tcPr>
            <w:tcW w:w="1134" w:type="dxa"/>
            <w:vAlign w:val="center"/>
          </w:tcPr>
          <w:p w14:paraId="4528B710">
            <w:pPr>
              <w:pStyle w:val="179"/>
            </w:pPr>
            <w:r>
              <w:t>--</w:t>
            </w:r>
          </w:p>
        </w:tc>
        <w:tc>
          <w:tcPr>
            <w:tcW w:w="925" w:type="dxa"/>
            <w:vAlign w:val="center"/>
          </w:tcPr>
          <w:p w14:paraId="3F59FE46">
            <w:pPr>
              <w:pStyle w:val="179"/>
              <w:rPr>
                <w:rFonts w:ascii="宋体" w:hAnsi="宋体"/>
              </w:rPr>
            </w:pPr>
            <w:r>
              <w:rPr>
                <w:rFonts w:hint="eastAsia"/>
              </w:rPr>
              <w:t xml:space="preserve">0.984 </w:t>
            </w:r>
          </w:p>
        </w:tc>
        <w:tc>
          <w:tcPr>
            <w:tcW w:w="840" w:type="dxa"/>
            <w:vAlign w:val="center"/>
          </w:tcPr>
          <w:p w14:paraId="636EECC2">
            <w:pPr>
              <w:pStyle w:val="179"/>
            </w:pPr>
            <w:r>
              <w:rPr>
                <w:rFonts w:hint="eastAsia"/>
              </w:rPr>
              <w:t>1440</w:t>
            </w:r>
          </w:p>
        </w:tc>
      </w:tr>
      <w:tr w14:paraId="580C340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65" w:hRule="atLeast"/>
        </w:trPr>
        <w:tc>
          <w:tcPr>
            <w:tcW w:w="1358" w:type="dxa"/>
            <w:vMerge w:val="continue"/>
            <w:vAlign w:val="center"/>
          </w:tcPr>
          <w:p w14:paraId="46336CAA">
            <w:pPr>
              <w:pStyle w:val="179"/>
            </w:pPr>
          </w:p>
        </w:tc>
        <w:tc>
          <w:tcPr>
            <w:tcW w:w="1095" w:type="dxa"/>
            <w:vMerge w:val="continue"/>
            <w:vAlign w:val="center"/>
          </w:tcPr>
          <w:p w14:paraId="19FF625D">
            <w:pPr>
              <w:pStyle w:val="179"/>
            </w:pPr>
          </w:p>
        </w:tc>
        <w:tc>
          <w:tcPr>
            <w:tcW w:w="870" w:type="dxa"/>
            <w:vAlign w:val="center"/>
          </w:tcPr>
          <w:p w14:paraId="6A2AD696">
            <w:pPr>
              <w:pStyle w:val="179"/>
            </w:pPr>
            <w:r>
              <w:rPr>
                <w:rFonts w:hint="eastAsia"/>
              </w:rPr>
              <w:t>无组织</w:t>
            </w:r>
          </w:p>
        </w:tc>
        <w:tc>
          <w:tcPr>
            <w:tcW w:w="987" w:type="dxa"/>
            <w:vAlign w:val="center"/>
          </w:tcPr>
          <w:p w14:paraId="6B3C1822">
            <w:pPr>
              <w:pStyle w:val="179"/>
            </w:pPr>
            <w:r>
              <w:t>CO</w:t>
            </w:r>
          </w:p>
        </w:tc>
        <w:tc>
          <w:tcPr>
            <w:tcW w:w="850" w:type="dxa"/>
            <w:vMerge w:val="continue"/>
            <w:vAlign w:val="center"/>
          </w:tcPr>
          <w:p w14:paraId="18C9853B">
            <w:pPr>
              <w:pStyle w:val="179"/>
            </w:pPr>
          </w:p>
        </w:tc>
        <w:tc>
          <w:tcPr>
            <w:tcW w:w="930" w:type="dxa"/>
            <w:vAlign w:val="center"/>
          </w:tcPr>
          <w:p w14:paraId="364F14FA">
            <w:pPr>
              <w:pStyle w:val="179"/>
            </w:pPr>
            <w:r>
              <w:t>--</w:t>
            </w:r>
          </w:p>
        </w:tc>
        <w:tc>
          <w:tcPr>
            <w:tcW w:w="1338" w:type="dxa"/>
            <w:vAlign w:val="center"/>
          </w:tcPr>
          <w:p w14:paraId="24D44D0F">
            <w:pPr>
              <w:pStyle w:val="179"/>
            </w:pPr>
            <w:r>
              <w:t>--</w:t>
            </w:r>
          </w:p>
        </w:tc>
        <w:tc>
          <w:tcPr>
            <w:tcW w:w="993" w:type="dxa"/>
            <w:vAlign w:val="center"/>
          </w:tcPr>
          <w:p w14:paraId="116A5495">
            <w:pPr>
              <w:pStyle w:val="179"/>
              <w:rPr>
                <w:rFonts w:ascii="宋体" w:hAnsi="宋体"/>
              </w:rPr>
            </w:pPr>
            <w:r>
              <w:rPr>
                <w:rFonts w:hint="eastAsia"/>
              </w:rPr>
              <w:t xml:space="preserve">0.322 </w:t>
            </w:r>
          </w:p>
        </w:tc>
        <w:tc>
          <w:tcPr>
            <w:tcW w:w="1134" w:type="dxa"/>
            <w:vAlign w:val="center"/>
          </w:tcPr>
          <w:p w14:paraId="382E6FA6">
            <w:pPr>
              <w:pStyle w:val="179"/>
            </w:pPr>
            <w:r>
              <w:t>/</w:t>
            </w:r>
          </w:p>
        </w:tc>
        <w:tc>
          <w:tcPr>
            <w:tcW w:w="850" w:type="dxa"/>
            <w:vAlign w:val="center"/>
          </w:tcPr>
          <w:p w14:paraId="3AF6B69E">
            <w:pPr>
              <w:pStyle w:val="179"/>
            </w:pPr>
            <w:r>
              <w:t>/</w:t>
            </w:r>
          </w:p>
        </w:tc>
        <w:tc>
          <w:tcPr>
            <w:tcW w:w="992" w:type="dxa"/>
            <w:vAlign w:val="center"/>
          </w:tcPr>
          <w:p w14:paraId="0337B55C">
            <w:pPr>
              <w:pStyle w:val="179"/>
            </w:pPr>
            <w:r>
              <w:t>--</w:t>
            </w:r>
          </w:p>
        </w:tc>
        <w:tc>
          <w:tcPr>
            <w:tcW w:w="1134" w:type="dxa"/>
            <w:vAlign w:val="center"/>
          </w:tcPr>
          <w:p w14:paraId="7EDC3A75">
            <w:pPr>
              <w:pStyle w:val="179"/>
            </w:pPr>
            <w:r>
              <w:t>--</w:t>
            </w:r>
          </w:p>
        </w:tc>
        <w:tc>
          <w:tcPr>
            <w:tcW w:w="925" w:type="dxa"/>
            <w:vAlign w:val="center"/>
          </w:tcPr>
          <w:p w14:paraId="2A789CCF">
            <w:pPr>
              <w:pStyle w:val="179"/>
              <w:rPr>
                <w:rFonts w:ascii="宋体" w:hAnsi="宋体"/>
              </w:rPr>
            </w:pPr>
            <w:r>
              <w:rPr>
                <w:rFonts w:hint="eastAsia"/>
              </w:rPr>
              <w:t xml:space="preserve">0.322 </w:t>
            </w:r>
          </w:p>
        </w:tc>
        <w:tc>
          <w:tcPr>
            <w:tcW w:w="840" w:type="dxa"/>
            <w:vAlign w:val="center"/>
          </w:tcPr>
          <w:p w14:paraId="4C2D2572">
            <w:pPr>
              <w:pStyle w:val="179"/>
            </w:pPr>
            <w:r>
              <w:rPr>
                <w:rFonts w:hint="eastAsia"/>
              </w:rPr>
              <w:t>1440</w:t>
            </w:r>
          </w:p>
        </w:tc>
      </w:tr>
      <w:tr w14:paraId="7158070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65" w:hRule="atLeast"/>
        </w:trPr>
        <w:tc>
          <w:tcPr>
            <w:tcW w:w="14296" w:type="dxa"/>
            <w:gridSpan w:val="14"/>
            <w:vAlign w:val="center"/>
          </w:tcPr>
          <w:p w14:paraId="743C3108">
            <w:pPr>
              <w:pStyle w:val="179"/>
            </w:pPr>
            <w:r>
              <w:t>注：根据《扬尘源颗粒物排放清单编制技术指南（试行）》，未铺装道路TSP洒水控制效率为66%，堆场操作（集堆产装参照堆场操作）TSP洒水控制效率为74%。</w:t>
            </w:r>
            <w:r>
              <w:rPr>
                <w:rFonts w:hint="eastAsia"/>
              </w:rPr>
              <w:t>根据《机掘工作面除尘与降尘效率的探讨》（煤科总院重庆分院 罗茂蜀）中可知洒水抑尘降尘效率为60%~80%，本项目取70%。</w:t>
            </w:r>
          </w:p>
        </w:tc>
      </w:tr>
    </w:tbl>
    <w:p w14:paraId="44658EA2">
      <w:pPr>
        <w:ind w:firstLine="480"/>
        <w:sectPr>
          <w:pgSz w:w="16840" w:h="11907" w:orient="landscape"/>
          <w:pgMar w:top="1418" w:right="1418" w:bottom="1418" w:left="1418" w:header="1020" w:footer="1372" w:gutter="0"/>
          <w:cols w:space="720" w:num="1"/>
          <w:docGrid w:type="linesAndChars" w:linePitch="312" w:charSpace="0"/>
        </w:sectPr>
      </w:pPr>
    </w:p>
    <w:p w14:paraId="29487182">
      <w:pPr>
        <w:pStyle w:val="5"/>
        <w:spacing w:before="120" w:after="120"/>
      </w:pPr>
      <w:r>
        <w:rPr>
          <w:rFonts w:hint="eastAsia"/>
        </w:rPr>
        <w:t>运行期</w:t>
      </w:r>
      <w:r>
        <w:t>废水</w:t>
      </w:r>
    </w:p>
    <w:p w14:paraId="17B39421">
      <w:pPr>
        <w:ind w:firstLine="480"/>
      </w:pPr>
      <w:r>
        <w:rPr>
          <w:rFonts w:hint="eastAsia"/>
        </w:rPr>
        <w:t>本项目最低侵蚀基准面410.0m，开采底标高为420m，开采矿体处于当地侵蚀基准面之上，不受地下水影响，对矿床开采无充水影响，因此，本项目无矿坑涌水。</w:t>
      </w:r>
    </w:p>
    <w:p w14:paraId="79985585">
      <w:pPr>
        <w:ind w:firstLine="480"/>
      </w:pPr>
      <w:r>
        <w:rPr>
          <w:rFonts w:hint="eastAsia"/>
        </w:rPr>
        <w:t>本项目现场不设置机械维修点，施工机械故障后统一运至指定机械维修场所进行维修，故项目不产生施工机械废水。本项目车辆清洗不在厂区内进行，因此不产生车辆清洗废水。为减少采掘过程起尘和运输过程的扬尘，需洒水抑尘，项目生产用水量约为3960</w:t>
      </w:r>
      <w:r>
        <w:t>t/a</w:t>
      </w:r>
      <w:r>
        <w:rPr>
          <w:rFonts w:hint="eastAsia"/>
        </w:rPr>
        <w:t>，降尘用水全部蒸发，无废水排放。</w:t>
      </w:r>
    </w:p>
    <w:p w14:paraId="4537236E">
      <w:pPr>
        <w:ind w:firstLine="480"/>
      </w:pPr>
      <w:r>
        <w:rPr>
          <w:rFonts w:hint="eastAsia"/>
        </w:rPr>
        <w:t>项目废水主要为生活污水，生活污水产生量按用水量的</w:t>
      </w:r>
      <w:r>
        <w:t>80%</w:t>
      </w:r>
      <w:r>
        <w:rPr>
          <w:rFonts w:hint="eastAsia"/>
        </w:rPr>
        <w:t>计算，则生活污水产生量为1.28</w:t>
      </w:r>
      <w:r>
        <w:t>m</w:t>
      </w:r>
      <w:r>
        <w:rPr>
          <w:vertAlign w:val="superscript"/>
        </w:rPr>
        <w:t>3</w:t>
      </w:r>
      <w:r>
        <w:t>/d</w:t>
      </w:r>
      <w:r>
        <w:rPr>
          <w:rFonts w:hint="eastAsia"/>
        </w:rPr>
        <w:t>（230.4</w:t>
      </w:r>
      <w:r>
        <w:t>t/a</w:t>
      </w:r>
      <w:r>
        <w:rPr>
          <w:rFonts w:hint="eastAsia"/>
        </w:rPr>
        <w:t>），污染物产生浓度分别为</w:t>
      </w:r>
      <w:r>
        <w:t>COD</w:t>
      </w:r>
      <w:r>
        <w:rPr>
          <w:rFonts w:hint="eastAsia"/>
        </w:rPr>
        <w:t>：</w:t>
      </w:r>
      <w:r>
        <w:t>3</w:t>
      </w:r>
      <w:r>
        <w:rPr>
          <w:rFonts w:hint="eastAsia"/>
        </w:rPr>
        <w:t>5</w:t>
      </w:r>
      <w:r>
        <w:t>0mg/L</w:t>
      </w:r>
      <w:r>
        <w:rPr>
          <w:rFonts w:hint="eastAsia"/>
        </w:rPr>
        <w:t>、氨氮：</w:t>
      </w:r>
      <w:r>
        <w:t>25mg/L</w:t>
      </w:r>
      <w:r>
        <w:rPr>
          <w:rFonts w:hint="eastAsia"/>
        </w:rPr>
        <w:t>，产生量分别为</w:t>
      </w:r>
      <w:r>
        <w:t>COD</w:t>
      </w:r>
      <w:r>
        <w:rPr>
          <w:rFonts w:hint="eastAsia"/>
        </w:rPr>
        <w:t>：0.04</w:t>
      </w:r>
      <w:r>
        <w:t>t/a</w:t>
      </w:r>
      <w:r>
        <w:rPr>
          <w:rFonts w:hint="eastAsia"/>
        </w:rPr>
        <w:t>、氨氮：0.0029</w:t>
      </w:r>
      <w:r>
        <w:t>t/a</w:t>
      </w:r>
      <w:r>
        <w:rPr>
          <w:rFonts w:hint="eastAsia"/>
        </w:rPr>
        <w:t>。采区场地内设置防渗旱厕，定期清掏堆肥，不外排。本项目废水污染物源强核算情况见表</w:t>
      </w:r>
      <w:r>
        <w:t>3.</w:t>
      </w:r>
      <w:r>
        <w:rPr>
          <w:rFonts w:hint="eastAsia"/>
        </w:rPr>
        <w:t>5-7。</w:t>
      </w:r>
    </w:p>
    <w:p w14:paraId="1910DBEB">
      <w:pPr>
        <w:pStyle w:val="178"/>
      </w:pPr>
      <w:r>
        <w:t>表3.</w:t>
      </w:r>
      <w:r>
        <w:rPr>
          <w:rFonts w:hint="eastAsia"/>
        </w:rPr>
        <w:t xml:space="preserve">5-7  </w:t>
      </w:r>
      <w:r>
        <w:t>废水污染源源强核算结果及相关参数一览表</w:t>
      </w:r>
    </w:p>
    <w:tbl>
      <w:tblPr>
        <w:tblStyle w:val="36"/>
        <w:tblW w:w="8738" w:type="dxa"/>
        <w:jc w:val="center"/>
        <w:tblBorders>
          <w:top w:val="single" w:color="auto" w:sz="12" w:space="0"/>
          <w:left w:val="single" w:color="auto" w:sz="12" w:space="0"/>
          <w:bottom w:val="single" w:color="auto" w:sz="12" w:space="0"/>
          <w:right w:val="single" w:color="auto" w:sz="12" w:space="0"/>
          <w:insideH w:val="single" w:color="000000" w:sz="6" w:space="0"/>
          <w:insideV w:val="single" w:color="000000" w:sz="6" w:space="0"/>
        </w:tblBorders>
        <w:tblLayout w:type="fixed"/>
        <w:tblCellMar>
          <w:top w:w="0" w:type="dxa"/>
          <w:left w:w="28" w:type="dxa"/>
          <w:bottom w:w="0" w:type="dxa"/>
          <w:right w:w="28" w:type="dxa"/>
        </w:tblCellMar>
      </w:tblPr>
      <w:tblGrid>
        <w:gridCol w:w="376"/>
        <w:gridCol w:w="377"/>
        <w:gridCol w:w="377"/>
        <w:gridCol w:w="609"/>
        <w:gridCol w:w="459"/>
        <w:gridCol w:w="709"/>
        <w:gridCol w:w="797"/>
        <w:gridCol w:w="700"/>
        <w:gridCol w:w="707"/>
        <w:gridCol w:w="343"/>
        <w:gridCol w:w="507"/>
        <w:gridCol w:w="690"/>
        <w:gridCol w:w="933"/>
        <w:gridCol w:w="567"/>
        <w:gridCol w:w="587"/>
      </w:tblGrid>
      <w:tr w14:paraId="50D6A3D3">
        <w:tblPrEx>
          <w:tblBorders>
            <w:top w:val="single" w:color="auto" w:sz="12" w:space="0"/>
            <w:left w:val="single" w:color="auto" w:sz="12" w:space="0"/>
            <w:bottom w:val="single" w:color="auto" w:sz="12" w:space="0"/>
            <w:right w:val="single" w:color="auto" w:sz="12" w:space="0"/>
            <w:insideH w:val="single" w:color="000000" w:sz="6" w:space="0"/>
            <w:insideV w:val="single" w:color="000000" w:sz="6" w:space="0"/>
          </w:tblBorders>
          <w:tblCellMar>
            <w:top w:w="0" w:type="dxa"/>
            <w:left w:w="28" w:type="dxa"/>
            <w:bottom w:w="0" w:type="dxa"/>
            <w:right w:w="28" w:type="dxa"/>
          </w:tblCellMar>
        </w:tblPrEx>
        <w:trPr>
          <w:trHeight w:val="397" w:hRule="atLeast"/>
          <w:jc w:val="center"/>
        </w:trPr>
        <w:tc>
          <w:tcPr>
            <w:tcW w:w="376" w:type="dxa"/>
            <w:vMerge w:val="restart"/>
            <w:vAlign w:val="center"/>
          </w:tcPr>
          <w:p w14:paraId="68EA2005">
            <w:pPr>
              <w:pStyle w:val="179"/>
              <w:rPr>
                <w:b/>
                <w:sz w:val="18"/>
                <w:szCs w:val="18"/>
              </w:rPr>
            </w:pPr>
            <w:r>
              <w:rPr>
                <w:b/>
                <w:sz w:val="18"/>
                <w:szCs w:val="18"/>
              </w:rPr>
              <w:t>工序/生产线</w:t>
            </w:r>
          </w:p>
        </w:tc>
        <w:tc>
          <w:tcPr>
            <w:tcW w:w="377" w:type="dxa"/>
            <w:vMerge w:val="restart"/>
            <w:vAlign w:val="center"/>
          </w:tcPr>
          <w:p w14:paraId="57AA98F1">
            <w:pPr>
              <w:pStyle w:val="179"/>
              <w:rPr>
                <w:b/>
                <w:sz w:val="18"/>
                <w:szCs w:val="18"/>
              </w:rPr>
            </w:pPr>
            <w:r>
              <w:rPr>
                <w:b/>
                <w:sz w:val="18"/>
                <w:szCs w:val="18"/>
              </w:rPr>
              <w:t>装置</w:t>
            </w:r>
          </w:p>
        </w:tc>
        <w:tc>
          <w:tcPr>
            <w:tcW w:w="377" w:type="dxa"/>
            <w:vMerge w:val="restart"/>
            <w:vAlign w:val="center"/>
          </w:tcPr>
          <w:p w14:paraId="37A8CBEC">
            <w:pPr>
              <w:pStyle w:val="179"/>
              <w:rPr>
                <w:b/>
                <w:sz w:val="18"/>
                <w:szCs w:val="18"/>
              </w:rPr>
            </w:pPr>
            <w:r>
              <w:rPr>
                <w:b/>
                <w:sz w:val="18"/>
                <w:szCs w:val="18"/>
              </w:rPr>
              <w:t>污染源</w:t>
            </w:r>
          </w:p>
        </w:tc>
        <w:tc>
          <w:tcPr>
            <w:tcW w:w="609" w:type="dxa"/>
            <w:vMerge w:val="restart"/>
            <w:vAlign w:val="center"/>
          </w:tcPr>
          <w:p w14:paraId="2EF3C6D3">
            <w:pPr>
              <w:pStyle w:val="179"/>
              <w:rPr>
                <w:b/>
                <w:sz w:val="18"/>
                <w:szCs w:val="18"/>
              </w:rPr>
            </w:pPr>
            <w:r>
              <w:rPr>
                <w:b/>
                <w:sz w:val="18"/>
                <w:szCs w:val="18"/>
              </w:rPr>
              <w:t>污染物</w:t>
            </w:r>
          </w:p>
        </w:tc>
        <w:tc>
          <w:tcPr>
            <w:tcW w:w="2665" w:type="dxa"/>
            <w:gridSpan w:val="4"/>
            <w:vAlign w:val="center"/>
          </w:tcPr>
          <w:p w14:paraId="109CDB33">
            <w:pPr>
              <w:pStyle w:val="179"/>
              <w:rPr>
                <w:b/>
                <w:sz w:val="18"/>
                <w:szCs w:val="18"/>
              </w:rPr>
            </w:pPr>
            <w:r>
              <w:rPr>
                <w:b/>
                <w:sz w:val="18"/>
                <w:szCs w:val="18"/>
              </w:rPr>
              <w:t>污染物产生</w:t>
            </w:r>
          </w:p>
        </w:tc>
        <w:tc>
          <w:tcPr>
            <w:tcW w:w="1050" w:type="dxa"/>
            <w:gridSpan w:val="2"/>
            <w:vAlign w:val="center"/>
          </w:tcPr>
          <w:p w14:paraId="6BA7B0E1">
            <w:pPr>
              <w:pStyle w:val="179"/>
              <w:rPr>
                <w:b/>
                <w:sz w:val="18"/>
                <w:szCs w:val="18"/>
              </w:rPr>
            </w:pPr>
            <w:r>
              <w:rPr>
                <w:b/>
                <w:sz w:val="18"/>
                <w:szCs w:val="18"/>
              </w:rPr>
              <w:t>治理措施</w:t>
            </w:r>
          </w:p>
        </w:tc>
        <w:tc>
          <w:tcPr>
            <w:tcW w:w="2697" w:type="dxa"/>
            <w:gridSpan w:val="4"/>
            <w:vAlign w:val="center"/>
          </w:tcPr>
          <w:p w14:paraId="12F5B9D1">
            <w:pPr>
              <w:pStyle w:val="179"/>
              <w:rPr>
                <w:b/>
                <w:sz w:val="18"/>
                <w:szCs w:val="18"/>
              </w:rPr>
            </w:pPr>
            <w:r>
              <w:rPr>
                <w:b/>
                <w:sz w:val="18"/>
                <w:szCs w:val="18"/>
              </w:rPr>
              <w:t>污染物排放</w:t>
            </w:r>
          </w:p>
        </w:tc>
        <w:tc>
          <w:tcPr>
            <w:tcW w:w="587" w:type="dxa"/>
            <w:vMerge w:val="restart"/>
            <w:vAlign w:val="center"/>
          </w:tcPr>
          <w:p w14:paraId="49FC6C28">
            <w:pPr>
              <w:pStyle w:val="179"/>
              <w:rPr>
                <w:b/>
                <w:sz w:val="18"/>
                <w:szCs w:val="18"/>
              </w:rPr>
            </w:pPr>
            <w:r>
              <w:rPr>
                <w:b/>
                <w:sz w:val="18"/>
                <w:szCs w:val="18"/>
              </w:rPr>
              <w:t>排放时间（h）</w:t>
            </w:r>
          </w:p>
        </w:tc>
      </w:tr>
      <w:tr w14:paraId="793221E9">
        <w:tblPrEx>
          <w:tblBorders>
            <w:top w:val="single" w:color="auto" w:sz="12" w:space="0"/>
            <w:left w:val="single" w:color="auto" w:sz="12" w:space="0"/>
            <w:bottom w:val="single" w:color="auto" w:sz="12" w:space="0"/>
            <w:right w:val="single" w:color="auto" w:sz="12" w:space="0"/>
            <w:insideH w:val="single" w:color="000000" w:sz="6" w:space="0"/>
            <w:insideV w:val="single" w:color="000000" w:sz="6" w:space="0"/>
          </w:tblBorders>
          <w:tblCellMar>
            <w:top w:w="0" w:type="dxa"/>
            <w:left w:w="28" w:type="dxa"/>
            <w:bottom w:w="0" w:type="dxa"/>
            <w:right w:w="28" w:type="dxa"/>
          </w:tblCellMar>
        </w:tblPrEx>
        <w:trPr>
          <w:trHeight w:val="397" w:hRule="atLeast"/>
          <w:jc w:val="center"/>
        </w:trPr>
        <w:tc>
          <w:tcPr>
            <w:tcW w:w="376" w:type="dxa"/>
            <w:vMerge w:val="continue"/>
            <w:vAlign w:val="center"/>
          </w:tcPr>
          <w:p w14:paraId="688E642D">
            <w:pPr>
              <w:pStyle w:val="179"/>
              <w:rPr>
                <w:b/>
                <w:sz w:val="18"/>
                <w:szCs w:val="18"/>
              </w:rPr>
            </w:pPr>
          </w:p>
        </w:tc>
        <w:tc>
          <w:tcPr>
            <w:tcW w:w="377" w:type="dxa"/>
            <w:vMerge w:val="continue"/>
            <w:vAlign w:val="center"/>
          </w:tcPr>
          <w:p w14:paraId="419A9841">
            <w:pPr>
              <w:pStyle w:val="179"/>
              <w:rPr>
                <w:b/>
                <w:sz w:val="18"/>
                <w:szCs w:val="18"/>
              </w:rPr>
            </w:pPr>
          </w:p>
        </w:tc>
        <w:tc>
          <w:tcPr>
            <w:tcW w:w="377" w:type="dxa"/>
            <w:vMerge w:val="continue"/>
            <w:vAlign w:val="center"/>
          </w:tcPr>
          <w:p w14:paraId="7FDC1E85">
            <w:pPr>
              <w:pStyle w:val="179"/>
              <w:rPr>
                <w:b/>
                <w:sz w:val="18"/>
                <w:szCs w:val="18"/>
              </w:rPr>
            </w:pPr>
          </w:p>
        </w:tc>
        <w:tc>
          <w:tcPr>
            <w:tcW w:w="609" w:type="dxa"/>
            <w:vMerge w:val="continue"/>
            <w:vAlign w:val="center"/>
          </w:tcPr>
          <w:p w14:paraId="2C5C729F">
            <w:pPr>
              <w:pStyle w:val="179"/>
              <w:rPr>
                <w:b/>
                <w:sz w:val="18"/>
                <w:szCs w:val="18"/>
              </w:rPr>
            </w:pPr>
          </w:p>
        </w:tc>
        <w:tc>
          <w:tcPr>
            <w:tcW w:w="459" w:type="dxa"/>
            <w:vAlign w:val="center"/>
          </w:tcPr>
          <w:p w14:paraId="1EEFDF6A">
            <w:pPr>
              <w:pStyle w:val="179"/>
              <w:rPr>
                <w:b/>
                <w:sz w:val="18"/>
                <w:szCs w:val="18"/>
              </w:rPr>
            </w:pPr>
            <w:r>
              <w:rPr>
                <w:b/>
                <w:sz w:val="18"/>
                <w:szCs w:val="18"/>
              </w:rPr>
              <w:t>核算方法</w:t>
            </w:r>
          </w:p>
        </w:tc>
        <w:tc>
          <w:tcPr>
            <w:tcW w:w="709" w:type="dxa"/>
            <w:vAlign w:val="center"/>
          </w:tcPr>
          <w:p w14:paraId="03004880">
            <w:pPr>
              <w:pStyle w:val="179"/>
              <w:rPr>
                <w:b/>
                <w:sz w:val="18"/>
                <w:szCs w:val="18"/>
              </w:rPr>
            </w:pPr>
            <w:r>
              <w:rPr>
                <w:b/>
                <w:sz w:val="18"/>
                <w:szCs w:val="18"/>
              </w:rPr>
              <w:t>产生废水量/（t/a）</w:t>
            </w:r>
          </w:p>
        </w:tc>
        <w:tc>
          <w:tcPr>
            <w:tcW w:w="797" w:type="dxa"/>
            <w:vAlign w:val="center"/>
          </w:tcPr>
          <w:p w14:paraId="0EB53604">
            <w:pPr>
              <w:pStyle w:val="179"/>
              <w:rPr>
                <w:b/>
                <w:sz w:val="18"/>
                <w:szCs w:val="18"/>
              </w:rPr>
            </w:pPr>
            <w:r>
              <w:rPr>
                <w:b/>
                <w:sz w:val="18"/>
                <w:szCs w:val="18"/>
              </w:rPr>
              <w:t>产生浓度/（mg/L）</w:t>
            </w:r>
          </w:p>
        </w:tc>
        <w:tc>
          <w:tcPr>
            <w:tcW w:w="700" w:type="dxa"/>
            <w:vAlign w:val="center"/>
          </w:tcPr>
          <w:p w14:paraId="3BCFFD61">
            <w:pPr>
              <w:pStyle w:val="179"/>
              <w:rPr>
                <w:b/>
                <w:sz w:val="18"/>
                <w:szCs w:val="18"/>
              </w:rPr>
            </w:pPr>
            <w:r>
              <w:rPr>
                <w:b/>
                <w:sz w:val="18"/>
                <w:szCs w:val="18"/>
              </w:rPr>
              <w:t>产生量/（t/a）</w:t>
            </w:r>
          </w:p>
        </w:tc>
        <w:tc>
          <w:tcPr>
            <w:tcW w:w="707" w:type="dxa"/>
            <w:vAlign w:val="center"/>
          </w:tcPr>
          <w:p w14:paraId="77B6F8D3">
            <w:pPr>
              <w:pStyle w:val="179"/>
              <w:rPr>
                <w:b/>
                <w:sz w:val="18"/>
                <w:szCs w:val="18"/>
              </w:rPr>
            </w:pPr>
            <w:r>
              <w:rPr>
                <w:b/>
                <w:sz w:val="18"/>
                <w:szCs w:val="18"/>
              </w:rPr>
              <w:t>工艺</w:t>
            </w:r>
          </w:p>
        </w:tc>
        <w:tc>
          <w:tcPr>
            <w:tcW w:w="343" w:type="dxa"/>
            <w:vAlign w:val="center"/>
          </w:tcPr>
          <w:p w14:paraId="22C07540">
            <w:pPr>
              <w:pStyle w:val="179"/>
              <w:rPr>
                <w:b/>
                <w:sz w:val="18"/>
                <w:szCs w:val="18"/>
              </w:rPr>
            </w:pPr>
            <w:r>
              <w:rPr>
                <w:b/>
                <w:sz w:val="18"/>
                <w:szCs w:val="18"/>
              </w:rPr>
              <w:t>效率%</w:t>
            </w:r>
          </w:p>
        </w:tc>
        <w:tc>
          <w:tcPr>
            <w:tcW w:w="507" w:type="dxa"/>
            <w:vAlign w:val="center"/>
          </w:tcPr>
          <w:p w14:paraId="737E3EC4">
            <w:pPr>
              <w:pStyle w:val="179"/>
              <w:rPr>
                <w:b/>
                <w:sz w:val="18"/>
                <w:szCs w:val="18"/>
              </w:rPr>
            </w:pPr>
            <w:r>
              <w:rPr>
                <w:b/>
                <w:sz w:val="18"/>
                <w:szCs w:val="18"/>
              </w:rPr>
              <w:t>核算方法</w:t>
            </w:r>
          </w:p>
        </w:tc>
        <w:tc>
          <w:tcPr>
            <w:tcW w:w="690" w:type="dxa"/>
            <w:vAlign w:val="center"/>
          </w:tcPr>
          <w:p w14:paraId="26AD20D8">
            <w:pPr>
              <w:pStyle w:val="179"/>
              <w:rPr>
                <w:b/>
                <w:sz w:val="18"/>
                <w:szCs w:val="18"/>
              </w:rPr>
            </w:pPr>
            <w:r>
              <w:rPr>
                <w:b/>
                <w:sz w:val="18"/>
                <w:szCs w:val="18"/>
              </w:rPr>
              <w:t>排放废水量/（t/a）</w:t>
            </w:r>
          </w:p>
        </w:tc>
        <w:tc>
          <w:tcPr>
            <w:tcW w:w="933" w:type="dxa"/>
            <w:vAlign w:val="center"/>
          </w:tcPr>
          <w:p w14:paraId="36147180">
            <w:pPr>
              <w:pStyle w:val="179"/>
              <w:rPr>
                <w:b/>
                <w:sz w:val="18"/>
                <w:szCs w:val="18"/>
              </w:rPr>
            </w:pPr>
            <w:r>
              <w:rPr>
                <w:b/>
                <w:sz w:val="18"/>
                <w:szCs w:val="18"/>
              </w:rPr>
              <w:t>排放浓度/（mg/L）</w:t>
            </w:r>
          </w:p>
        </w:tc>
        <w:tc>
          <w:tcPr>
            <w:tcW w:w="567" w:type="dxa"/>
            <w:vAlign w:val="center"/>
          </w:tcPr>
          <w:p w14:paraId="509EB6BF">
            <w:pPr>
              <w:pStyle w:val="179"/>
              <w:rPr>
                <w:b/>
                <w:sz w:val="18"/>
                <w:szCs w:val="18"/>
              </w:rPr>
            </w:pPr>
            <w:r>
              <w:rPr>
                <w:b/>
                <w:sz w:val="18"/>
                <w:szCs w:val="18"/>
              </w:rPr>
              <w:t>排放量/（t/a）</w:t>
            </w:r>
          </w:p>
        </w:tc>
        <w:tc>
          <w:tcPr>
            <w:tcW w:w="587" w:type="dxa"/>
            <w:vMerge w:val="continue"/>
            <w:tcBorders>
              <w:bottom w:val="single" w:color="auto" w:sz="4" w:space="0"/>
            </w:tcBorders>
            <w:vAlign w:val="center"/>
          </w:tcPr>
          <w:p w14:paraId="36ACC308">
            <w:pPr>
              <w:pStyle w:val="179"/>
              <w:rPr>
                <w:b/>
                <w:sz w:val="18"/>
                <w:szCs w:val="18"/>
              </w:rPr>
            </w:pPr>
          </w:p>
        </w:tc>
      </w:tr>
      <w:tr w14:paraId="61BB6556">
        <w:tblPrEx>
          <w:tblBorders>
            <w:top w:val="single" w:color="auto" w:sz="12" w:space="0"/>
            <w:left w:val="single" w:color="auto" w:sz="12" w:space="0"/>
            <w:bottom w:val="single" w:color="auto" w:sz="12" w:space="0"/>
            <w:right w:val="single" w:color="auto" w:sz="12" w:space="0"/>
            <w:insideH w:val="single" w:color="000000" w:sz="6" w:space="0"/>
            <w:insideV w:val="single" w:color="000000" w:sz="6" w:space="0"/>
          </w:tblBorders>
          <w:tblCellMar>
            <w:top w:w="0" w:type="dxa"/>
            <w:left w:w="28" w:type="dxa"/>
            <w:bottom w:w="0" w:type="dxa"/>
            <w:right w:w="28" w:type="dxa"/>
          </w:tblCellMar>
        </w:tblPrEx>
        <w:trPr>
          <w:trHeight w:val="397" w:hRule="atLeast"/>
          <w:jc w:val="center"/>
        </w:trPr>
        <w:tc>
          <w:tcPr>
            <w:tcW w:w="376" w:type="dxa"/>
            <w:vMerge w:val="restart"/>
            <w:vAlign w:val="center"/>
          </w:tcPr>
          <w:p w14:paraId="0903A287">
            <w:pPr>
              <w:pStyle w:val="179"/>
              <w:rPr>
                <w:sz w:val="18"/>
                <w:szCs w:val="18"/>
              </w:rPr>
            </w:pPr>
            <w:r>
              <w:rPr>
                <w:sz w:val="18"/>
                <w:szCs w:val="18"/>
              </w:rPr>
              <w:t>生活</w:t>
            </w:r>
          </w:p>
        </w:tc>
        <w:tc>
          <w:tcPr>
            <w:tcW w:w="377" w:type="dxa"/>
            <w:vMerge w:val="restart"/>
            <w:vAlign w:val="center"/>
          </w:tcPr>
          <w:p w14:paraId="362DBB8C">
            <w:pPr>
              <w:pStyle w:val="179"/>
              <w:rPr>
                <w:sz w:val="18"/>
                <w:szCs w:val="18"/>
              </w:rPr>
            </w:pPr>
            <w:r>
              <w:rPr>
                <w:sz w:val="18"/>
                <w:szCs w:val="18"/>
              </w:rPr>
              <w:t>生活</w:t>
            </w:r>
          </w:p>
        </w:tc>
        <w:tc>
          <w:tcPr>
            <w:tcW w:w="377" w:type="dxa"/>
            <w:vMerge w:val="restart"/>
            <w:vAlign w:val="center"/>
          </w:tcPr>
          <w:p w14:paraId="250BC111">
            <w:pPr>
              <w:pStyle w:val="179"/>
              <w:rPr>
                <w:sz w:val="18"/>
                <w:szCs w:val="18"/>
              </w:rPr>
            </w:pPr>
            <w:r>
              <w:rPr>
                <w:sz w:val="18"/>
                <w:szCs w:val="18"/>
              </w:rPr>
              <w:t>生活污水</w:t>
            </w:r>
          </w:p>
        </w:tc>
        <w:tc>
          <w:tcPr>
            <w:tcW w:w="609" w:type="dxa"/>
            <w:vAlign w:val="center"/>
          </w:tcPr>
          <w:p w14:paraId="07D5AC05">
            <w:pPr>
              <w:pStyle w:val="179"/>
              <w:rPr>
                <w:sz w:val="18"/>
                <w:szCs w:val="18"/>
              </w:rPr>
            </w:pPr>
            <w:r>
              <w:rPr>
                <w:sz w:val="18"/>
                <w:szCs w:val="18"/>
              </w:rPr>
              <w:t>COD</w:t>
            </w:r>
          </w:p>
        </w:tc>
        <w:tc>
          <w:tcPr>
            <w:tcW w:w="459" w:type="dxa"/>
            <w:vMerge w:val="restart"/>
            <w:vAlign w:val="center"/>
          </w:tcPr>
          <w:p w14:paraId="7F31EEF6">
            <w:pPr>
              <w:pStyle w:val="179"/>
              <w:rPr>
                <w:sz w:val="18"/>
                <w:szCs w:val="18"/>
              </w:rPr>
            </w:pPr>
            <w:r>
              <w:rPr>
                <w:rFonts w:hint="eastAsia"/>
                <w:sz w:val="18"/>
                <w:szCs w:val="18"/>
              </w:rPr>
              <w:t>系数法</w:t>
            </w:r>
          </w:p>
        </w:tc>
        <w:tc>
          <w:tcPr>
            <w:tcW w:w="709" w:type="dxa"/>
            <w:vMerge w:val="restart"/>
            <w:vAlign w:val="center"/>
          </w:tcPr>
          <w:p w14:paraId="47E7DC23">
            <w:pPr>
              <w:pStyle w:val="179"/>
              <w:rPr>
                <w:sz w:val="18"/>
                <w:szCs w:val="18"/>
              </w:rPr>
            </w:pPr>
            <w:r>
              <w:rPr>
                <w:rFonts w:hint="eastAsia"/>
                <w:sz w:val="18"/>
                <w:szCs w:val="18"/>
              </w:rPr>
              <w:t>230.4</w:t>
            </w:r>
          </w:p>
        </w:tc>
        <w:tc>
          <w:tcPr>
            <w:tcW w:w="797" w:type="dxa"/>
            <w:vAlign w:val="center"/>
          </w:tcPr>
          <w:p w14:paraId="3414DB8D">
            <w:pPr>
              <w:pStyle w:val="179"/>
              <w:rPr>
                <w:sz w:val="18"/>
                <w:szCs w:val="18"/>
              </w:rPr>
            </w:pPr>
            <w:r>
              <w:rPr>
                <w:sz w:val="18"/>
                <w:szCs w:val="18"/>
              </w:rPr>
              <w:t>350</w:t>
            </w:r>
          </w:p>
        </w:tc>
        <w:tc>
          <w:tcPr>
            <w:tcW w:w="700" w:type="dxa"/>
            <w:vAlign w:val="center"/>
          </w:tcPr>
          <w:p w14:paraId="2B8B5AC3">
            <w:pPr>
              <w:pStyle w:val="179"/>
              <w:rPr>
                <w:sz w:val="18"/>
                <w:szCs w:val="18"/>
              </w:rPr>
            </w:pPr>
            <w:r>
              <w:rPr>
                <w:sz w:val="18"/>
                <w:szCs w:val="18"/>
              </w:rPr>
              <w:t xml:space="preserve">0.081 </w:t>
            </w:r>
          </w:p>
        </w:tc>
        <w:tc>
          <w:tcPr>
            <w:tcW w:w="707" w:type="dxa"/>
            <w:vMerge w:val="restart"/>
            <w:vAlign w:val="center"/>
          </w:tcPr>
          <w:p w14:paraId="4DCC85D9">
            <w:pPr>
              <w:pStyle w:val="179"/>
              <w:rPr>
                <w:sz w:val="18"/>
                <w:szCs w:val="18"/>
              </w:rPr>
            </w:pPr>
            <w:r>
              <w:rPr>
                <w:sz w:val="18"/>
                <w:szCs w:val="18"/>
              </w:rPr>
              <w:t>排入防渗旱厕，定期清掏，外运堆肥</w:t>
            </w:r>
          </w:p>
        </w:tc>
        <w:tc>
          <w:tcPr>
            <w:tcW w:w="343" w:type="dxa"/>
            <w:vMerge w:val="restart"/>
            <w:vAlign w:val="center"/>
          </w:tcPr>
          <w:p w14:paraId="636D5523">
            <w:pPr>
              <w:pStyle w:val="179"/>
              <w:rPr>
                <w:sz w:val="18"/>
                <w:szCs w:val="18"/>
              </w:rPr>
            </w:pPr>
            <w:r>
              <w:rPr>
                <w:sz w:val="18"/>
                <w:szCs w:val="18"/>
              </w:rPr>
              <w:t>/</w:t>
            </w:r>
          </w:p>
        </w:tc>
        <w:tc>
          <w:tcPr>
            <w:tcW w:w="507" w:type="dxa"/>
            <w:vMerge w:val="restart"/>
            <w:vAlign w:val="center"/>
          </w:tcPr>
          <w:p w14:paraId="67EE2473">
            <w:pPr>
              <w:pStyle w:val="179"/>
              <w:rPr>
                <w:sz w:val="18"/>
                <w:szCs w:val="18"/>
              </w:rPr>
            </w:pPr>
            <w:r>
              <w:rPr>
                <w:sz w:val="18"/>
                <w:szCs w:val="18"/>
              </w:rPr>
              <w:t>/</w:t>
            </w:r>
          </w:p>
        </w:tc>
        <w:tc>
          <w:tcPr>
            <w:tcW w:w="690" w:type="dxa"/>
            <w:vAlign w:val="center"/>
          </w:tcPr>
          <w:p w14:paraId="67BD7B55">
            <w:pPr>
              <w:pStyle w:val="179"/>
              <w:rPr>
                <w:sz w:val="18"/>
                <w:szCs w:val="18"/>
              </w:rPr>
            </w:pPr>
            <w:r>
              <w:rPr>
                <w:sz w:val="18"/>
                <w:szCs w:val="18"/>
              </w:rPr>
              <w:t>0</w:t>
            </w:r>
          </w:p>
        </w:tc>
        <w:tc>
          <w:tcPr>
            <w:tcW w:w="933" w:type="dxa"/>
            <w:vAlign w:val="center"/>
          </w:tcPr>
          <w:p w14:paraId="7955B21C">
            <w:pPr>
              <w:pStyle w:val="179"/>
              <w:rPr>
                <w:sz w:val="18"/>
                <w:szCs w:val="18"/>
              </w:rPr>
            </w:pPr>
            <w:r>
              <w:rPr>
                <w:sz w:val="18"/>
                <w:szCs w:val="18"/>
              </w:rPr>
              <w:t>0</w:t>
            </w:r>
          </w:p>
        </w:tc>
        <w:tc>
          <w:tcPr>
            <w:tcW w:w="567" w:type="dxa"/>
            <w:vAlign w:val="center"/>
          </w:tcPr>
          <w:p w14:paraId="6CB9A11C">
            <w:pPr>
              <w:pStyle w:val="179"/>
              <w:rPr>
                <w:sz w:val="18"/>
                <w:szCs w:val="18"/>
              </w:rPr>
            </w:pPr>
            <w:r>
              <w:rPr>
                <w:sz w:val="18"/>
                <w:szCs w:val="18"/>
              </w:rPr>
              <w:t>0</w:t>
            </w:r>
          </w:p>
        </w:tc>
        <w:tc>
          <w:tcPr>
            <w:tcW w:w="587" w:type="dxa"/>
            <w:vMerge w:val="restart"/>
            <w:tcBorders>
              <w:top w:val="single" w:color="auto" w:sz="4" w:space="0"/>
            </w:tcBorders>
            <w:vAlign w:val="center"/>
          </w:tcPr>
          <w:p w14:paraId="15CA5ECF">
            <w:pPr>
              <w:pStyle w:val="179"/>
              <w:rPr>
                <w:sz w:val="18"/>
                <w:szCs w:val="18"/>
              </w:rPr>
            </w:pPr>
          </w:p>
        </w:tc>
      </w:tr>
      <w:tr w14:paraId="7DE37C01">
        <w:tblPrEx>
          <w:tblBorders>
            <w:top w:val="single" w:color="auto" w:sz="12" w:space="0"/>
            <w:left w:val="single" w:color="auto" w:sz="12" w:space="0"/>
            <w:bottom w:val="single" w:color="auto" w:sz="12" w:space="0"/>
            <w:right w:val="single" w:color="auto" w:sz="12" w:space="0"/>
            <w:insideH w:val="single" w:color="000000" w:sz="6" w:space="0"/>
            <w:insideV w:val="single" w:color="000000" w:sz="6" w:space="0"/>
          </w:tblBorders>
          <w:tblCellMar>
            <w:top w:w="0" w:type="dxa"/>
            <w:left w:w="28" w:type="dxa"/>
            <w:bottom w:w="0" w:type="dxa"/>
            <w:right w:w="28" w:type="dxa"/>
          </w:tblCellMar>
        </w:tblPrEx>
        <w:trPr>
          <w:trHeight w:val="397" w:hRule="atLeast"/>
          <w:jc w:val="center"/>
        </w:trPr>
        <w:tc>
          <w:tcPr>
            <w:tcW w:w="376" w:type="dxa"/>
            <w:vMerge w:val="continue"/>
            <w:vAlign w:val="center"/>
          </w:tcPr>
          <w:p w14:paraId="17871D44">
            <w:pPr>
              <w:pStyle w:val="179"/>
              <w:rPr>
                <w:sz w:val="18"/>
                <w:szCs w:val="18"/>
              </w:rPr>
            </w:pPr>
          </w:p>
        </w:tc>
        <w:tc>
          <w:tcPr>
            <w:tcW w:w="377" w:type="dxa"/>
            <w:vMerge w:val="continue"/>
            <w:vAlign w:val="center"/>
          </w:tcPr>
          <w:p w14:paraId="41118598">
            <w:pPr>
              <w:pStyle w:val="179"/>
              <w:rPr>
                <w:sz w:val="18"/>
                <w:szCs w:val="18"/>
              </w:rPr>
            </w:pPr>
          </w:p>
        </w:tc>
        <w:tc>
          <w:tcPr>
            <w:tcW w:w="377" w:type="dxa"/>
            <w:vMerge w:val="continue"/>
            <w:vAlign w:val="center"/>
          </w:tcPr>
          <w:p w14:paraId="0904CCF3">
            <w:pPr>
              <w:pStyle w:val="179"/>
              <w:rPr>
                <w:sz w:val="18"/>
                <w:szCs w:val="18"/>
              </w:rPr>
            </w:pPr>
          </w:p>
        </w:tc>
        <w:tc>
          <w:tcPr>
            <w:tcW w:w="609" w:type="dxa"/>
            <w:vAlign w:val="center"/>
          </w:tcPr>
          <w:p w14:paraId="0D28FC83">
            <w:pPr>
              <w:pStyle w:val="179"/>
              <w:rPr>
                <w:sz w:val="18"/>
                <w:szCs w:val="18"/>
              </w:rPr>
            </w:pPr>
            <w:r>
              <w:rPr>
                <w:sz w:val="18"/>
                <w:szCs w:val="18"/>
              </w:rPr>
              <w:t>氨氮</w:t>
            </w:r>
          </w:p>
        </w:tc>
        <w:tc>
          <w:tcPr>
            <w:tcW w:w="459" w:type="dxa"/>
            <w:vMerge w:val="continue"/>
            <w:vAlign w:val="center"/>
          </w:tcPr>
          <w:p w14:paraId="0AF405C3">
            <w:pPr>
              <w:pStyle w:val="179"/>
              <w:rPr>
                <w:sz w:val="18"/>
                <w:szCs w:val="18"/>
              </w:rPr>
            </w:pPr>
          </w:p>
        </w:tc>
        <w:tc>
          <w:tcPr>
            <w:tcW w:w="709" w:type="dxa"/>
            <w:vMerge w:val="continue"/>
            <w:vAlign w:val="center"/>
          </w:tcPr>
          <w:p w14:paraId="504781AD">
            <w:pPr>
              <w:pStyle w:val="179"/>
              <w:rPr>
                <w:sz w:val="18"/>
                <w:szCs w:val="18"/>
              </w:rPr>
            </w:pPr>
          </w:p>
        </w:tc>
        <w:tc>
          <w:tcPr>
            <w:tcW w:w="797" w:type="dxa"/>
            <w:vAlign w:val="center"/>
          </w:tcPr>
          <w:p w14:paraId="497C0C8F">
            <w:pPr>
              <w:pStyle w:val="179"/>
              <w:rPr>
                <w:sz w:val="18"/>
                <w:szCs w:val="18"/>
              </w:rPr>
            </w:pPr>
            <w:r>
              <w:rPr>
                <w:sz w:val="18"/>
                <w:szCs w:val="18"/>
              </w:rPr>
              <w:t>25</w:t>
            </w:r>
          </w:p>
        </w:tc>
        <w:tc>
          <w:tcPr>
            <w:tcW w:w="700" w:type="dxa"/>
            <w:vAlign w:val="center"/>
          </w:tcPr>
          <w:p w14:paraId="36E31A06">
            <w:pPr>
              <w:pStyle w:val="179"/>
              <w:rPr>
                <w:sz w:val="18"/>
                <w:szCs w:val="18"/>
              </w:rPr>
            </w:pPr>
            <w:r>
              <w:rPr>
                <w:sz w:val="18"/>
                <w:szCs w:val="18"/>
              </w:rPr>
              <w:t xml:space="preserve">0.006 </w:t>
            </w:r>
          </w:p>
        </w:tc>
        <w:tc>
          <w:tcPr>
            <w:tcW w:w="707" w:type="dxa"/>
            <w:vMerge w:val="continue"/>
            <w:vAlign w:val="center"/>
          </w:tcPr>
          <w:p w14:paraId="3ED820E7">
            <w:pPr>
              <w:pStyle w:val="179"/>
              <w:rPr>
                <w:sz w:val="18"/>
                <w:szCs w:val="18"/>
              </w:rPr>
            </w:pPr>
          </w:p>
        </w:tc>
        <w:tc>
          <w:tcPr>
            <w:tcW w:w="343" w:type="dxa"/>
            <w:vMerge w:val="continue"/>
            <w:vAlign w:val="center"/>
          </w:tcPr>
          <w:p w14:paraId="28763618">
            <w:pPr>
              <w:pStyle w:val="179"/>
              <w:rPr>
                <w:sz w:val="18"/>
                <w:szCs w:val="18"/>
              </w:rPr>
            </w:pPr>
          </w:p>
        </w:tc>
        <w:tc>
          <w:tcPr>
            <w:tcW w:w="507" w:type="dxa"/>
            <w:vMerge w:val="continue"/>
            <w:vAlign w:val="center"/>
          </w:tcPr>
          <w:p w14:paraId="2E5276C1">
            <w:pPr>
              <w:pStyle w:val="179"/>
              <w:rPr>
                <w:sz w:val="18"/>
                <w:szCs w:val="18"/>
              </w:rPr>
            </w:pPr>
          </w:p>
        </w:tc>
        <w:tc>
          <w:tcPr>
            <w:tcW w:w="690" w:type="dxa"/>
            <w:vAlign w:val="center"/>
          </w:tcPr>
          <w:p w14:paraId="511E2B4A">
            <w:pPr>
              <w:pStyle w:val="179"/>
              <w:rPr>
                <w:sz w:val="18"/>
                <w:szCs w:val="18"/>
              </w:rPr>
            </w:pPr>
            <w:r>
              <w:rPr>
                <w:sz w:val="18"/>
                <w:szCs w:val="18"/>
              </w:rPr>
              <w:t>0</w:t>
            </w:r>
          </w:p>
        </w:tc>
        <w:tc>
          <w:tcPr>
            <w:tcW w:w="933" w:type="dxa"/>
            <w:vAlign w:val="center"/>
          </w:tcPr>
          <w:p w14:paraId="7A742C78">
            <w:pPr>
              <w:pStyle w:val="179"/>
              <w:rPr>
                <w:sz w:val="18"/>
                <w:szCs w:val="18"/>
              </w:rPr>
            </w:pPr>
            <w:r>
              <w:rPr>
                <w:sz w:val="18"/>
                <w:szCs w:val="18"/>
              </w:rPr>
              <w:t>0</w:t>
            </w:r>
          </w:p>
        </w:tc>
        <w:tc>
          <w:tcPr>
            <w:tcW w:w="567" w:type="dxa"/>
            <w:vAlign w:val="center"/>
          </w:tcPr>
          <w:p w14:paraId="5B7F5840">
            <w:pPr>
              <w:pStyle w:val="179"/>
              <w:rPr>
                <w:sz w:val="18"/>
                <w:szCs w:val="18"/>
              </w:rPr>
            </w:pPr>
            <w:r>
              <w:rPr>
                <w:sz w:val="18"/>
                <w:szCs w:val="18"/>
              </w:rPr>
              <w:t>0</w:t>
            </w:r>
          </w:p>
        </w:tc>
        <w:tc>
          <w:tcPr>
            <w:tcW w:w="587" w:type="dxa"/>
            <w:vMerge w:val="continue"/>
            <w:vAlign w:val="center"/>
          </w:tcPr>
          <w:p w14:paraId="390DFFE4">
            <w:pPr>
              <w:pStyle w:val="179"/>
              <w:rPr>
                <w:sz w:val="18"/>
                <w:szCs w:val="18"/>
              </w:rPr>
            </w:pPr>
          </w:p>
        </w:tc>
      </w:tr>
      <w:tr w14:paraId="0C26DB42">
        <w:tblPrEx>
          <w:tblBorders>
            <w:top w:val="single" w:color="auto" w:sz="12" w:space="0"/>
            <w:left w:val="single" w:color="auto" w:sz="12" w:space="0"/>
            <w:bottom w:val="single" w:color="auto" w:sz="12" w:space="0"/>
            <w:right w:val="single" w:color="auto" w:sz="12" w:space="0"/>
            <w:insideH w:val="single" w:color="000000" w:sz="6" w:space="0"/>
            <w:insideV w:val="single" w:color="000000" w:sz="6" w:space="0"/>
          </w:tblBorders>
          <w:tblCellMar>
            <w:top w:w="0" w:type="dxa"/>
            <w:left w:w="28" w:type="dxa"/>
            <w:bottom w:w="0" w:type="dxa"/>
            <w:right w:w="28" w:type="dxa"/>
          </w:tblCellMar>
        </w:tblPrEx>
        <w:trPr>
          <w:trHeight w:val="397" w:hRule="atLeast"/>
          <w:jc w:val="center"/>
        </w:trPr>
        <w:tc>
          <w:tcPr>
            <w:tcW w:w="376" w:type="dxa"/>
            <w:vMerge w:val="continue"/>
            <w:vAlign w:val="center"/>
          </w:tcPr>
          <w:p w14:paraId="5B6700CD">
            <w:pPr>
              <w:pStyle w:val="179"/>
              <w:rPr>
                <w:sz w:val="18"/>
                <w:szCs w:val="18"/>
              </w:rPr>
            </w:pPr>
          </w:p>
        </w:tc>
        <w:tc>
          <w:tcPr>
            <w:tcW w:w="377" w:type="dxa"/>
            <w:vMerge w:val="continue"/>
            <w:vAlign w:val="center"/>
          </w:tcPr>
          <w:p w14:paraId="4B7660C6">
            <w:pPr>
              <w:pStyle w:val="179"/>
              <w:rPr>
                <w:sz w:val="18"/>
                <w:szCs w:val="18"/>
              </w:rPr>
            </w:pPr>
          </w:p>
        </w:tc>
        <w:tc>
          <w:tcPr>
            <w:tcW w:w="377" w:type="dxa"/>
            <w:vMerge w:val="continue"/>
            <w:vAlign w:val="center"/>
          </w:tcPr>
          <w:p w14:paraId="5932EEF5">
            <w:pPr>
              <w:pStyle w:val="179"/>
              <w:rPr>
                <w:sz w:val="18"/>
                <w:szCs w:val="18"/>
              </w:rPr>
            </w:pPr>
          </w:p>
        </w:tc>
        <w:tc>
          <w:tcPr>
            <w:tcW w:w="609" w:type="dxa"/>
            <w:vAlign w:val="center"/>
          </w:tcPr>
          <w:p w14:paraId="42904C71">
            <w:pPr>
              <w:pStyle w:val="179"/>
              <w:rPr>
                <w:sz w:val="18"/>
                <w:szCs w:val="18"/>
              </w:rPr>
            </w:pPr>
            <w:r>
              <w:rPr>
                <w:sz w:val="18"/>
                <w:szCs w:val="18"/>
              </w:rPr>
              <w:t>SS</w:t>
            </w:r>
          </w:p>
        </w:tc>
        <w:tc>
          <w:tcPr>
            <w:tcW w:w="459" w:type="dxa"/>
            <w:vMerge w:val="continue"/>
            <w:vAlign w:val="center"/>
          </w:tcPr>
          <w:p w14:paraId="28C4BD0A">
            <w:pPr>
              <w:pStyle w:val="179"/>
              <w:rPr>
                <w:sz w:val="18"/>
                <w:szCs w:val="18"/>
              </w:rPr>
            </w:pPr>
          </w:p>
        </w:tc>
        <w:tc>
          <w:tcPr>
            <w:tcW w:w="709" w:type="dxa"/>
            <w:vMerge w:val="continue"/>
            <w:vAlign w:val="center"/>
          </w:tcPr>
          <w:p w14:paraId="312229F9">
            <w:pPr>
              <w:pStyle w:val="179"/>
              <w:rPr>
                <w:sz w:val="18"/>
                <w:szCs w:val="18"/>
              </w:rPr>
            </w:pPr>
          </w:p>
        </w:tc>
        <w:tc>
          <w:tcPr>
            <w:tcW w:w="797" w:type="dxa"/>
            <w:vAlign w:val="center"/>
          </w:tcPr>
          <w:p w14:paraId="67C4CB4B">
            <w:pPr>
              <w:pStyle w:val="179"/>
              <w:rPr>
                <w:sz w:val="18"/>
                <w:szCs w:val="18"/>
              </w:rPr>
            </w:pPr>
            <w:r>
              <w:rPr>
                <w:sz w:val="18"/>
                <w:szCs w:val="18"/>
              </w:rPr>
              <w:t>200</w:t>
            </w:r>
          </w:p>
        </w:tc>
        <w:tc>
          <w:tcPr>
            <w:tcW w:w="700" w:type="dxa"/>
            <w:vAlign w:val="center"/>
          </w:tcPr>
          <w:p w14:paraId="3E838789">
            <w:pPr>
              <w:pStyle w:val="179"/>
              <w:rPr>
                <w:sz w:val="18"/>
                <w:szCs w:val="18"/>
              </w:rPr>
            </w:pPr>
            <w:r>
              <w:rPr>
                <w:sz w:val="18"/>
                <w:szCs w:val="18"/>
              </w:rPr>
              <w:t xml:space="preserve">0.046 </w:t>
            </w:r>
          </w:p>
        </w:tc>
        <w:tc>
          <w:tcPr>
            <w:tcW w:w="707" w:type="dxa"/>
            <w:vMerge w:val="continue"/>
            <w:vAlign w:val="center"/>
          </w:tcPr>
          <w:p w14:paraId="7004856E">
            <w:pPr>
              <w:pStyle w:val="179"/>
              <w:rPr>
                <w:sz w:val="18"/>
                <w:szCs w:val="18"/>
              </w:rPr>
            </w:pPr>
          </w:p>
        </w:tc>
        <w:tc>
          <w:tcPr>
            <w:tcW w:w="343" w:type="dxa"/>
            <w:vMerge w:val="continue"/>
            <w:vAlign w:val="center"/>
          </w:tcPr>
          <w:p w14:paraId="317FF793">
            <w:pPr>
              <w:pStyle w:val="179"/>
              <w:rPr>
                <w:sz w:val="18"/>
                <w:szCs w:val="18"/>
              </w:rPr>
            </w:pPr>
          </w:p>
        </w:tc>
        <w:tc>
          <w:tcPr>
            <w:tcW w:w="507" w:type="dxa"/>
            <w:vMerge w:val="continue"/>
            <w:vAlign w:val="center"/>
          </w:tcPr>
          <w:p w14:paraId="54856E03">
            <w:pPr>
              <w:pStyle w:val="179"/>
              <w:rPr>
                <w:sz w:val="18"/>
                <w:szCs w:val="18"/>
              </w:rPr>
            </w:pPr>
          </w:p>
        </w:tc>
        <w:tc>
          <w:tcPr>
            <w:tcW w:w="690" w:type="dxa"/>
            <w:vAlign w:val="center"/>
          </w:tcPr>
          <w:p w14:paraId="4A8AA64C">
            <w:pPr>
              <w:pStyle w:val="179"/>
              <w:rPr>
                <w:sz w:val="18"/>
                <w:szCs w:val="18"/>
              </w:rPr>
            </w:pPr>
            <w:r>
              <w:rPr>
                <w:sz w:val="18"/>
                <w:szCs w:val="18"/>
              </w:rPr>
              <w:t>0</w:t>
            </w:r>
          </w:p>
        </w:tc>
        <w:tc>
          <w:tcPr>
            <w:tcW w:w="933" w:type="dxa"/>
            <w:vAlign w:val="center"/>
          </w:tcPr>
          <w:p w14:paraId="3D171319">
            <w:pPr>
              <w:pStyle w:val="179"/>
              <w:rPr>
                <w:sz w:val="18"/>
                <w:szCs w:val="18"/>
              </w:rPr>
            </w:pPr>
            <w:r>
              <w:rPr>
                <w:sz w:val="18"/>
                <w:szCs w:val="18"/>
              </w:rPr>
              <w:t>0</w:t>
            </w:r>
          </w:p>
        </w:tc>
        <w:tc>
          <w:tcPr>
            <w:tcW w:w="567" w:type="dxa"/>
            <w:vAlign w:val="center"/>
          </w:tcPr>
          <w:p w14:paraId="30B820FB">
            <w:pPr>
              <w:pStyle w:val="179"/>
              <w:rPr>
                <w:sz w:val="18"/>
                <w:szCs w:val="18"/>
              </w:rPr>
            </w:pPr>
            <w:r>
              <w:rPr>
                <w:sz w:val="18"/>
                <w:szCs w:val="18"/>
              </w:rPr>
              <w:t>0</w:t>
            </w:r>
          </w:p>
        </w:tc>
        <w:tc>
          <w:tcPr>
            <w:tcW w:w="587" w:type="dxa"/>
            <w:vMerge w:val="continue"/>
            <w:vAlign w:val="center"/>
          </w:tcPr>
          <w:p w14:paraId="70E49326">
            <w:pPr>
              <w:pStyle w:val="179"/>
              <w:rPr>
                <w:sz w:val="18"/>
                <w:szCs w:val="18"/>
              </w:rPr>
            </w:pPr>
          </w:p>
        </w:tc>
      </w:tr>
      <w:tr w14:paraId="3F5262CE">
        <w:tblPrEx>
          <w:tblBorders>
            <w:top w:val="single" w:color="auto" w:sz="12" w:space="0"/>
            <w:left w:val="single" w:color="auto" w:sz="12" w:space="0"/>
            <w:bottom w:val="single" w:color="auto" w:sz="12" w:space="0"/>
            <w:right w:val="single" w:color="auto" w:sz="12" w:space="0"/>
            <w:insideH w:val="single" w:color="000000" w:sz="6" w:space="0"/>
            <w:insideV w:val="single" w:color="000000" w:sz="6" w:space="0"/>
          </w:tblBorders>
          <w:tblCellMar>
            <w:top w:w="0" w:type="dxa"/>
            <w:left w:w="28" w:type="dxa"/>
            <w:bottom w:w="0" w:type="dxa"/>
            <w:right w:w="28" w:type="dxa"/>
          </w:tblCellMar>
        </w:tblPrEx>
        <w:trPr>
          <w:trHeight w:val="397" w:hRule="atLeast"/>
          <w:jc w:val="center"/>
        </w:trPr>
        <w:tc>
          <w:tcPr>
            <w:tcW w:w="376" w:type="dxa"/>
            <w:vMerge w:val="continue"/>
            <w:vAlign w:val="center"/>
          </w:tcPr>
          <w:p w14:paraId="44449DA1">
            <w:pPr>
              <w:pStyle w:val="179"/>
              <w:rPr>
                <w:sz w:val="18"/>
                <w:szCs w:val="18"/>
              </w:rPr>
            </w:pPr>
          </w:p>
        </w:tc>
        <w:tc>
          <w:tcPr>
            <w:tcW w:w="377" w:type="dxa"/>
            <w:vMerge w:val="continue"/>
            <w:vAlign w:val="center"/>
          </w:tcPr>
          <w:p w14:paraId="20AE3012">
            <w:pPr>
              <w:pStyle w:val="179"/>
              <w:rPr>
                <w:sz w:val="18"/>
                <w:szCs w:val="18"/>
              </w:rPr>
            </w:pPr>
          </w:p>
        </w:tc>
        <w:tc>
          <w:tcPr>
            <w:tcW w:w="377" w:type="dxa"/>
            <w:vMerge w:val="continue"/>
            <w:vAlign w:val="center"/>
          </w:tcPr>
          <w:p w14:paraId="7767F1CC">
            <w:pPr>
              <w:pStyle w:val="179"/>
              <w:rPr>
                <w:sz w:val="18"/>
                <w:szCs w:val="18"/>
              </w:rPr>
            </w:pPr>
          </w:p>
        </w:tc>
        <w:tc>
          <w:tcPr>
            <w:tcW w:w="609" w:type="dxa"/>
            <w:vAlign w:val="center"/>
          </w:tcPr>
          <w:p w14:paraId="51F9B3C6">
            <w:pPr>
              <w:pStyle w:val="179"/>
              <w:rPr>
                <w:sz w:val="18"/>
                <w:szCs w:val="18"/>
              </w:rPr>
            </w:pPr>
            <w:r>
              <w:rPr>
                <w:sz w:val="18"/>
                <w:szCs w:val="18"/>
              </w:rPr>
              <w:t>BOD</w:t>
            </w:r>
            <w:r>
              <w:rPr>
                <w:sz w:val="18"/>
                <w:szCs w:val="18"/>
                <w:vertAlign w:val="subscript"/>
              </w:rPr>
              <w:t>5</w:t>
            </w:r>
          </w:p>
        </w:tc>
        <w:tc>
          <w:tcPr>
            <w:tcW w:w="459" w:type="dxa"/>
            <w:vMerge w:val="continue"/>
            <w:vAlign w:val="center"/>
          </w:tcPr>
          <w:p w14:paraId="0CB6FE46">
            <w:pPr>
              <w:pStyle w:val="179"/>
              <w:rPr>
                <w:sz w:val="18"/>
                <w:szCs w:val="18"/>
              </w:rPr>
            </w:pPr>
          </w:p>
        </w:tc>
        <w:tc>
          <w:tcPr>
            <w:tcW w:w="709" w:type="dxa"/>
            <w:vMerge w:val="continue"/>
            <w:vAlign w:val="center"/>
          </w:tcPr>
          <w:p w14:paraId="4EE37F72">
            <w:pPr>
              <w:pStyle w:val="179"/>
              <w:rPr>
                <w:sz w:val="18"/>
                <w:szCs w:val="18"/>
              </w:rPr>
            </w:pPr>
          </w:p>
        </w:tc>
        <w:tc>
          <w:tcPr>
            <w:tcW w:w="797" w:type="dxa"/>
            <w:vAlign w:val="center"/>
          </w:tcPr>
          <w:p w14:paraId="05DF405C">
            <w:pPr>
              <w:pStyle w:val="179"/>
              <w:rPr>
                <w:sz w:val="18"/>
                <w:szCs w:val="18"/>
              </w:rPr>
            </w:pPr>
            <w:r>
              <w:rPr>
                <w:sz w:val="18"/>
                <w:szCs w:val="18"/>
              </w:rPr>
              <w:t>180</w:t>
            </w:r>
          </w:p>
        </w:tc>
        <w:tc>
          <w:tcPr>
            <w:tcW w:w="700" w:type="dxa"/>
            <w:vAlign w:val="center"/>
          </w:tcPr>
          <w:p w14:paraId="197FCB4A">
            <w:pPr>
              <w:pStyle w:val="179"/>
              <w:rPr>
                <w:sz w:val="18"/>
                <w:szCs w:val="18"/>
              </w:rPr>
            </w:pPr>
            <w:r>
              <w:rPr>
                <w:sz w:val="18"/>
                <w:szCs w:val="18"/>
              </w:rPr>
              <w:t xml:space="preserve">0.041 </w:t>
            </w:r>
          </w:p>
        </w:tc>
        <w:tc>
          <w:tcPr>
            <w:tcW w:w="707" w:type="dxa"/>
            <w:vMerge w:val="continue"/>
            <w:vAlign w:val="center"/>
          </w:tcPr>
          <w:p w14:paraId="51C0E886">
            <w:pPr>
              <w:pStyle w:val="179"/>
              <w:rPr>
                <w:sz w:val="18"/>
                <w:szCs w:val="18"/>
              </w:rPr>
            </w:pPr>
          </w:p>
        </w:tc>
        <w:tc>
          <w:tcPr>
            <w:tcW w:w="343" w:type="dxa"/>
            <w:vMerge w:val="continue"/>
            <w:vAlign w:val="center"/>
          </w:tcPr>
          <w:p w14:paraId="41583A0D">
            <w:pPr>
              <w:pStyle w:val="179"/>
              <w:rPr>
                <w:sz w:val="18"/>
                <w:szCs w:val="18"/>
              </w:rPr>
            </w:pPr>
          </w:p>
        </w:tc>
        <w:tc>
          <w:tcPr>
            <w:tcW w:w="507" w:type="dxa"/>
            <w:vMerge w:val="continue"/>
            <w:vAlign w:val="center"/>
          </w:tcPr>
          <w:p w14:paraId="09A2ABE9">
            <w:pPr>
              <w:pStyle w:val="179"/>
              <w:rPr>
                <w:sz w:val="18"/>
                <w:szCs w:val="18"/>
              </w:rPr>
            </w:pPr>
          </w:p>
        </w:tc>
        <w:tc>
          <w:tcPr>
            <w:tcW w:w="690" w:type="dxa"/>
            <w:vAlign w:val="center"/>
          </w:tcPr>
          <w:p w14:paraId="76E6F587">
            <w:pPr>
              <w:pStyle w:val="179"/>
              <w:rPr>
                <w:sz w:val="18"/>
                <w:szCs w:val="18"/>
              </w:rPr>
            </w:pPr>
            <w:r>
              <w:rPr>
                <w:sz w:val="18"/>
                <w:szCs w:val="18"/>
              </w:rPr>
              <w:t>0</w:t>
            </w:r>
          </w:p>
        </w:tc>
        <w:tc>
          <w:tcPr>
            <w:tcW w:w="933" w:type="dxa"/>
            <w:vAlign w:val="center"/>
          </w:tcPr>
          <w:p w14:paraId="346AE9C9">
            <w:pPr>
              <w:pStyle w:val="179"/>
              <w:rPr>
                <w:sz w:val="18"/>
                <w:szCs w:val="18"/>
              </w:rPr>
            </w:pPr>
            <w:r>
              <w:rPr>
                <w:sz w:val="18"/>
                <w:szCs w:val="18"/>
              </w:rPr>
              <w:t>0</w:t>
            </w:r>
          </w:p>
        </w:tc>
        <w:tc>
          <w:tcPr>
            <w:tcW w:w="567" w:type="dxa"/>
            <w:vAlign w:val="center"/>
          </w:tcPr>
          <w:p w14:paraId="0BB6449A">
            <w:pPr>
              <w:pStyle w:val="179"/>
              <w:rPr>
                <w:sz w:val="18"/>
                <w:szCs w:val="18"/>
              </w:rPr>
            </w:pPr>
            <w:r>
              <w:rPr>
                <w:sz w:val="18"/>
                <w:szCs w:val="18"/>
              </w:rPr>
              <w:t>0</w:t>
            </w:r>
          </w:p>
        </w:tc>
        <w:tc>
          <w:tcPr>
            <w:tcW w:w="587" w:type="dxa"/>
            <w:vMerge w:val="continue"/>
            <w:vAlign w:val="center"/>
          </w:tcPr>
          <w:p w14:paraId="60518F82">
            <w:pPr>
              <w:pStyle w:val="179"/>
              <w:rPr>
                <w:sz w:val="18"/>
                <w:szCs w:val="18"/>
              </w:rPr>
            </w:pPr>
          </w:p>
        </w:tc>
      </w:tr>
    </w:tbl>
    <w:p w14:paraId="5B9AA9F4">
      <w:pPr>
        <w:pStyle w:val="5"/>
        <w:spacing w:before="120" w:after="120"/>
      </w:pPr>
      <w:r>
        <w:rPr>
          <w:rFonts w:hint="eastAsia"/>
        </w:rPr>
        <w:t>运行期</w:t>
      </w:r>
      <w:r>
        <w:t>固体废物</w:t>
      </w:r>
    </w:p>
    <w:p w14:paraId="6F3A9668">
      <w:pPr>
        <w:ind w:firstLine="480"/>
      </w:pPr>
      <w:r>
        <w:rPr>
          <w:rFonts w:hint="eastAsia"/>
        </w:rPr>
        <w:t>本项目施工机械故障后统一运至指定机械维修场所进行维修，不在现场进行修理，故项目现场无废机油产生。产生的固体废物主要为职工生活垃圾及贮水池沉渣。</w:t>
      </w:r>
    </w:p>
    <w:p w14:paraId="3D45F73C">
      <w:pPr>
        <w:ind w:firstLine="480"/>
      </w:pPr>
      <w:r>
        <w:rPr>
          <w:rFonts w:hint="eastAsia"/>
        </w:rPr>
        <w:t>（1）生活垃圾</w:t>
      </w:r>
    </w:p>
    <w:p w14:paraId="0C09ED6F">
      <w:pPr>
        <w:ind w:firstLine="480"/>
      </w:pPr>
      <w:r>
        <w:rPr>
          <w:rFonts w:hint="eastAsia"/>
        </w:rPr>
        <w:t>本项目劳动定员20人，生活垃圾产生量按</w:t>
      </w:r>
      <w:r>
        <w:t>0.5kg/</w:t>
      </w:r>
      <w:r>
        <w:rPr>
          <w:rFonts w:hint="eastAsia"/>
        </w:rPr>
        <w:t>人.</w:t>
      </w:r>
      <w:r>
        <w:t>d</w:t>
      </w:r>
      <w:r>
        <w:rPr>
          <w:rFonts w:hint="eastAsia"/>
        </w:rPr>
        <w:t>计，生活垃圾产生量为</w:t>
      </w:r>
      <w:r>
        <w:t>0.0</w:t>
      </w:r>
      <w:r>
        <w:rPr>
          <w:rFonts w:hint="eastAsia"/>
        </w:rPr>
        <w:t>1</w:t>
      </w:r>
      <w:r>
        <w:t>t/d</w:t>
      </w:r>
      <w:r>
        <w:rPr>
          <w:rFonts w:hint="eastAsia"/>
        </w:rPr>
        <w:t>，1.8</w:t>
      </w:r>
      <w:r>
        <w:t>t/a</w:t>
      </w:r>
      <w:r>
        <w:rPr>
          <w:rFonts w:hint="eastAsia"/>
        </w:rPr>
        <w:t>。</w:t>
      </w:r>
    </w:p>
    <w:p w14:paraId="3C683FE2">
      <w:pPr>
        <w:ind w:firstLine="480"/>
      </w:pPr>
      <w:r>
        <w:t>（</w:t>
      </w:r>
      <w:r>
        <w:rPr>
          <w:rFonts w:hint="eastAsia"/>
        </w:rPr>
        <w:t>2</w:t>
      </w:r>
      <w:r>
        <w:t>）</w:t>
      </w:r>
      <w:r>
        <w:rPr>
          <w:rFonts w:hint="eastAsia"/>
        </w:rPr>
        <w:t>沉渣</w:t>
      </w:r>
    </w:p>
    <w:p w14:paraId="5BBB1EAB">
      <w:pPr>
        <w:ind w:firstLine="480"/>
      </w:pPr>
      <w:r>
        <w:t>本项目产生贮水池</w:t>
      </w:r>
      <w:r>
        <w:rPr>
          <w:rFonts w:hint="eastAsia"/>
        </w:rPr>
        <w:t>沉渣</w:t>
      </w:r>
      <w:r>
        <w:t>约</w:t>
      </w:r>
      <w:r>
        <w:rPr>
          <w:rFonts w:hint="eastAsia"/>
        </w:rPr>
        <w:t>3.1</w:t>
      </w:r>
      <w:r>
        <w:t>t/a，贮水池</w:t>
      </w:r>
      <w:r>
        <w:rPr>
          <w:rFonts w:hint="eastAsia"/>
        </w:rPr>
        <w:t>沉渣</w:t>
      </w:r>
      <w:r>
        <w:t>定期清掏，用于矿区土地平整。</w:t>
      </w:r>
    </w:p>
    <w:p w14:paraId="46D8D27F">
      <w:pPr>
        <w:ind w:firstLine="480"/>
      </w:pPr>
    </w:p>
    <w:p w14:paraId="30DC046F">
      <w:pPr>
        <w:pStyle w:val="178"/>
      </w:pPr>
      <w:r>
        <w:t>表3.</w:t>
      </w:r>
      <w:r>
        <w:rPr>
          <w:rFonts w:hint="eastAsia"/>
        </w:rPr>
        <w:t xml:space="preserve">5-8  </w:t>
      </w:r>
      <w:r>
        <w:t>固体废物污染源源强核算结果及相关参数一览表</w:t>
      </w:r>
    </w:p>
    <w:tbl>
      <w:tblPr>
        <w:tblStyle w:val="36"/>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80"/>
        <w:gridCol w:w="982"/>
        <w:gridCol w:w="1422"/>
        <w:gridCol w:w="922"/>
        <w:gridCol w:w="774"/>
        <w:gridCol w:w="938"/>
        <w:gridCol w:w="745"/>
        <w:gridCol w:w="967"/>
        <w:gridCol w:w="1099"/>
      </w:tblGrid>
      <w:tr w14:paraId="62FCA9D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398" w:type="pct"/>
            <w:vMerge w:val="restart"/>
            <w:vAlign w:val="center"/>
          </w:tcPr>
          <w:p w14:paraId="631BF077">
            <w:pPr>
              <w:pStyle w:val="179"/>
              <w:rPr>
                <w:b/>
              </w:rPr>
            </w:pPr>
            <w:r>
              <w:rPr>
                <w:b/>
              </w:rPr>
              <w:t>工序/生产线</w:t>
            </w:r>
          </w:p>
        </w:tc>
        <w:tc>
          <w:tcPr>
            <w:tcW w:w="575" w:type="pct"/>
            <w:vMerge w:val="restart"/>
            <w:vAlign w:val="center"/>
          </w:tcPr>
          <w:p w14:paraId="647DC1B2">
            <w:pPr>
              <w:pStyle w:val="179"/>
              <w:rPr>
                <w:b/>
              </w:rPr>
            </w:pPr>
            <w:r>
              <w:rPr>
                <w:b/>
              </w:rPr>
              <w:t>装置</w:t>
            </w:r>
          </w:p>
        </w:tc>
        <w:tc>
          <w:tcPr>
            <w:tcW w:w="832" w:type="pct"/>
            <w:vMerge w:val="restart"/>
            <w:vAlign w:val="center"/>
          </w:tcPr>
          <w:p w14:paraId="633AF555">
            <w:pPr>
              <w:pStyle w:val="179"/>
              <w:rPr>
                <w:b/>
              </w:rPr>
            </w:pPr>
            <w:r>
              <w:rPr>
                <w:b/>
              </w:rPr>
              <w:t>固体废物名称</w:t>
            </w:r>
          </w:p>
        </w:tc>
        <w:tc>
          <w:tcPr>
            <w:tcW w:w="540" w:type="pct"/>
            <w:vMerge w:val="restart"/>
            <w:vAlign w:val="center"/>
          </w:tcPr>
          <w:p w14:paraId="6289998C">
            <w:pPr>
              <w:pStyle w:val="179"/>
              <w:rPr>
                <w:b/>
              </w:rPr>
            </w:pPr>
            <w:r>
              <w:rPr>
                <w:b/>
              </w:rPr>
              <w:t>固体废物属性</w:t>
            </w:r>
          </w:p>
        </w:tc>
        <w:tc>
          <w:tcPr>
            <w:tcW w:w="1004" w:type="pct"/>
            <w:gridSpan w:val="2"/>
            <w:vAlign w:val="center"/>
          </w:tcPr>
          <w:p w14:paraId="19ABF23C">
            <w:pPr>
              <w:pStyle w:val="179"/>
              <w:rPr>
                <w:b/>
              </w:rPr>
            </w:pPr>
            <w:r>
              <w:rPr>
                <w:b/>
              </w:rPr>
              <w:t>产生情况</w:t>
            </w:r>
          </w:p>
        </w:tc>
        <w:tc>
          <w:tcPr>
            <w:tcW w:w="1004" w:type="pct"/>
            <w:gridSpan w:val="2"/>
            <w:vAlign w:val="center"/>
          </w:tcPr>
          <w:p w14:paraId="79A13715">
            <w:pPr>
              <w:pStyle w:val="179"/>
              <w:rPr>
                <w:b/>
              </w:rPr>
            </w:pPr>
            <w:r>
              <w:rPr>
                <w:b/>
              </w:rPr>
              <w:t>处置措施</w:t>
            </w:r>
          </w:p>
        </w:tc>
        <w:tc>
          <w:tcPr>
            <w:tcW w:w="643" w:type="pct"/>
            <w:vMerge w:val="restart"/>
            <w:vAlign w:val="center"/>
          </w:tcPr>
          <w:p w14:paraId="46CCAF44">
            <w:pPr>
              <w:pStyle w:val="179"/>
              <w:rPr>
                <w:b/>
              </w:rPr>
            </w:pPr>
            <w:r>
              <w:rPr>
                <w:b/>
              </w:rPr>
              <w:t>最终去向</w:t>
            </w:r>
          </w:p>
        </w:tc>
      </w:tr>
      <w:tr w14:paraId="74EB3EB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02" w:hRule="atLeast"/>
          <w:jc w:val="center"/>
        </w:trPr>
        <w:tc>
          <w:tcPr>
            <w:tcW w:w="398" w:type="pct"/>
            <w:vMerge w:val="continue"/>
            <w:vAlign w:val="center"/>
          </w:tcPr>
          <w:p w14:paraId="38138546">
            <w:pPr>
              <w:pStyle w:val="179"/>
              <w:rPr>
                <w:b/>
              </w:rPr>
            </w:pPr>
          </w:p>
        </w:tc>
        <w:tc>
          <w:tcPr>
            <w:tcW w:w="575" w:type="pct"/>
            <w:vMerge w:val="continue"/>
            <w:vAlign w:val="center"/>
          </w:tcPr>
          <w:p w14:paraId="5572C475">
            <w:pPr>
              <w:pStyle w:val="179"/>
              <w:rPr>
                <w:b/>
              </w:rPr>
            </w:pPr>
          </w:p>
        </w:tc>
        <w:tc>
          <w:tcPr>
            <w:tcW w:w="832" w:type="pct"/>
            <w:vMerge w:val="continue"/>
            <w:vAlign w:val="center"/>
          </w:tcPr>
          <w:p w14:paraId="4AA1BC9C">
            <w:pPr>
              <w:pStyle w:val="179"/>
              <w:rPr>
                <w:b/>
              </w:rPr>
            </w:pPr>
          </w:p>
        </w:tc>
        <w:tc>
          <w:tcPr>
            <w:tcW w:w="540" w:type="pct"/>
            <w:vMerge w:val="continue"/>
            <w:vAlign w:val="center"/>
          </w:tcPr>
          <w:p w14:paraId="265CEBF9">
            <w:pPr>
              <w:pStyle w:val="179"/>
              <w:rPr>
                <w:b/>
              </w:rPr>
            </w:pPr>
          </w:p>
        </w:tc>
        <w:tc>
          <w:tcPr>
            <w:tcW w:w="454" w:type="pct"/>
            <w:vAlign w:val="center"/>
          </w:tcPr>
          <w:p w14:paraId="05A92895">
            <w:pPr>
              <w:pStyle w:val="179"/>
              <w:rPr>
                <w:b/>
              </w:rPr>
            </w:pPr>
            <w:r>
              <w:rPr>
                <w:b/>
              </w:rPr>
              <w:t>核算方法</w:t>
            </w:r>
          </w:p>
        </w:tc>
        <w:tc>
          <w:tcPr>
            <w:tcW w:w="549" w:type="pct"/>
            <w:vAlign w:val="center"/>
          </w:tcPr>
          <w:p w14:paraId="021506DE">
            <w:pPr>
              <w:pStyle w:val="179"/>
              <w:rPr>
                <w:b/>
              </w:rPr>
            </w:pPr>
            <w:r>
              <w:rPr>
                <w:b/>
              </w:rPr>
              <w:t>产生量t/a</w:t>
            </w:r>
          </w:p>
        </w:tc>
        <w:tc>
          <w:tcPr>
            <w:tcW w:w="437" w:type="pct"/>
            <w:vAlign w:val="center"/>
          </w:tcPr>
          <w:p w14:paraId="250C7942">
            <w:pPr>
              <w:pStyle w:val="179"/>
              <w:rPr>
                <w:b/>
              </w:rPr>
            </w:pPr>
            <w:r>
              <w:rPr>
                <w:b/>
              </w:rPr>
              <w:t>工艺</w:t>
            </w:r>
          </w:p>
        </w:tc>
        <w:tc>
          <w:tcPr>
            <w:tcW w:w="567" w:type="pct"/>
            <w:vAlign w:val="center"/>
          </w:tcPr>
          <w:p w14:paraId="32EDB415">
            <w:pPr>
              <w:pStyle w:val="179"/>
              <w:rPr>
                <w:b/>
              </w:rPr>
            </w:pPr>
            <w:r>
              <w:rPr>
                <w:b/>
              </w:rPr>
              <w:t>处置量t/a</w:t>
            </w:r>
          </w:p>
        </w:tc>
        <w:tc>
          <w:tcPr>
            <w:tcW w:w="643" w:type="pct"/>
            <w:vMerge w:val="continue"/>
            <w:vAlign w:val="center"/>
          </w:tcPr>
          <w:p w14:paraId="5E14237E">
            <w:pPr>
              <w:pStyle w:val="179"/>
              <w:rPr>
                <w:b/>
              </w:rPr>
            </w:pPr>
          </w:p>
        </w:tc>
      </w:tr>
      <w:tr w14:paraId="2EAD762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0" w:hRule="atLeast"/>
          <w:jc w:val="center"/>
        </w:trPr>
        <w:tc>
          <w:tcPr>
            <w:tcW w:w="398" w:type="pct"/>
            <w:shd w:val="clear" w:color="auto" w:fill="auto"/>
            <w:vAlign w:val="center"/>
          </w:tcPr>
          <w:p w14:paraId="60447BB2">
            <w:pPr>
              <w:pStyle w:val="179"/>
            </w:pPr>
            <w:r>
              <w:rPr>
                <w:rFonts w:hint="eastAsia"/>
              </w:rPr>
              <w:t>采场内</w:t>
            </w:r>
          </w:p>
        </w:tc>
        <w:tc>
          <w:tcPr>
            <w:tcW w:w="575" w:type="pct"/>
            <w:shd w:val="clear" w:color="auto" w:fill="auto"/>
            <w:vAlign w:val="center"/>
          </w:tcPr>
          <w:p w14:paraId="2F81288C">
            <w:pPr>
              <w:pStyle w:val="179"/>
            </w:pPr>
            <w:r>
              <w:t>垃圾箱</w:t>
            </w:r>
          </w:p>
        </w:tc>
        <w:tc>
          <w:tcPr>
            <w:tcW w:w="832" w:type="pct"/>
            <w:shd w:val="clear" w:color="auto" w:fill="auto"/>
            <w:vAlign w:val="center"/>
          </w:tcPr>
          <w:p w14:paraId="2DC92EEE">
            <w:pPr>
              <w:pStyle w:val="179"/>
            </w:pPr>
            <w:r>
              <w:t>生活垃圾</w:t>
            </w:r>
          </w:p>
        </w:tc>
        <w:tc>
          <w:tcPr>
            <w:tcW w:w="540" w:type="pct"/>
            <w:shd w:val="clear" w:color="auto" w:fill="auto"/>
            <w:vAlign w:val="center"/>
          </w:tcPr>
          <w:p w14:paraId="1045A17D">
            <w:pPr>
              <w:pStyle w:val="179"/>
            </w:pPr>
            <w:r>
              <w:t>生活垃圾</w:t>
            </w:r>
          </w:p>
        </w:tc>
        <w:tc>
          <w:tcPr>
            <w:tcW w:w="454" w:type="pct"/>
            <w:shd w:val="clear" w:color="auto" w:fill="FFFFFF"/>
            <w:vAlign w:val="center"/>
          </w:tcPr>
          <w:p w14:paraId="1F001D8A">
            <w:pPr>
              <w:pStyle w:val="179"/>
            </w:pPr>
            <w:r>
              <w:t>系数法</w:t>
            </w:r>
          </w:p>
        </w:tc>
        <w:tc>
          <w:tcPr>
            <w:tcW w:w="549" w:type="pct"/>
            <w:shd w:val="clear" w:color="auto" w:fill="FFFFFF"/>
            <w:vAlign w:val="center"/>
          </w:tcPr>
          <w:p w14:paraId="503A5319">
            <w:pPr>
              <w:pStyle w:val="179"/>
            </w:pPr>
            <w:r>
              <w:rPr>
                <w:rFonts w:hint="eastAsia"/>
              </w:rPr>
              <w:t>1.8</w:t>
            </w:r>
          </w:p>
        </w:tc>
        <w:tc>
          <w:tcPr>
            <w:tcW w:w="437" w:type="pct"/>
            <w:vAlign w:val="center"/>
          </w:tcPr>
          <w:p w14:paraId="3D99AF56">
            <w:pPr>
              <w:pStyle w:val="179"/>
            </w:pPr>
            <w:r>
              <w:t>/</w:t>
            </w:r>
          </w:p>
        </w:tc>
        <w:tc>
          <w:tcPr>
            <w:tcW w:w="567" w:type="pct"/>
            <w:vAlign w:val="center"/>
          </w:tcPr>
          <w:p w14:paraId="2371AD7D">
            <w:pPr>
              <w:pStyle w:val="179"/>
            </w:pPr>
            <w:r>
              <w:rPr>
                <w:rFonts w:hint="eastAsia"/>
              </w:rPr>
              <w:t>1.8</w:t>
            </w:r>
          </w:p>
        </w:tc>
        <w:tc>
          <w:tcPr>
            <w:tcW w:w="643" w:type="pct"/>
            <w:vAlign w:val="center"/>
          </w:tcPr>
          <w:p w14:paraId="6A2FF4D3">
            <w:pPr>
              <w:pStyle w:val="179"/>
            </w:pPr>
            <w:r>
              <w:t>由当地环卫部门统一处理</w:t>
            </w:r>
          </w:p>
        </w:tc>
      </w:tr>
      <w:tr w14:paraId="15C2FE4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398" w:type="pct"/>
            <w:shd w:val="clear" w:color="auto" w:fill="auto"/>
            <w:vAlign w:val="center"/>
          </w:tcPr>
          <w:p w14:paraId="452E7E00">
            <w:pPr>
              <w:pStyle w:val="179"/>
            </w:pPr>
            <w:r>
              <w:rPr>
                <w:rFonts w:hint="eastAsia"/>
              </w:rPr>
              <w:t>开采区</w:t>
            </w:r>
          </w:p>
        </w:tc>
        <w:tc>
          <w:tcPr>
            <w:tcW w:w="575" w:type="pct"/>
            <w:shd w:val="clear" w:color="auto" w:fill="auto"/>
            <w:vAlign w:val="center"/>
          </w:tcPr>
          <w:p w14:paraId="69F2A163">
            <w:pPr>
              <w:pStyle w:val="179"/>
            </w:pPr>
            <w:r>
              <w:rPr>
                <w:rFonts w:hint="eastAsia"/>
              </w:rPr>
              <w:t>贮水池</w:t>
            </w:r>
          </w:p>
        </w:tc>
        <w:tc>
          <w:tcPr>
            <w:tcW w:w="832" w:type="pct"/>
            <w:shd w:val="clear" w:color="auto" w:fill="auto"/>
            <w:vAlign w:val="center"/>
          </w:tcPr>
          <w:p w14:paraId="7A41B5AC">
            <w:pPr>
              <w:pStyle w:val="179"/>
            </w:pPr>
            <w:r>
              <w:rPr>
                <w:rFonts w:hint="eastAsia"/>
              </w:rPr>
              <w:t>废石</w:t>
            </w:r>
            <w:r>
              <w:t>（代码：900-099-S59）</w:t>
            </w:r>
          </w:p>
        </w:tc>
        <w:tc>
          <w:tcPr>
            <w:tcW w:w="540" w:type="pct"/>
            <w:shd w:val="clear" w:color="auto" w:fill="auto"/>
            <w:vAlign w:val="center"/>
          </w:tcPr>
          <w:p w14:paraId="514530DF">
            <w:pPr>
              <w:pStyle w:val="179"/>
            </w:pPr>
            <w:r>
              <w:t>一般工业固体废物</w:t>
            </w:r>
          </w:p>
        </w:tc>
        <w:tc>
          <w:tcPr>
            <w:tcW w:w="454" w:type="pct"/>
            <w:shd w:val="clear" w:color="auto" w:fill="FFFFFF"/>
            <w:vAlign w:val="center"/>
          </w:tcPr>
          <w:p w14:paraId="3ADBCA83">
            <w:pPr>
              <w:pStyle w:val="179"/>
            </w:pPr>
            <w:r>
              <w:rPr>
                <w:rFonts w:hint="eastAsia"/>
              </w:rPr>
              <w:t>经验法</w:t>
            </w:r>
          </w:p>
        </w:tc>
        <w:tc>
          <w:tcPr>
            <w:tcW w:w="549" w:type="pct"/>
            <w:shd w:val="clear" w:color="auto" w:fill="FFFFFF"/>
            <w:vAlign w:val="center"/>
          </w:tcPr>
          <w:p w14:paraId="2640819F">
            <w:pPr>
              <w:pStyle w:val="179"/>
            </w:pPr>
            <w:r>
              <w:rPr>
                <w:rFonts w:hint="eastAsia"/>
              </w:rPr>
              <w:t>3.1</w:t>
            </w:r>
          </w:p>
        </w:tc>
        <w:tc>
          <w:tcPr>
            <w:tcW w:w="437" w:type="pct"/>
            <w:vAlign w:val="center"/>
          </w:tcPr>
          <w:p w14:paraId="24B4B66C">
            <w:pPr>
              <w:pStyle w:val="179"/>
            </w:pPr>
            <w:r>
              <w:rPr>
                <w:rFonts w:hint="eastAsia"/>
              </w:rPr>
              <w:t>/</w:t>
            </w:r>
          </w:p>
        </w:tc>
        <w:tc>
          <w:tcPr>
            <w:tcW w:w="567" w:type="pct"/>
            <w:vAlign w:val="center"/>
          </w:tcPr>
          <w:p w14:paraId="6E0F2443">
            <w:pPr>
              <w:pStyle w:val="179"/>
            </w:pPr>
            <w:r>
              <w:rPr>
                <w:rFonts w:hint="eastAsia"/>
              </w:rPr>
              <w:t>3.1</w:t>
            </w:r>
          </w:p>
        </w:tc>
        <w:tc>
          <w:tcPr>
            <w:tcW w:w="643" w:type="pct"/>
            <w:vAlign w:val="center"/>
          </w:tcPr>
          <w:p w14:paraId="7ABE5AF3">
            <w:pPr>
              <w:pStyle w:val="179"/>
            </w:pPr>
            <w:r>
              <w:t>用于矿区土地平整</w:t>
            </w:r>
          </w:p>
        </w:tc>
      </w:tr>
    </w:tbl>
    <w:p w14:paraId="1B7F868E">
      <w:pPr>
        <w:pStyle w:val="5"/>
        <w:spacing w:before="120" w:after="120"/>
      </w:pPr>
      <w:r>
        <w:rPr>
          <w:rFonts w:hint="eastAsia"/>
        </w:rPr>
        <w:t>运行期</w:t>
      </w:r>
      <w:r>
        <w:t>噪声</w:t>
      </w:r>
    </w:p>
    <w:p w14:paraId="4D79C6E0">
      <w:pPr>
        <w:ind w:firstLine="480"/>
      </w:pPr>
      <w:r>
        <w:t>本项目生产噪声源主要为挖掘机、装载机、</w:t>
      </w:r>
      <w:r>
        <w:rPr>
          <w:rFonts w:hint="eastAsia"/>
        </w:rPr>
        <w:t>自卸</w:t>
      </w:r>
      <w:r>
        <w:t>汽车等，噪声强度约7</w:t>
      </w:r>
      <w:r>
        <w:rPr>
          <w:rFonts w:hint="eastAsia"/>
        </w:rPr>
        <w:t>0</w:t>
      </w:r>
      <w:r>
        <w:t>~</w:t>
      </w:r>
      <w:r>
        <w:rPr>
          <w:rFonts w:hint="eastAsia"/>
        </w:rPr>
        <w:t>95</w:t>
      </w:r>
      <w:r>
        <w:t>dB(A)。</w:t>
      </w:r>
    </w:p>
    <w:p w14:paraId="78FBB2A9">
      <w:pPr>
        <w:ind w:firstLine="480"/>
      </w:pPr>
      <w:r>
        <w:t>本项目对运输交通噪声，禁止使用超过噪声限值的运输车辆，机动车辆必须加强维修和保养，保持技术性能良好，合理安排运输车辆工作时间，不得在夜间、休息时间运输。本项目主要噪声源及源强一览表见表3.</w:t>
      </w:r>
      <w:r>
        <w:rPr>
          <w:rFonts w:hint="eastAsia"/>
        </w:rPr>
        <w:t>5-9</w:t>
      </w:r>
      <w:r>
        <w:t>。</w:t>
      </w:r>
    </w:p>
    <w:p w14:paraId="518C8812">
      <w:pPr>
        <w:pStyle w:val="178"/>
        <w:jc w:val="right"/>
      </w:pPr>
      <w:r>
        <w:t>表3.</w:t>
      </w:r>
      <w:r>
        <w:rPr>
          <w:rFonts w:hint="eastAsia"/>
        </w:rPr>
        <w:t xml:space="preserve">5-9  </w:t>
      </w:r>
      <w:r>
        <w:t>主要噪声源一览表  单位：dB(A)</w:t>
      </w:r>
    </w:p>
    <w:tbl>
      <w:tblPr>
        <w:tblStyle w:val="36"/>
        <w:tblW w:w="4997"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57" w:type="dxa"/>
          <w:bottom w:w="0" w:type="dxa"/>
          <w:right w:w="57" w:type="dxa"/>
        </w:tblCellMar>
      </w:tblPr>
      <w:tblGrid>
        <w:gridCol w:w="486"/>
        <w:gridCol w:w="1128"/>
        <w:gridCol w:w="1982"/>
        <w:gridCol w:w="800"/>
        <w:gridCol w:w="802"/>
        <w:gridCol w:w="802"/>
        <w:gridCol w:w="1003"/>
        <w:gridCol w:w="851"/>
        <w:gridCol w:w="568"/>
      </w:tblGrid>
      <w:tr w14:paraId="3FC9031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289" w:type="pct"/>
            <w:vMerge w:val="restart"/>
            <w:vAlign w:val="center"/>
          </w:tcPr>
          <w:p w14:paraId="1E91BA48">
            <w:pPr>
              <w:pStyle w:val="179"/>
              <w:rPr>
                <w:b/>
              </w:rPr>
            </w:pPr>
            <w:r>
              <w:rPr>
                <w:b/>
              </w:rPr>
              <w:t>序号</w:t>
            </w:r>
          </w:p>
        </w:tc>
        <w:tc>
          <w:tcPr>
            <w:tcW w:w="670" w:type="pct"/>
            <w:vMerge w:val="restart"/>
            <w:vAlign w:val="center"/>
          </w:tcPr>
          <w:p w14:paraId="793FF794">
            <w:pPr>
              <w:pStyle w:val="179"/>
              <w:rPr>
                <w:b/>
              </w:rPr>
            </w:pPr>
            <w:r>
              <w:rPr>
                <w:rFonts w:hint="eastAsia"/>
                <w:b/>
              </w:rPr>
              <w:t>声源名称</w:t>
            </w:r>
          </w:p>
        </w:tc>
        <w:tc>
          <w:tcPr>
            <w:tcW w:w="1177" w:type="pct"/>
            <w:vMerge w:val="restart"/>
            <w:vAlign w:val="center"/>
          </w:tcPr>
          <w:p w14:paraId="7D8314C0">
            <w:pPr>
              <w:pStyle w:val="179"/>
              <w:rPr>
                <w:b/>
              </w:rPr>
            </w:pPr>
            <w:r>
              <w:rPr>
                <w:rFonts w:hint="eastAsia"/>
                <w:b/>
              </w:rPr>
              <w:t>型号</w:t>
            </w:r>
          </w:p>
        </w:tc>
        <w:tc>
          <w:tcPr>
            <w:tcW w:w="1426" w:type="pct"/>
            <w:gridSpan w:val="3"/>
            <w:vAlign w:val="center"/>
          </w:tcPr>
          <w:p w14:paraId="487BA5AB">
            <w:pPr>
              <w:pStyle w:val="179"/>
              <w:rPr>
                <w:b/>
              </w:rPr>
            </w:pPr>
            <w:r>
              <w:rPr>
                <w:rFonts w:hint="eastAsia"/>
                <w:b/>
              </w:rPr>
              <w:t>空间相对位置/m</w:t>
            </w:r>
          </w:p>
        </w:tc>
        <w:tc>
          <w:tcPr>
            <w:tcW w:w="595" w:type="pct"/>
            <w:vAlign w:val="center"/>
          </w:tcPr>
          <w:p w14:paraId="213F474E">
            <w:pPr>
              <w:pStyle w:val="179"/>
              <w:rPr>
                <w:b/>
              </w:rPr>
            </w:pPr>
            <w:r>
              <w:rPr>
                <w:rFonts w:hint="eastAsia"/>
                <w:b/>
              </w:rPr>
              <w:t>声源源强</w:t>
            </w:r>
          </w:p>
        </w:tc>
        <w:tc>
          <w:tcPr>
            <w:tcW w:w="505" w:type="pct"/>
            <w:vMerge w:val="restart"/>
            <w:vAlign w:val="center"/>
          </w:tcPr>
          <w:p w14:paraId="36BCE98A">
            <w:pPr>
              <w:pStyle w:val="179"/>
              <w:rPr>
                <w:b/>
              </w:rPr>
            </w:pPr>
            <w:r>
              <w:rPr>
                <w:rFonts w:hint="eastAsia"/>
                <w:b/>
              </w:rPr>
              <w:t>声源控制措施</w:t>
            </w:r>
          </w:p>
        </w:tc>
        <w:tc>
          <w:tcPr>
            <w:tcW w:w="337" w:type="pct"/>
            <w:vMerge w:val="restart"/>
            <w:vAlign w:val="center"/>
          </w:tcPr>
          <w:p w14:paraId="1A205B4C">
            <w:pPr>
              <w:pStyle w:val="179"/>
              <w:rPr>
                <w:b/>
              </w:rPr>
            </w:pPr>
            <w:r>
              <w:rPr>
                <w:rFonts w:hint="eastAsia"/>
                <w:b/>
              </w:rPr>
              <w:t>运行时段</w:t>
            </w:r>
          </w:p>
        </w:tc>
      </w:tr>
      <w:tr w14:paraId="6B08297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289" w:type="pct"/>
            <w:vMerge w:val="continue"/>
            <w:vAlign w:val="center"/>
          </w:tcPr>
          <w:p w14:paraId="384CA3F0">
            <w:pPr>
              <w:pStyle w:val="179"/>
              <w:rPr>
                <w:b/>
              </w:rPr>
            </w:pPr>
          </w:p>
        </w:tc>
        <w:tc>
          <w:tcPr>
            <w:tcW w:w="670" w:type="pct"/>
            <w:vMerge w:val="continue"/>
            <w:vAlign w:val="center"/>
          </w:tcPr>
          <w:p w14:paraId="235F8BD9">
            <w:pPr>
              <w:pStyle w:val="179"/>
              <w:rPr>
                <w:b/>
              </w:rPr>
            </w:pPr>
          </w:p>
        </w:tc>
        <w:tc>
          <w:tcPr>
            <w:tcW w:w="1177" w:type="pct"/>
            <w:vMerge w:val="continue"/>
            <w:vAlign w:val="center"/>
          </w:tcPr>
          <w:p w14:paraId="1C684CD7">
            <w:pPr>
              <w:pStyle w:val="179"/>
              <w:rPr>
                <w:b/>
              </w:rPr>
            </w:pPr>
          </w:p>
        </w:tc>
        <w:tc>
          <w:tcPr>
            <w:tcW w:w="475" w:type="pct"/>
            <w:vAlign w:val="center"/>
          </w:tcPr>
          <w:p w14:paraId="2E9FC5DD">
            <w:pPr>
              <w:pStyle w:val="179"/>
              <w:rPr>
                <w:b/>
              </w:rPr>
            </w:pPr>
            <w:r>
              <w:rPr>
                <w:rFonts w:hint="eastAsia"/>
                <w:b/>
              </w:rPr>
              <w:t>X</w:t>
            </w:r>
          </w:p>
        </w:tc>
        <w:tc>
          <w:tcPr>
            <w:tcW w:w="476" w:type="pct"/>
            <w:vAlign w:val="center"/>
          </w:tcPr>
          <w:p w14:paraId="6593FC57">
            <w:pPr>
              <w:pStyle w:val="179"/>
              <w:rPr>
                <w:b/>
              </w:rPr>
            </w:pPr>
            <w:r>
              <w:rPr>
                <w:rFonts w:hint="eastAsia"/>
                <w:b/>
              </w:rPr>
              <w:t>Y</w:t>
            </w:r>
          </w:p>
        </w:tc>
        <w:tc>
          <w:tcPr>
            <w:tcW w:w="476" w:type="pct"/>
            <w:vAlign w:val="center"/>
          </w:tcPr>
          <w:p w14:paraId="167B0724">
            <w:pPr>
              <w:pStyle w:val="179"/>
              <w:rPr>
                <w:b/>
              </w:rPr>
            </w:pPr>
            <w:r>
              <w:rPr>
                <w:rFonts w:hint="eastAsia"/>
                <w:b/>
              </w:rPr>
              <w:t>Z</w:t>
            </w:r>
          </w:p>
        </w:tc>
        <w:tc>
          <w:tcPr>
            <w:tcW w:w="595" w:type="pct"/>
            <w:vAlign w:val="center"/>
          </w:tcPr>
          <w:p w14:paraId="76991DA7">
            <w:pPr>
              <w:pStyle w:val="179"/>
              <w:rPr>
                <w:b/>
              </w:rPr>
            </w:pPr>
            <w:r>
              <w:rPr>
                <w:rFonts w:hint="eastAsia"/>
                <w:b/>
              </w:rPr>
              <w:t>声功率级/（dB/A）</w:t>
            </w:r>
          </w:p>
        </w:tc>
        <w:tc>
          <w:tcPr>
            <w:tcW w:w="505" w:type="pct"/>
            <w:vMerge w:val="continue"/>
            <w:vAlign w:val="center"/>
          </w:tcPr>
          <w:p w14:paraId="077EB0F2">
            <w:pPr>
              <w:pStyle w:val="179"/>
              <w:rPr>
                <w:b/>
              </w:rPr>
            </w:pPr>
          </w:p>
        </w:tc>
        <w:tc>
          <w:tcPr>
            <w:tcW w:w="337" w:type="pct"/>
            <w:vMerge w:val="continue"/>
            <w:vAlign w:val="center"/>
          </w:tcPr>
          <w:p w14:paraId="3BBC0BDC">
            <w:pPr>
              <w:pStyle w:val="179"/>
              <w:rPr>
                <w:b/>
              </w:rPr>
            </w:pPr>
          </w:p>
        </w:tc>
      </w:tr>
      <w:tr w14:paraId="7C8454C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289" w:type="pct"/>
            <w:vAlign w:val="center"/>
          </w:tcPr>
          <w:p w14:paraId="6915BF57">
            <w:pPr>
              <w:pStyle w:val="179"/>
            </w:pPr>
            <w:r>
              <w:rPr>
                <w:rFonts w:hint="eastAsia"/>
              </w:rPr>
              <w:t>1</w:t>
            </w:r>
          </w:p>
        </w:tc>
        <w:tc>
          <w:tcPr>
            <w:tcW w:w="670" w:type="pct"/>
            <w:vAlign w:val="center"/>
          </w:tcPr>
          <w:p w14:paraId="76A80DCD">
            <w:pPr>
              <w:pStyle w:val="179"/>
            </w:pPr>
            <w:r>
              <w:rPr>
                <w:rFonts w:hint="eastAsia"/>
              </w:rPr>
              <w:t>挖掘机</w:t>
            </w:r>
          </w:p>
        </w:tc>
        <w:tc>
          <w:tcPr>
            <w:tcW w:w="1177" w:type="pct"/>
            <w:vAlign w:val="center"/>
          </w:tcPr>
          <w:p w14:paraId="7B29FB48">
            <w:pPr>
              <w:pStyle w:val="179"/>
            </w:pPr>
            <w:r>
              <w:t>CAT320C</w:t>
            </w:r>
          </w:p>
        </w:tc>
        <w:tc>
          <w:tcPr>
            <w:tcW w:w="475" w:type="pct"/>
            <w:vAlign w:val="center"/>
          </w:tcPr>
          <w:p w14:paraId="63801654">
            <w:pPr>
              <w:pStyle w:val="179"/>
            </w:pPr>
            <w:r>
              <w:t>218</w:t>
            </w:r>
          </w:p>
        </w:tc>
        <w:tc>
          <w:tcPr>
            <w:tcW w:w="476" w:type="pct"/>
            <w:vAlign w:val="center"/>
          </w:tcPr>
          <w:p w14:paraId="7FA9D5BD">
            <w:pPr>
              <w:pStyle w:val="179"/>
            </w:pPr>
            <w:r>
              <w:t>-78</w:t>
            </w:r>
          </w:p>
        </w:tc>
        <w:tc>
          <w:tcPr>
            <w:tcW w:w="476" w:type="pct"/>
            <w:vAlign w:val="center"/>
          </w:tcPr>
          <w:p w14:paraId="4692F07D">
            <w:pPr>
              <w:pStyle w:val="179"/>
            </w:pPr>
            <w:r>
              <w:rPr>
                <w:rFonts w:hint="eastAsia"/>
              </w:rPr>
              <w:t>480</w:t>
            </w:r>
          </w:p>
        </w:tc>
        <w:tc>
          <w:tcPr>
            <w:tcW w:w="595" w:type="pct"/>
            <w:vAlign w:val="center"/>
          </w:tcPr>
          <w:p w14:paraId="594F5A9C">
            <w:pPr>
              <w:pStyle w:val="179"/>
            </w:pPr>
            <w:r>
              <w:rPr>
                <w:rFonts w:hint="eastAsia"/>
              </w:rPr>
              <w:t>90</w:t>
            </w:r>
          </w:p>
        </w:tc>
        <w:tc>
          <w:tcPr>
            <w:tcW w:w="505" w:type="pct"/>
            <w:vMerge w:val="restart"/>
            <w:vAlign w:val="center"/>
          </w:tcPr>
          <w:p w14:paraId="5342F3A7">
            <w:pPr>
              <w:pStyle w:val="179"/>
            </w:pPr>
            <w:r>
              <w:t>加强车辆维护及保养</w:t>
            </w:r>
          </w:p>
        </w:tc>
        <w:tc>
          <w:tcPr>
            <w:tcW w:w="337" w:type="pct"/>
            <w:vMerge w:val="restart"/>
            <w:vAlign w:val="center"/>
          </w:tcPr>
          <w:p w14:paraId="3899FF5D">
            <w:pPr>
              <w:pStyle w:val="179"/>
            </w:pPr>
            <w:r>
              <w:rPr>
                <w:rFonts w:hint="eastAsia"/>
              </w:rPr>
              <w:t>昼间</w:t>
            </w:r>
          </w:p>
        </w:tc>
      </w:tr>
      <w:tr w14:paraId="3F712A2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289" w:type="pct"/>
            <w:vAlign w:val="center"/>
          </w:tcPr>
          <w:p w14:paraId="11DB0D71">
            <w:pPr>
              <w:pStyle w:val="179"/>
            </w:pPr>
            <w:r>
              <w:rPr>
                <w:rFonts w:hint="eastAsia"/>
              </w:rPr>
              <w:t>2</w:t>
            </w:r>
          </w:p>
        </w:tc>
        <w:tc>
          <w:tcPr>
            <w:tcW w:w="670" w:type="pct"/>
            <w:vAlign w:val="center"/>
          </w:tcPr>
          <w:p w14:paraId="77D2B00C">
            <w:pPr>
              <w:pStyle w:val="179"/>
            </w:pPr>
            <w:r>
              <w:rPr>
                <w:rFonts w:hint="eastAsia"/>
              </w:rPr>
              <w:t>装载机</w:t>
            </w:r>
          </w:p>
        </w:tc>
        <w:tc>
          <w:tcPr>
            <w:tcW w:w="1177" w:type="pct"/>
            <w:vAlign w:val="center"/>
          </w:tcPr>
          <w:p w14:paraId="777C1546">
            <w:pPr>
              <w:pStyle w:val="179"/>
            </w:pPr>
            <w:r>
              <w:t>ZL-50</w:t>
            </w:r>
          </w:p>
        </w:tc>
        <w:tc>
          <w:tcPr>
            <w:tcW w:w="475" w:type="pct"/>
            <w:vAlign w:val="center"/>
          </w:tcPr>
          <w:p w14:paraId="0A46598F">
            <w:pPr>
              <w:pStyle w:val="179"/>
            </w:pPr>
            <w:r>
              <w:t>233</w:t>
            </w:r>
          </w:p>
        </w:tc>
        <w:tc>
          <w:tcPr>
            <w:tcW w:w="476" w:type="pct"/>
            <w:vAlign w:val="center"/>
          </w:tcPr>
          <w:p w14:paraId="32F3EE94">
            <w:pPr>
              <w:pStyle w:val="179"/>
            </w:pPr>
            <w:r>
              <w:t>-116</w:t>
            </w:r>
          </w:p>
        </w:tc>
        <w:tc>
          <w:tcPr>
            <w:tcW w:w="476" w:type="pct"/>
            <w:vAlign w:val="center"/>
          </w:tcPr>
          <w:p w14:paraId="75622F3F">
            <w:pPr>
              <w:pStyle w:val="179"/>
            </w:pPr>
            <w:r>
              <w:rPr>
                <w:rFonts w:hint="eastAsia"/>
              </w:rPr>
              <w:t>480</w:t>
            </w:r>
          </w:p>
        </w:tc>
        <w:tc>
          <w:tcPr>
            <w:tcW w:w="595" w:type="pct"/>
            <w:vAlign w:val="center"/>
          </w:tcPr>
          <w:p w14:paraId="5B8B80B9">
            <w:pPr>
              <w:pStyle w:val="179"/>
            </w:pPr>
            <w:r>
              <w:rPr>
                <w:rFonts w:hint="eastAsia"/>
              </w:rPr>
              <w:t>95</w:t>
            </w:r>
          </w:p>
        </w:tc>
        <w:tc>
          <w:tcPr>
            <w:tcW w:w="505" w:type="pct"/>
            <w:vMerge w:val="continue"/>
            <w:vAlign w:val="center"/>
          </w:tcPr>
          <w:p w14:paraId="0108C4B6">
            <w:pPr>
              <w:pStyle w:val="179"/>
            </w:pPr>
          </w:p>
        </w:tc>
        <w:tc>
          <w:tcPr>
            <w:tcW w:w="337" w:type="pct"/>
            <w:vMerge w:val="continue"/>
            <w:vAlign w:val="center"/>
          </w:tcPr>
          <w:p w14:paraId="1E9579D7">
            <w:pPr>
              <w:pStyle w:val="179"/>
            </w:pPr>
          </w:p>
        </w:tc>
      </w:tr>
      <w:tr w14:paraId="5F040C7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289" w:type="pct"/>
            <w:vAlign w:val="center"/>
          </w:tcPr>
          <w:p w14:paraId="12A97502">
            <w:pPr>
              <w:pStyle w:val="179"/>
            </w:pPr>
            <w:r>
              <w:rPr>
                <w:rFonts w:hint="eastAsia"/>
              </w:rPr>
              <w:t>3</w:t>
            </w:r>
          </w:p>
        </w:tc>
        <w:tc>
          <w:tcPr>
            <w:tcW w:w="670" w:type="pct"/>
            <w:vAlign w:val="center"/>
          </w:tcPr>
          <w:p w14:paraId="2A7BAF02">
            <w:pPr>
              <w:pStyle w:val="179"/>
            </w:pPr>
            <w:r>
              <w:rPr>
                <w:rFonts w:hint="eastAsia"/>
              </w:rPr>
              <w:t>自卸汽车</w:t>
            </w:r>
          </w:p>
        </w:tc>
        <w:tc>
          <w:tcPr>
            <w:tcW w:w="1177" w:type="pct"/>
            <w:vAlign w:val="center"/>
          </w:tcPr>
          <w:p w14:paraId="772EAFA8">
            <w:pPr>
              <w:pStyle w:val="179"/>
            </w:pPr>
            <w:r>
              <w:t>中环BZKD32型32</w:t>
            </w:r>
          </w:p>
        </w:tc>
        <w:tc>
          <w:tcPr>
            <w:tcW w:w="475" w:type="pct"/>
            <w:vAlign w:val="center"/>
          </w:tcPr>
          <w:p w14:paraId="2D937047">
            <w:pPr>
              <w:pStyle w:val="179"/>
            </w:pPr>
            <w:r>
              <w:t>253</w:t>
            </w:r>
          </w:p>
        </w:tc>
        <w:tc>
          <w:tcPr>
            <w:tcW w:w="476" w:type="pct"/>
            <w:vAlign w:val="center"/>
          </w:tcPr>
          <w:p w14:paraId="37071B8B">
            <w:pPr>
              <w:pStyle w:val="179"/>
            </w:pPr>
            <w:r>
              <w:t>-90</w:t>
            </w:r>
          </w:p>
        </w:tc>
        <w:tc>
          <w:tcPr>
            <w:tcW w:w="476" w:type="pct"/>
            <w:vAlign w:val="center"/>
          </w:tcPr>
          <w:p w14:paraId="7D05BE13">
            <w:pPr>
              <w:pStyle w:val="179"/>
            </w:pPr>
            <w:r>
              <w:rPr>
                <w:rFonts w:hint="eastAsia"/>
              </w:rPr>
              <w:t>500</w:t>
            </w:r>
          </w:p>
        </w:tc>
        <w:tc>
          <w:tcPr>
            <w:tcW w:w="595" w:type="pct"/>
            <w:vAlign w:val="center"/>
          </w:tcPr>
          <w:p w14:paraId="646B89E7">
            <w:pPr>
              <w:pStyle w:val="179"/>
            </w:pPr>
            <w:r>
              <w:rPr>
                <w:rFonts w:hint="eastAsia"/>
              </w:rPr>
              <w:t>70</w:t>
            </w:r>
          </w:p>
        </w:tc>
        <w:tc>
          <w:tcPr>
            <w:tcW w:w="505" w:type="pct"/>
            <w:vMerge w:val="continue"/>
            <w:vAlign w:val="center"/>
          </w:tcPr>
          <w:p w14:paraId="7F9103ED">
            <w:pPr>
              <w:pStyle w:val="179"/>
            </w:pPr>
          </w:p>
        </w:tc>
        <w:tc>
          <w:tcPr>
            <w:tcW w:w="337" w:type="pct"/>
            <w:vMerge w:val="continue"/>
            <w:vAlign w:val="center"/>
          </w:tcPr>
          <w:p w14:paraId="1C2FEB4D">
            <w:pPr>
              <w:pStyle w:val="179"/>
            </w:pPr>
          </w:p>
        </w:tc>
      </w:tr>
    </w:tbl>
    <w:p w14:paraId="0D3E0473">
      <w:pPr>
        <w:pStyle w:val="5"/>
        <w:spacing w:before="120" w:after="120"/>
      </w:pPr>
      <w:r>
        <w:rPr>
          <w:rFonts w:hint="eastAsia"/>
        </w:rPr>
        <w:t>运行期生态环境影响因素分析</w:t>
      </w:r>
    </w:p>
    <w:p w14:paraId="4ACABD4D">
      <w:pPr>
        <w:ind w:firstLine="480"/>
      </w:pPr>
      <w:r>
        <w:rPr>
          <w:rFonts w:hint="eastAsia"/>
        </w:rPr>
        <w:t>（1）</w:t>
      </w:r>
      <w:r>
        <w:t>土地利用</w:t>
      </w:r>
      <w:r>
        <w:rPr>
          <w:rFonts w:hint="eastAsia"/>
        </w:rPr>
        <w:t>类型影响</w:t>
      </w:r>
    </w:p>
    <w:p w14:paraId="42196840">
      <w:pPr>
        <w:ind w:firstLine="480"/>
      </w:pPr>
      <w:r>
        <w:t>矿山服务期满后，通过对</w:t>
      </w:r>
      <w:r>
        <w:rPr>
          <w:rFonts w:hint="eastAsia"/>
        </w:rPr>
        <w:t>开采区</w:t>
      </w:r>
      <w:r>
        <w:t>进行生态恢复，通过人为的措施恢复由于</w:t>
      </w:r>
      <w:r>
        <w:rPr>
          <w:rFonts w:hint="eastAsia"/>
        </w:rPr>
        <w:t>开采区</w:t>
      </w:r>
      <w:r>
        <w:t>所占用的土地、破坏的植被，重建新的植物群落。闭矿后按照水土保持的要求进行绿化，</w:t>
      </w:r>
      <w:r>
        <w:rPr>
          <w:rFonts w:hint="eastAsia"/>
        </w:rPr>
        <w:t>开采区</w:t>
      </w:r>
      <w:r>
        <w:t>服务完后进行土地整理和生态恢复。恢复后的生态系统整体上没有发生大的变化，</w:t>
      </w:r>
      <w:r>
        <w:rPr>
          <w:rFonts w:hint="eastAsia"/>
        </w:rPr>
        <w:t>经过一段时间后，项目区的生态环境将逐渐趋近于项目建设前的原生状态</w:t>
      </w:r>
      <w:r>
        <w:t>。</w:t>
      </w:r>
    </w:p>
    <w:p w14:paraId="5017CB17">
      <w:pPr>
        <w:ind w:firstLine="480"/>
      </w:pPr>
      <w:r>
        <w:rPr>
          <w:rFonts w:hint="eastAsia"/>
        </w:rPr>
        <w:t>（2）</w:t>
      </w:r>
      <w:r>
        <w:t>对植被影响</w:t>
      </w:r>
    </w:p>
    <w:p w14:paraId="5BB9E159">
      <w:pPr>
        <w:ind w:firstLine="480"/>
      </w:pPr>
      <w:r>
        <w:rPr>
          <w:rFonts w:hint="eastAsia"/>
        </w:rPr>
        <w:t>运营期时评价区内的植被群落不会产生大的影响。在落实好生态保护措施的前提下，本项目对植被的影响可被环境所接受。</w:t>
      </w:r>
    </w:p>
    <w:p w14:paraId="34417972">
      <w:pPr>
        <w:ind w:firstLine="480"/>
      </w:pPr>
      <w:r>
        <w:rPr>
          <w:rFonts w:hint="eastAsia"/>
        </w:rPr>
        <w:t>（3）</w:t>
      </w:r>
      <w:r>
        <w:t>对</w:t>
      </w:r>
      <w:r>
        <w:rPr>
          <w:rFonts w:hint="eastAsia"/>
        </w:rPr>
        <w:t>动物</w:t>
      </w:r>
      <w:r>
        <w:t>影响</w:t>
      </w:r>
    </w:p>
    <w:p w14:paraId="79BC7179">
      <w:pPr>
        <w:ind w:firstLine="480"/>
      </w:pPr>
      <w:r>
        <w:t>随着矿区生态绿化工程建设，动物可逐渐适应周边环境的变化，采矿作业对动物的影响也逐渐减弱，对区域内野生动物的种类和数量基本无影响。</w:t>
      </w:r>
    </w:p>
    <w:p w14:paraId="398AAE53">
      <w:pPr>
        <w:ind w:firstLine="480"/>
      </w:pPr>
      <w:r>
        <w:rPr>
          <w:rFonts w:hint="eastAsia"/>
        </w:rPr>
        <w:t>（4）</w:t>
      </w:r>
      <w:r>
        <w:t>对</w:t>
      </w:r>
      <w:r>
        <w:rPr>
          <w:rFonts w:hint="eastAsia"/>
        </w:rPr>
        <w:t>生态系统</w:t>
      </w:r>
      <w:r>
        <w:t>影响</w:t>
      </w:r>
    </w:p>
    <w:p w14:paraId="40096813">
      <w:pPr>
        <w:ind w:firstLine="480"/>
      </w:pPr>
      <w:r>
        <w:t>工程建设不会对该区域植被分布情况和森林植物群落结构造成大的改变，森林生态系统类型完整性、结构稳定性和功能多样性基本能够维持在原有水平。</w:t>
      </w:r>
    </w:p>
    <w:p w14:paraId="0B0FD9CC">
      <w:pPr>
        <w:ind w:firstLine="480"/>
      </w:pPr>
      <w:r>
        <w:rPr>
          <w:rFonts w:hint="eastAsia"/>
        </w:rPr>
        <w:t>（5）</w:t>
      </w:r>
      <w:r>
        <w:t>对</w:t>
      </w:r>
      <w:r>
        <w:rPr>
          <w:rFonts w:hint="eastAsia"/>
        </w:rPr>
        <w:t>生物多样性</w:t>
      </w:r>
      <w:r>
        <w:t>影响</w:t>
      </w:r>
    </w:p>
    <w:p w14:paraId="2881BCE9">
      <w:pPr>
        <w:ind w:firstLine="480"/>
      </w:pPr>
      <w:r>
        <w:t>项目</w:t>
      </w:r>
      <w:r>
        <w:rPr>
          <w:rFonts w:hint="eastAsia"/>
        </w:rPr>
        <w:t>采矿作业</w:t>
      </w:r>
      <w:r>
        <w:t>施工</w:t>
      </w:r>
      <w:r>
        <w:rPr>
          <w:rFonts w:hint="eastAsia"/>
        </w:rPr>
        <w:t>时，</w:t>
      </w:r>
      <w:r>
        <w:t>加强员工宣传教育及管理禁止乱砍乱伐、捕杀野生动物，采取上述措施后，对生物多样性保护功能影响较小。</w:t>
      </w:r>
    </w:p>
    <w:p w14:paraId="1E1F31F7">
      <w:pPr>
        <w:pStyle w:val="5"/>
        <w:spacing w:before="120" w:after="120"/>
      </w:pPr>
      <w:r>
        <w:t>环境风险</w:t>
      </w:r>
    </w:p>
    <w:p w14:paraId="2C26C7E5">
      <w:pPr>
        <w:ind w:firstLine="480"/>
      </w:pPr>
      <w:r>
        <w:t>本项目为土砂石开采项目，根据生产工艺特点，本项目涉及的危险物质为</w:t>
      </w:r>
      <w:r>
        <w:rPr>
          <w:rFonts w:hint="eastAsia"/>
        </w:rPr>
        <w:t>挖掘机、装载机等机械设备所消耗的柴油</w:t>
      </w:r>
      <w:r>
        <w:t>。本项目不设置油库、</w:t>
      </w:r>
      <w:r>
        <w:rPr>
          <w:rFonts w:hint="eastAsia"/>
        </w:rPr>
        <w:t>油罐</w:t>
      </w:r>
      <w:r>
        <w:t>等储存设施，</w:t>
      </w:r>
      <w:r>
        <w:rPr>
          <w:rFonts w:hint="eastAsia"/>
        </w:rPr>
        <w:t>加油站距离项目区较近，按需到附近加油站直接购买</w:t>
      </w:r>
      <w:r>
        <w:t>。</w:t>
      </w:r>
      <w:r>
        <w:rPr>
          <w:rFonts w:hint="eastAsia"/>
        </w:rPr>
        <w:t>本项目不涉及根据《建设项目环境风险评价技术导则》（HJ169-2018）中危险物质</w:t>
      </w:r>
      <w:r>
        <w:t>。</w:t>
      </w:r>
    </w:p>
    <w:p w14:paraId="27D7A4F9">
      <w:pPr>
        <w:ind w:firstLine="480"/>
      </w:pPr>
      <w:r>
        <w:rPr>
          <w:rFonts w:hint="eastAsia"/>
        </w:rPr>
        <w:t>本项目的风险源为岩体坍塌风险，矿区露天开采体积达到一定的数量时，又没有及时处理时，可能发生开采区的垮塌、边坡不稳等事故</w:t>
      </w:r>
      <w:r>
        <w:t>。</w:t>
      </w:r>
    </w:p>
    <w:p w14:paraId="1071CE08">
      <w:pPr>
        <w:ind w:firstLine="480"/>
      </w:pPr>
      <w:r>
        <w:rPr>
          <w:rFonts w:hint="eastAsia"/>
        </w:rPr>
        <w:t>根据经验和参照类似条件的生产矿山所发生的事故统计分析资料，对露天开采单元预先危险性分析如表3.5-10。</w:t>
      </w:r>
    </w:p>
    <w:p w14:paraId="67E573E2">
      <w:pPr>
        <w:pStyle w:val="178"/>
      </w:pPr>
      <w:r>
        <w:rPr>
          <w:rFonts w:hint="eastAsia"/>
        </w:rPr>
        <w:t>表3.5-10  露天采矿预先危险性分析表</w:t>
      </w:r>
    </w:p>
    <w:tbl>
      <w:tblPr>
        <w:tblStyle w:val="36"/>
        <w:tblW w:w="8579" w:type="dxa"/>
        <w:jc w:val="center"/>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Layout w:type="fixed"/>
        <w:tblCellMar>
          <w:top w:w="0" w:type="dxa"/>
          <w:left w:w="57" w:type="dxa"/>
          <w:bottom w:w="0" w:type="dxa"/>
          <w:right w:w="57" w:type="dxa"/>
        </w:tblCellMar>
      </w:tblPr>
      <w:tblGrid>
        <w:gridCol w:w="589"/>
        <w:gridCol w:w="846"/>
        <w:gridCol w:w="840"/>
        <w:gridCol w:w="1012"/>
        <w:gridCol w:w="3325"/>
        <w:gridCol w:w="1967"/>
      </w:tblGrid>
      <w:tr w14:paraId="70A3ED56">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jc w:val="center"/>
        </w:trPr>
        <w:tc>
          <w:tcPr>
            <w:tcW w:w="589" w:type="dxa"/>
            <w:vAlign w:val="center"/>
          </w:tcPr>
          <w:p w14:paraId="50821C4A">
            <w:pPr>
              <w:pStyle w:val="179"/>
              <w:rPr>
                <w:b/>
              </w:rPr>
            </w:pPr>
            <w:r>
              <w:rPr>
                <w:b/>
              </w:rPr>
              <w:t>序号</w:t>
            </w:r>
          </w:p>
        </w:tc>
        <w:tc>
          <w:tcPr>
            <w:tcW w:w="846" w:type="dxa"/>
            <w:vAlign w:val="center"/>
          </w:tcPr>
          <w:p w14:paraId="5DE29072">
            <w:pPr>
              <w:pStyle w:val="179"/>
              <w:rPr>
                <w:b/>
              </w:rPr>
            </w:pPr>
            <w:r>
              <w:rPr>
                <w:b/>
              </w:rPr>
              <w:t>风险源</w:t>
            </w:r>
          </w:p>
        </w:tc>
        <w:tc>
          <w:tcPr>
            <w:tcW w:w="840" w:type="dxa"/>
            <w:vAlign w:val="center"/>
          </w:tcPr>
          <w:p w14:paraId="11E12C4D">
            <w:pPr>
              <w:pStyle w:val="179"/>
              <w:rPr>
                <w:b/>
              </w:rPr>
            </w:pPr>
            <w:r>
              <w:rPr>
                <w:b/>
              </w:rPr>
              <w:t>危险有害因素</w:t>
            </w:r>
          </w:p>
        </w:tc>
        <w:tc>
          <w:tcPr>
            <w:tcW w:w="1012" w:type="dxa"/>
            <w:vAlign w:val="center"/>
          </w:tcPr>
          <w:p w14:paraId="78A4FBD8">
            <w:pPr>
              <w:pStyle w:val="179"/>
              <w:rPr>
                <w:b/>
              </w:rPr>
            </w:pPr>
            <w:r>
              <w:rPr>
                <w:b/>
              </w:rPr>
              <w:t>位置</w:t>
            </w:r>
          </w:p>
        </w:tc>
        <w:tc>
          <w:tcPr>
            <w:tcW w:w="3325" w:type="dxa"/>
            <w:vAlign w:val="center"/>
          </w:tcPr>
          <w:p w14:paraId="098609A1">
            <w:pPr>
              <w:pStyle w:val="179"/>
              <w:rPr>
                <w:b/>
              </w:rPr>
            </w:pPr>
            <w:r>
              <w:rPr>
                <w:b/>
              </w:rPr>
              <w:t>事故触发因子</w:t>
            </w:r>
          </w:p>
        </w:tc>
        <w:tc>
          <w:tcPr>
            <w:tcW w:w="1967" w:type="dxa"/>
            <w:vAlign w:val="center"/>
          </w:tcPr>
          <w:p w14:paraId="07C36966">
            <w:pPr>
              <w:pStyle w:val="179"/>
              <w:rPr>
                <w:b/>
              </w:rPr>
            </w:pPr>
            <w:r>
              <w:rPr>
                <w:b/>
              </w:rPr>
              <w:t>危害后果</w:t>
            </w:r>
          </w:p>
        </w:tc>
      </w:tr>
      <w:tr w14:paraId="0904F378">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jc w:val="center"/>
        </w:trPr>
        <w:tc>
          <w:tcPr>
            <w:tcW w:w="589" w:type="dxa"/>
            <w:vMerge w:val="restart"/>
            <w:vAlign w:val="center"/>
          </w:tcPr>
          <w:p w14:paraId="1C0C4AE5">
            <w:pPr>
              <w:pStyle w:val="179"/>
            </w:pPr>
            <w:r>
              <w:t>1</w:t>
            </w:r>
          </w:p>
        </w:tc>
        <w:tc>
          <w:tcPr>
            <w:tcW w:w="846" w:type="dxa"/>
            <w:vMerge w:val="restart"/>
            <w:vAlign w:val="center"/>
          </w:tcPr>
          <w:p w14:paraId="45550E73">
            <w:pPr>
              <w:pStyle w:val="179"/>
            </w:pPr>
            <w:r>
              <w:t>采区</w:t>
            </w:r>
          </w:p>
        </w:tc>
        <w:tc>
          <w:tcPr>
            <w:tcW w:w="840" w:type="dxa"/>
            <w:vAlign w:val="center"/>
          </w:tcPr>
          <w:p w14:paraId="6A8023C9">
            <w:pPr>
              <w:pStyle w:val="179"/>
            </w:pPr>
            <w:r>
              <w:t>岩体片帮事故</w:t>
            </w:r>
          </w:p>
        </w:tc>
        <w:tc>
          <w:tcPr>
            <w:tcW w:w="1012" w:type="dxa"/>
            <w:vAlign w:val="center"/>
          </w:tcPr>
          <w:p w14:paraId="06E4F60A">
            <w:pPr>
              <w:pStyle w:val="179"/>
            </w:pPr>
            <w:r>
              <w:t>采场</w:t>
            </w:r>
          </w:p>
        </w:tc>
        <w:tc>
          <w:tcPr>
            <w:tcW w:w="3325" w:type="dxa"/>
            <w:vAlign w:val="center"/>
          </w:tcPr>
          <w:p w14:paraId="649837C4">
            <w:pPr>
              <w:pStyle w:val="179"/>
              <w:jc w:val="both"/>
            </w:pPr>
            <w:r>
              <w:t>1.采矿方法不合理导致矿区暴露面积大；</w:t>
            </w:r>
          </w:p>
          <w:p w14:paraId="0A9EB4D9">
            <w:pPr>
              <w:pStyle w:val="179"/>
              <w:jc w:val="both"/>
            </w:pPr>
            <w:r>
              <w:t>2.矿设计不合理或未按设计开采；</w:t>
            </w:r>
          </w:p>
        </w:tc>
        <w:tc>
          <w:tcPr>
            <w:tcW w:w="1967" w:type="dxa"/>
            <w:vAlign w:val="center"/>
          </w:tcPr>
          <w:p w14:paraId="09A2444B">
            <w:pPr>
              <w:pStyle w:val="179"/>
            </w:pPr>
            <w:r>
              <w:t>人员伤亡、财产受损、影响生产</w:t>
            </w:r>
          </w:p>
        </w:tc>
      </w:tr>
      <w:tr w14:paraId="3DFE1AE3">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jc w:val="center"/>
        </w:trPr>
        <w:tc>
          <w:tcPr>
            <w:tcW w:w="589" w:type="dxa"/>
            <w:vMerge w:val="continue"/>
            <w:vAlign w:val="center"/>
          </w:tcPr>
          <w:p w14:paraId="66F0FC46">
            <w:pPr>
              <w:pStyle w:val="179"/>
            </w:pPr>
          </w:p>
        </w:tc>
        <w:tc>
          <w:tcPr>
            <w:tcW w:w="846" w:type="dxa"/>
            <w:vMerge w:val="continue"/>
            <w:vAlign w:val="center"/>
          </w:tcPr>
          <w:p w14:paraId="5AF5C9E7">
            <w:pPr>
              <w:pStyle w:val="179"/>
            </w:pPr>
          </w:p>
        </w:tc>
        <w:tc>
          <w:tcPr>
            <w:tcW w:w="840" w:type="dxa"/>
            <w:vAlign w:val="center"/>
          </w:tcPr>
          <w:p w14:paraId="33D081B4">
            <w:pPr>
              <w:pStyle w:val="179"/>
            </w:pPr>
            <w:r>
              <w:t>边坡不稳</w:t>
            </w:r>
          </w:p>
        </w:tc>
        <w:tc>
          <w:tcPr>
            <w:tcW w:w="1012" w:type="dxa"/>
            <w:vAlign w:val="center"/>
          </w:tcPr>
          <w:p w14:paraId="213749C4">
            <w:pPr>
              <w:pStyle w:val="179"/>
            </w:pPr>
            <w:r>
              <w:t>采场</w:t>
            </w:r>
          </w:p>
        </w:tc>
        <w:tc>
          <w:tcPr>
            <w:tcW w:w="3325" w:type="dxa"/>
            <w:vAlign w:val="center"/>
          </w:tcPr>
          <w:p w14:paraId="681CC66C">
            <w:pPr>
              <w:pStyle w:val="179"/>
              <w:jc w:val="both"/>
            </w:pPr>
            <w:r>
              <w:rPr>
                <w:rFonts w:hint="eastAsia"/>
              </w:rPr>
              <w:t>1.</w:t>
            </w:r>
            <w:r>
              <w:t>边坡岩石不稳固；</w:t>
            </w:r>
          </w:p>
          <w:p w14:paraId="3A18D030">
            <w:pPr>
              <w:pStyle w:val="179"/>
              <w:jc w:val="both"/>
            </w:pPr>
            <w:r>
              <w:t>2</w:t>
            </w:r>
            <w:r>
              <w:rPr>
                <w:rFonts w:hint="eastAsia"/>
              </w:rPr>
              <w:t>.</w:t>
            </w:r>
            <w:r>
              <w:t>采矿工艺不合理；</w:t>
            </w:r>
          </w:p>
        </w:tc>
        <w:tc>
          <w:tcPr>
            <w:tcW w:w="1967" w:type="dxa"/>
            <w:vAlign w:val="center"/>
          </w:tcPr>
          <w:p w14:paraId="6DA975BF">
            <w:pPr>
              <w:pStyle w:val="179"/>
            </w:pPr>
            <w:r>
              <w:t>人员伤亡，设备设施受损、影响生产</w:t>
            </w:r>
          </w:p>
        </w:tc>
      </w:tr>
    </w:tbl>
    <w:p w14:paraId="7C72746E">
      <w:pPr>
        <w:ind w:firstLine="480"/>
      </w:pPr>
      <w:r>
        <w:t>根据项目的实际情况，通过对项目的危险因素进行识别和分析，可以确定本项目的最大可信事故为：</w:t>
      </w:r>
    </w:p>
    <w:p w14:paraId="5B1E706D">
      <w:pPr>
        <w:ind w:firstLine="480"/>
      </w:pPr>
      <w:r>
        <w:t>岩体坍塌风险</w:t>
      </w:r>
      <w:r>
        <w:rPr>
          <w:rFonts w:hint="eastAsia"/>
        </w:rPr>
        <w:t>：</w:t>
      </w:r>
    </w:p>
    <w:p w14:paraId="134B74C9">
      <w:pPr>
        <w:ind w:firstLine="480"/>
      </w:pPr>
      <w:r>
        <w:t>矿区露天开采体积达到一定的数量时，又没有及时处理时，可能发生开采区的垮塌、片帮落石坍塌、边坡不稳等事故。</w:t>
      </w:r>
    </w:p>
    <w:p w14:paraId="2D9EFBCC">
      <w:pPr>
        <w:pStyle w:val="5"/>
        <w:spacing w:before="120" w:after="120"/>
      </w:pPr>
      <w:r>
        <w:t>服务期满后污染及生态影响分析</w:t>
      </w:r>
    </w:p>
    <w:p w14:paraId="56CC9B21">
      <w:pPr>
        <w:ind w:firstLine="480"/>
      </w:pPr>
      <w:r>
        <w:t>服务期满后对开采区及附属道路等地表进行处理、植被恢复，剩余的原辅材料全部运走，杜绝碎石在地表残存，经过处理，不会再对水土流失产生风险影响。服务期产生的粉尘、噪声、废水污染随之消除。因此服务期满后对环境的污染影响将消失。</w:t>
      </w:r>
    </w:p>
    <w:p w14:paraId="070FCBB6">
      <w:pPr>
        <w:pStyle w:val="3"/>
        <w:spacing w:before="180" w:after="120"/>
      </w:pPr>
      <w:bookmarkStart w:id="128" w:name="_Toc61012588"/>
      <w:bookmarkStart w:id="129" w:name="_Toc61013064"/>
      <w:bookmarkStart w:id="130" w:name="_Toc12649328"/>
      <w:bookmarkStart w:id="131" w:name="_Toc234927695"/>
      <w:bookmarkStart w:id="132" w:name="_Toc61013474"/>
      <w:bookmarkStart w:id="133" w:name="_Toc61013884"/>
      <w:bookmarkStart w:id="134" w:name="_Toc61013269"/>
      <w:bookmarkStart w:id="135" w:name="_Toc61013679"/>
      <w:r>
        <w:t>清洁生产</w:t>
      </w:r>
      <w:bookmarkEnd w:id="128"/>
      <w:bookmarkEnd w:id="129"/>
      <w:bookmarkEnd w:id="130"/>
      <w:bookmarkEnd w:id="131"/>
      <w:bookmarkEnd w:id="132"/>
      <w:bookmarkEnd w:id="133"/>
      <w:bookmarkEnd w:id="134"/>
      <w:bookmarkEnd w:id="135"/>
    </w:p>
    <w:p w14:paraId="65DAF416">
      <w:pPr>
        <w:ind w:firstLine="480"/>
      </w:pPr>
      <w:r>
        <w:t>清洁生产是将可持续发展的思想应用于环境保护的一种整体预防的战略，目的是生产和消费过程产生的废物资源化、减量化、无害化，提高污染防治效果，降低污染防治费用，消除、减少工业生产对人类健康和环境的影响，从而使企业获得最大的环境效益和经济效益。因此，清洁生产要求企业采用先进的生产工艺，提高生产管理水平及环境管理水平，把环境保护的着眼点从末端治理转移到生产工艺的全过程上来，采取工艺过程控制与末端治理相结合的污染防治措施。</w:t>
      </w:r>
    </w:p>
    <w:p w14:paraId="6E53E669">
      <w:pPr>
        <w:pStyle w:val="4"/>
        <w:spacing w:before="180" w:after="120"/>
      </w:pPr>
      <w:r>
        <w:t>生产工艺与设备合理性分析</w:t>
      </w:r>
    </w:p>
    <w:p w14:paraId="6E54CBAC">
      <w:pPr>
        <w:ind w:firstLine="480"/>
      </w:pPr>
      <w:r>
        <w:t>本项目露天开采技术是国内的成熟工艺，该技术安全、可靠，本项目生产工艺的特点是：本项目选用机械挖掘机进行挖掘机采装，自卸车运输。操作单元少，工艺简单，项目工艺装备的技术水平</w:t>
      </w:r>
      <w:r>
        <w:rPr>
          <w:rFonts w:hint="eastAsia"/>
        </w:rPr>
        <w:t>达到</w:t>
      </w:r>
      <w:r>
        <w:t xml:space="preserve">国内先进水平。 </w:t>
      </w:r>
    </w:p>
    <w:p w14:paraId="33E36F4F">
      <w:pPr>
        <w:ind w:firstLine="480"/>
      </w:pPr>
      <w:r>
        <w:t>生产设备特点：挖掘机、自卸车等设备技术先进、机械性能好，使用可靠，轻便灵活，移动方便。</w:t>
      </w:r>
    </w:p>
    <w:p w14:paraId="2D2C2E2A">
      <w:pPr>
        <w:pStyle w:val="4"/>
        <w:spacing w:before="180" w:after="120"/>
      </w:pPr>
      <w:r>
        <w:t>资源能源利用指标分析</w:t>
      </w:r>
    </w:p>
    <w:p w14:paraId="2CAC6786">
      <w:pPr>
        <w:ind w:firstLine="480"/>
      </w:pPr>
      <w:r>
        <w:t>本项目年利用雨水</w:t>
      </w:r>
      <w:r>
        <w:rPr>
          <w:rFonts w:hint="eastAsia"/>
        </w:rPr>
        <w:t>2607.4</w:t>
      </w:r>
      <w:r>
        <w:t>m</w:t>
      </w:r>
      <w:r>
        <w:rPr>
          <w:vertAlign w:val="superscript"/>
        </w:rPr>
        <w:t>3</w:t>
      </w:r>
      <w:r>
        <w:t>，节约了项目单位产品新鲜耗水量。</w:t>
      </w:r>
    </w:p>
    <w:p w14:paraId="2184C62D">
      <w:pPr>
        <w:pStyle w:val="4"/>
        <w:spacing w:before="180" w:after="120"/>
      </w:pPr>
      <w:r>
        <w:t>污染物产生指标</w:t>
      </w:r>
    </w:p>
    <w:p w14:paraId="1112C3C0">
      <w:pPr>
        <w:ind w:firstLine="482"/>
        <w:rPr>
          <w:b/>
        </w:rPr>
      </w:pPr>
      <w:r>
        <w:rPr>
          <w:b/>
        </w:rPr>
        <w:t>1、环境空气</w:t>
      </w:r>
    </w:p>
    <w:p w14:paraId="02C30DA1">
      <w:pPr>
        <w:ind w:firstLine="480"/>
      </w:pPr>
      <w:r>
        <w:t>矿山采用露天开采，</w:t>
      </w:r>
      <w:r>
        <w:rPr>
          <w:rFonts w:hint="eastAsia"/>
        </w:rPr>
        <w:t>在剥采过程、</w:t>
      </w:r>
      <w:r>
        <w:t>集堆铲装</w:t>
      </w:r>
      <w:r>
        <w:rPr>
          <w:rFonts w:hint="eastAsia"/>
        </w:rPr>
        <w:t>及</w:t>
      </w:r>
      <w:r>
        <w:t>运输等过程中都会产生粉尘，因此对矿区附近环境有一定的影响。但只要采取一定的措施就会减少粉尘对环境的影响。装运过程进行洒水抑尘；运输车辆加盖篷布，装卸过程采用湿式作业；集堆铲装过程产生的粉尘采取洒水降尘，以上措施，可有效抑制粉尘的产生。</w:t>
      </w:r>
    </w:p>
    <w:p w14:paraId="2D8120D0">
      <w:pPr>
        <w:ind w:firstLine="482"/>
        <w:rPr>
          <w:b/>
        </w:rPr>
      </w:pPr>
      <w:r>
        <w:rPr>
          <w:b/>
        </w:rPr>
        <w:t>2、水污染物</w:t>
      </w:r>
    </w:p>
    <w:p w14:paraId="03E1028C">
      <w:pPr>
        <w:ind w:firstLine="480"/>
      </w:pPr>
      <w:r>
        <w:t>本项目为露天开采，无矿坑涌水。</w:t>
      </w:r>
      <w:r>
        <w:rPr>
          <w:rFonts w:hint="eastAsia"/>
          <w:kern w:val="0"/>
          <w:szCs w:val="21"/>
        </w:rPr>
        <w:t>开采区</w:t>
      </w:r>
      <w:r>
        <w:t>汇集雨水量为</w:t>
      </w:r>
      <w:r>
        <w:rPr>
          <w:rFonts w:hint="eastAsia"/>
          <w:snapToGrid w:val="0"/>
          <w:kern w:val="0"/>
        </w:rPr>
        <w:t>521.47</w:t>
      </w:r>
      <w:r>
        <w:t>m</w:t>
      </w:r>
      <w:r>
        <w:rPr>
          <w:vertAlign w:val="superscript"/>
        </w:rPr>
        <w:t>3</w:t>
      </w:r>
      <w:r>
        <w:t>，</w:t>
      </w:r>
      <w:r>
        <w:rPr>
          <w:rFonts w:hint="eastAsia"/>
          <w:kern w:val="0"/>
          <w:szCs w:val="21"/>
        </w:rPr>
        <w:t>开采区</w:t>
      </w:r>
      <w:r>
        <w:t>雨水通过排水沟汇入</w:t>
      </w:r>
      <w:r>
        <w:rPr>
          <w:rFonts w:hint="eastAsia"/>
        </w:rPr>
        <w:t>630</w:t>
      </w:r>
      <w:r>
        <w:t>m</w:t>
      </w:r>
      <w:r>
        <w:rPr>
          <w:vertAlign w:val="superscript"/>
        </w:rPr>
        <w:t>3</w:t>
      </w:r>
      <w:r>
        <w:t>贮水池，收集后用于生产过程降尘，最大节水量为</w:t>
      </w:r>
      <w:r>
        <w:rPr>
          <w:rFonts w:hint="eastAsia"/>
        </w:rPr>
        <w:t>2607.4</w:t>
      </w:r>
      <w:r>
        <w:t>m</w:t>
      </w:r>
      <w:r>
        <w:rPr>
          <w:vertAlign w:val="superscript"/>
        </w:rPr>
        <w:t>3</w:t>
      </w:r>
      <w:r>
        <w:t>；生活污水排入防渗旱厕，定期清掏，外运堆肥，不外排。</w:t>
      </w:r>
      <w:r>
        <w:rPr>
          <w:szCs w:val="20"/>
        </w:rPr>
        <w:t>废水实现资源化。</w:t>
      </w:r>
    </w:p>
    <w:p w14:paraId="5802E696">
      <w:pPr>
        <w:ind w:firstLine="482"/>
        <w:rPr>
          <w:b/>
        </w:rPr>
      </w:pPr>
      <w:r>
        <w:rPr>
          <w:b/>
        </w:rPr>
        <w:t>3、噪声</w:t>
      </w:r>
    </w:p>
    <w:p w14:paraId="74CB6201">
      <w:pPr>
        <w:ind w:firstLine="480"/>
      </w:pPr>
      <w:r>
        <w:t>本项目生产噪声源主要为挖掘机、装载机、</w:t>
      </w:r>
      <w:r>
        <w:rPr>
          <w:rFonts w:hint="eastAsia"/>
        </w:rPr>
        <w:t>自卸</w:t>
      </w:r>
      <w:r>
        <w:t>汽车等，噪声强度约70~</w:t>
      </w:r>
      <w:r>
        <w:rPr>
          <w:rFonts w:hint="eastAsia"/>
        </w:rPr>
        <w:t>95</w:t>
      </w:r>
      <w:r>
        <w:t>dB(A)。</w:t>
      </w:r>
      <w:r>
        <w:rPr>
          <w:rFonts w:hint="eastAsia"/>
        </w:rPr>
        <w:t>加强车辆维护与保养，</w:t>
      </w:r>
      <w:r>
        <w:t>可降低噪声的源强。</w:t>
      </w:r>
    </w:p>
    <w:p w14:paraId="6078F8DE">
      <w:pPr>
        <w:ind w:firstLine="482"/>
        <w:rPr>
          <w:b/>
        </w:rPr>
      </w:pPr>
      <w:r>
        <w:rPr>
          <w:b/>
        </w:rPr>
        <w:t>4、固体废物</w:t>
      </w:r>
    </w:p>
    <w:p w14:paraId="6AFDEFB8">
      <w:pPr>
        <w:ind w:firstLine="480"/>
      </w:pPr>
      <w:r>
        <w:t>生活垃圾由市政部门统一处理；</w:t>
      </w:r>
      <w:r>
        <w:rPr>
          <w:rFonts w:hint="eastAsia"/>
        </w:rPr>
        <w:t>贮水池沉渣用于矿区平整土地；</w:t>
      </w:r>
      <w:r>
        <w:rPr>
          <w:szCs w:val="20"/>
        </w:rPr>
        <w:t>固废实现资源化。</w:t>
      </w:r>
    </w:p>
    <w:p w14:paraId="70594B73">
      <w:pPr>
        <w:pStyle w:val="4"/>
        <w:spacing w:before="180" w:after="120"/>
      </w:pPr>
      <w:r>
        <w:t>产品指标</w:t>
      </w:r>
    </w:p>
    <w:p w14:paraId="2BF4F675">
      <w:pPr>
        <w:ind w:firstLine="480"/>
      </w:pPr>
      <w:r>
        <w:t>本项目产品符合中华人民共和国地质矿产行业标准《</w:t>
      </w:r>
      <w:r>
        <w:rPr>
          <w:rFonts w:hint="eastAsia"/>
        </w:rPr>
        <w:t>建设用卵石、碎石</w:t>
      </w:r>
      <w:r>
        <w:t>》（</w:t>
      </w:r>
      <w:r>
        <w:rPr>
          <w:rFonts w:hint="eastAsia"/>
        </w:rPr>
        <w:t>GB/T 14685-2022</w:t>
      </w:r>
      <w:r>
        <w:t>）中的标准要求。</w:t>
      </w:r>
    </w:p>
    <w:p w14:paraId="743D43A9">
      <w:pPr>
        <w:pStyle w:val="4"/>
        <w:spacing w:before="180" w:after="120"/>
      </w:pPr>
      <w:r>
        <w:t>环境管理要求</w:t>
      </w:r>
    </w:p>
    <w:p w14:paraId="494DA0E1">
      <w:pPr>
        <w:ind w:firstLine="480"/>
      </w:pPr>
      <w:r>
        <w:t>本项目设立了环境保护管理机构，将清洁生产工作纳入生产，进行统一管理和考核，生产车间由技术人员监管清洁生产工作。通过加大清洁生产管理的力度，从组织上、制度上完善和健全清洁生产管理体系，制定出可操作性强的清洁生产管理体系和清洁生产奖惩制度，确保各项清洁生产措施得以认真贯彻执行。</w:t>
      </w:r>
    </w:p>
    <w:p w14:paraId="04116507">
      <w:pPr>
        <w:pStyle w:val="4"/>
        <w:spacing w:beforeLines="0" w:after="120" w:line="360" w:lineRule="auto"/>
        <w:jc w:val="both"/>
        <w:rPr>
          <w:rFonts w:hAnsi="Times New Roman"/>
          <w:sz w:val="28"/>
          <w:szCs w:val="28"/>
        </w:rPr>
      </w:pPr>
      <w:r>
        <w:rPr>
          <w:rFonts w:hAnsi="Times New Roman"/>
          <w:sz w:val="28"/>
          <w:szCs w:val="28"/>
        </w:rPr>
        <w:t>清洁生产结论</w:t>
      </w:r>
    </w:p>
    <w:p w14:paraId="5CE4DEFD">
      <w:pPr>
        <w:ind w:firstLine="480"/>
      </w:pPr>
      <w:r>
        <w:t>该项目的建设及生产采用先进技术，利用先进生产技术有效地提高了资源、能源的利用率，达到增效、节能、降耗、减污的清洁生产目标，本项目从生产工艺与装备要求、资源能源利用、污染物产生、产品和环境管理要求等方面指标对本</w:t>
      </w:r>
      <w:r>
        <w:rPr>
          <w:rFonts w:hint="eastAsia"/>
        </w:rPr>
        <w:t>项目</w:t>
      </w:r>
      <w:r>
        <w:t>清洁生产水平进行比较，本项目各清洁生产指标均能满足清洁生产要求。</w:t>
      </w:r>
    </w:p>
    <w:p w14:paraId="29B210BF">
      <w:pPr>
        <w:pStyle w:val="4"/>
        <w:spacing w:beforeLines="0" w:after="120" w:line="360" w:lineRule="auto"/>
        <w:jc w:val="both"/>
        <w:rPr>
          <w:rFonts w:hAnsi="Times New Roman"/>
          <w:sz w:val="28"/>
          <w:szCs w:val="28"/>
        </w:rPr>
      </w:pPr>
      <w:r>
        <w:rPr>
          <w:rFonts w:hAnsi="Times New Roman"/>
          <w:sz w:val="28"/>
          <w:szCs w:val="28"/>
        </w:rPr>
        <w:t>清洁生产建议</w:t>
      </w:r>
    </w:p>
    <w:p w14:paraId="6911D191">
      <w:pPr>
        <w:ind w:firstLine="480"/>
      </w:pPr>
      <w:r>
        <w:t>在企业运营过程中，应采用国际先进和国内领先相结合的技术装备，充分提高资源利用率，减少废气及固体废物的排放量。</w:t>
      </w:r>
    </w:p>
    <w:p w14:paraId="7A5AB1B1">
      <w:pPr>
        <w:ind w:firstLine="480"/>
      </w:pPr>
      <w:r>
        <w:t>强化企业管理，提高生产管理水平及环境管理水平，在实践中不断改进工艺技术、最大限度地提高资源、能源的利用水平和优化产品方案，采取工艺过程控制与</w:t>
      </w:r>
      <w:r>
        <w:rPr>
          <w:rFonts w:hint="eastAsia"/>
        </w:rPr>
        <w:t>末端治理</w:t>
      </w:r>
      <w:r>
        <w:t>相结合的污染防治措施。</w:t>
      </w:r>
    </w:p>
    <w:p w14:paraId="3D3B3B5E">
      <w:pPr>
        <w:pStyle w:val="14"/>
        <w:widowControl/>
        <w:spacing w:after="0" w:line="480" w:lineRule="exact"/>
        <w:rPr>
          <w:rFonts w:cs="Times New Roman"/>
        </w:rPr>
      </w:pPr>
    </w:p>
    <w:p w14:paraId="2E822678">
      <w:pPr>
        <w:ind w:firstLine="480"/>
        <w:rPr>
          <w:rFonts w:hAnsi="Times New Roman" w:cs="Times New Roman"/>
        </w:rPr>
        <w:sectPr>
          <w:headerReference r:id="rId17" w:type="default"/>
          <w:footerReference r:id="rId18" w:type="default"/>
          <w:pgSz w:w="11907" w:h="16840"/>
          <w:pgMar w:top="1440" w:right="1797" w:bottom="1440" w:left="1797" w:header="850" w:footer="1134" w:gutter="0"/>
          <w:cols w:space="720" w:num="1"/>
          <w:docGrid w:linePitch="326" w:charSpace="0"/>
        </w:sectPr>
      </w:pPr>
    </w:p>
    <w:p w14:paraId="40C4BD23">
      <w:pPr>
        <w:pStyle w:val="2"/>
        <w:spacing w:before="120" w:after="180"/>
        <w:rPr>
          <w:rFonts w:cs="Times New Roman"/>
        </w:rPr>
      </w:pPr>
      <w:bookmarkStart w:id="136" w:name="_Toc234927696"/>
      <w:bookmarkStart w:id="137" w:name="_Toc12649338"/>
      <w:bookmarkStart w:id="138" w:name="_Toc376103584"/>
      <w:bookmarkStart w:id="139" w:name="_Toc61013074"/>
      <w:bookmarkStart w:id="140" w:name="_Toc61012598"/>
      <w:bookmarkStart w:id="141" w:name="_Toc61013894"/>
      <w:bookmarkStart w:id="142" w:name="_Toc61013689"/>
      <w:bookmarkStart w:id="143" w:name="_Toc61012950"/>
      <w:bookmarkStart w:id="144" w:name="_Toc12923"/>
      <w:bookmarkStart w:id="145" w:name="_Toc61013484"/>
      <w:bookmarkStart w:id="146" w:name="_Toc61013279"/>
      <w:r>
        <w:rPr>
          <w:rFonts w:cs="Times New Roman"/>
        </w:rPr>
        <w:t>环境现状调查与评价</w:t>
      </w:r>
      <w:bookmarkEnd w:id="136"/>
    </w:p>
    <w:p w14:paraId="3B322EF8">
      <w:pPr>
        <w:pStyle w:val="3"/>
        <w:spacing w:before="180" w:after="120"/>
        <w:rPr>
          <w:rFonts w:cs="Times New Roman"/>
        </w:rPr>
      </w:pPr>
      <w:bookmarkStart w:id="147" w:name="_Toc234927697"/>
      <w:r>
        <w:rPr>
          <w:rFonts w:cs="Times New Roman"/>
        </w:rPr>
        <w:t>自然环境</w:t>
      </w:r>
      <w:bookmarkEnd w:id="147"/>
    </w:p>
    <w:p w14:paraId="762D163A">
      <w:pPr>
        <w:pStyle w:val="4"/>
        <w:spacing w:before="180" w:after="120"/>
        <w:rPr>
          <w:rFonts w:hAnsi="Times New Roman" w:cs="Times New Roman"/>
        </w:rPr>
      </w:pPr>
      <w:r>
        <w:rPr>
          <w:rFonts w:hAnsi="Times New Roman" w:cs="Times New Roman"/>
        </w:rPr>
        <w:t>地理位置</w:t>
      </w:r>
    </w:p>
    <w:p w14:paraId="224CC5FD">
      <w:pPr>
        <w:ind w:firstLine="480"/>
        <w:rPr>
          <w:rFonts w:hAnsi="Times New Roman" w:cs="Times New Roman"/>
        </w:rPr>
      </w:pPr>
      <w:r>
        <w:rPr>
          <w:rFonts w:hAnsi="Times New Roman" w:cs="Times New Roman"/>
        </w:rPr>
        <w:t>嫩江市位于黑龙江省西北部，北依伊勒呼里山，与黑龙江省大兴安岭地区呼玛县交界；东接小兴安岭，与黑龙江省黑河市爱辉区、孙吴县、五大连池市毗邻；西邻嫩江，与内蒙古自治区呼伦贝尔市莫力达瓦达斡尔族自治旗、鄂伦春自治旗隔江相望；南连松嫩平原，与黑龙江省齐齐哈尔市辖的讷河市接壤。总面积15211.43平方公里（第二次全国土地调查数据）。</w:t>
      </w:r>
    </w:p>
    <w:p w14:paraId="796F6E0D">
      <w:pPr>
        <w:ind w:firstLine="480"/>
        <w:rPr>
          <w:rFonts w:hAnsi="Times New Roman" w:cs="Times New Roman"/>
          <w:b/>
        </w:rPr>
      </w:pPr>
      <w:r>
        <w:rPr>
          <w:rFonts w:hAnsi="Times New Roman" w:cs="Times New Roman"/>
        </w:rPr>
        <w:t>矿区位于黑龙江省嫩江市塔溪乡马厂河北东50m处，塔溪乡地处小兴安岭北麓，史称“四站”，位于嫩江市东部，西距嫩江市城区87公里，东距黑河口岸123公里，全乡行政区划面积1760.3平方公里，人口8830人，常住人口1787人。辖10个行政村，20个自然屯，境内有五个部队农场、一个国营农场和一个国营林场。是一个以种植业和畜牧业为主的乡镇。种植业以麦豆为主，芸豆、玉米、南瓜为辅；畜牧业以黄牛、挽马、山绵羊养殖为主。2020年，全乡社会总产值3.7亿元，种植业产值2.8亿元，畜牧业产值0.7亿元，非国有经济产值0.2亿元，粮、豆、薯总产量11万吨，农民人均纯收入达到16220元。</w:t>
      </w:r>
    </w:p>
    <w:p w14:paraId="3CD58AD6">
      <w:pPr>
        <w:pStyle w:val="178"/>
        <w:rPr>
          <w:rFonts w:ascii="Times New Roman" w:hAnsi="Times New Roman"/>
        </w:rPr>
      </w:pPr>
      <w:r>
        <w:rPr>
          <w:sz w:val="28"/>
          <w:szCs w:val="28"/>
        </w:rPr>
        <w:drawing>
          <wp:anchor distT="0" distB="0" distL="114300" distR="114300" simplePos="0" relativeHeight="251672576" behindDoc="0" locked="0" layoutInCell="1" allowOverlap="1">
            <wp:simplePos x="0" y="0"/>
            <wp:positionH relativeFrom="column">
              <wp:posOffset>4502785</wp:posOffset>
            </wp:positionH>
            <wp:positionV relativeFrom="paragraph">
              <wp:posOffset>17780</wp:posOffset>
            </wp:positionV>
            <wp:extent cx="753745" cy="692785"/>
            <wp:effectExtent l="19050" t="19050" r="27478" b="11892"/>
            <wp:wrapNone/>
            <wp:docPr id="8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34"/>
                    <pic:cNvPicPr>
                      <a:picLocks noChangeAspect="1" noChangeArrowheads="1"/>
                    </pic:cNvPicPr>
                  </pic:nvPicPr>
                  <pic:blipFill>
                    <a:blip r:embed="rId57"/>
                    <a:srcRect/>
                    <a:stretch>
                      <a:fillRect/>
                    </a:stretch>
                  </pic:blipFill>
                  <pic:spPr>
                    <a:xfrm>
                      <a:off x="0" y="0"/>
                      <a:ext cx="753572" cy="692958"/>
                    </a:xfrm>
                    <a:prstGeom prst="rect">
                      <a:avLst/>
                    </a:prstGeom>
                    <a:noFill/>
                    <a:ln w="9525">
                      <a:solidFill>
                        <a:schemeClr val="tx1"/>
                      </a:solidFill>
                      <a:miter lim="800000"/>
                      <a:headEnd/>
                      <a:tailEnd/>
                    </a:ln>
                  </pic:spPr>
                </pic:pic>
              </a:graphicData>
            </a:graphic>
          </wp:anchor>
        </w:drawing>
      </w:r>
      <w:r>
        <w:rPr>
          <w:sz w:val="28"/>
          <w:szCs w:val="28"/>
        </w:rPr>
        <w:pict>
          <v:rect id="_x0000_s1212" o:spid="_x0000_s1212" o:spt="1" style="position:absolute;left:0pt;margin-left:355.25pt;margin-top:231.7pt;height:9.15pt;width:14pt;z-index:251669504;mso-width-relative:page;mso-height-relative:page;" fillcolor="#FF0000" filled="t" coordsize="21600,21600">
            <v:path/>
            <v:fill on="t" focussize="0,0"/>
            <v:stroke/>
            <v:imagedata o:title=""/>
            <o:lock v:ext="edit"/>
          </v:rect>
        </w:pict>
      </w:r>
      <w:r>
        <w:rPr>
          <w:sz w:val="28"/>
          <w:szCs w:val="28"/>
        </w:rPr>
        <w:pict>
          <v:rect id="_x0000_s1211" o:spid="_x0000_s1211" o:spt="1" style="position:absolute;left:0pt;margin-left:342.15pt;margin-top:203.25pt;height:51.5pt;width:71.55pt;z-index:251668480;mso-width-relative:page;mso-height-relative:page;" coordsize="21600,21600">
            <v:path/>
            <v:fill focussize="0,0"/>
            <v:stroke/>
            <v:imagedata o:title=""/>
            <o:lock v:ext="edit"/>
            <v:textbox>
              <w:txbxContent>
                <w:p w14:paraId="64AD2D4F">
                  <w:pPr>
                    <w:spacing w:line="240" w:lineRule="auto"/>
                    <w:ind w:firstLine="0" w:firstLineChars="0"/>
                    <w:jc w:val="center"/>
                    <w:rPr>
                      <w:rFonts w:ascii="宋体" w:hAnsi="宋体" w:eastAsia="宋体"/>
                    </w:rPr>
                  </w:pPr>
                  <w:r>
                    <w:rPr>
                      <w:rFonts w:ascii="宋体" w:hAnsi="宋体" w:eastAsia="宋体"/>
                    </w:rPr>
                    <w:t>图例</w:t>
                  </w:r>
                </w:p>
                <w:p w14:paraId="52B3C8B2">
                  <w:pPr>
                    <w:spacing w:line="120" w:lineRule="exact"/>
                    <w:ind w:firstLine="0" w:firstLineChars="0"/>
                    <w:jc w:val="right"/>
                    <w:rPr>
                      <w:rFonts w:ascii="宋体" w:hAnsi="宋体" w:eastAsia="宋体"/>
                      <w:sz w:val="21"/>
                    </w:rPr>
                  </w:pPr>
                </w:p>
                <w:p w14:paraId="227351D1">
                  <w:pPr>
                    <w:spacing w:line="240" w:lineRule="auto"/>
                    <w:ind w:firstLine="0" w:firstLineChars="0"/>
                    <w:jc w:val="right"/>
                    <w:rPr>
                      <w:rFonts w:ascii="宋体" w:hAnsi="宋体" w:eastAsia="宋体"/>
                      <w:sz w:val="21"/>
                    </w:rPr>
                  </w:pPr>
                  <w:r>
                    <w:rPr>
                      <w:rFonts w:hint="eastAsia" w:ascii="宋体" w:hAnsi="宋体" w:eastAsia="宋体"/>
                      <w:sz w:val="21"/>
                    </w:rPr>
                    <w:t>本项目</w:t>
                  </w:r>
                </w:p>
              </w:txbxContent>
            </v:textbox>
          </v:rect>
        </w:pict>
      </w:r>
      <w:r>
        <w:rPr>
          <w:sz w:val="28"/>
          <w:szCs w:val="28"/>
        </w:rPr>
        <w:drawing>
          <wp:inline distT="0" distB="0" distL="0" distR="0">
            <wp:extent cx="5241290" cy="3221355"/>
            <wp:effectExtent l="19050" t="19050" r="16280" b="17145"/>
            <wp:docPr id="2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2"/>
                    <pic:cNvPicPr>
                      <a:picLocks noChangeAspect="1" noChangeArrowheads="1"/>
                    </pic:cNvPicPr>
                  </pic:nvPicPr>
                  <pic:blipFill>
                    <a:blip r:embed="rId58" cstate="print"/>
                    <a:srcRect t="5305"/>
                    <a:stretch>
                      <a:fillRect/>
                    </a:stretch>
                  </pic:blipFill>
                  <pic:spPr>
                    <a:xfrm>
                      <a:off x="0" y="0"/>
                      <a:ext cx="5241520" cy="3221355"/>
                    </a:xfrm>
                    <a:prstGeom prst="rect">
                      <a:avLst/>
                    </a:prstGeom>
                    <a:noFill/>
                    <a:ln w="9525">
                      <a:solidFill>
                        <a:schemeClr val="tx1"/>
                      </a:solidFill>
                      <a:miter lim="800000"/>
                      <a:headEnd/>
                      <a:tailEnd/>
                    </a:ln>
                  </pic:spPr>
                </pic:pic>
              </a:graphicData>
            </a:graphic>
          </wp:inline>
        </w:drawing>
      </w:r>
    </w:p>
    <w:p w14:paraId="7D205A93">
      <w:pPr>
        <w:pStyle w:val="178"/>
        <w:rPr>
          <w:rFonts w:ascii="Times New Roman" w:hAnsi="Times New Roman"/>
        </w:rPr>
      </w:pPr>
      <w:r>
        <w:rPr>
          <w:rFonts w:ascii="Times New Roman" w:hAnsi="Times New Roman"/>
        </w:rPr>
        <w:t>图</w:t>
      </w:r>
      <w:r>
        <w:rPr>
          <w:rFonts w:hint="eastAsia" w:ascii="Times New Roman" w:hAnsi="Times New Roman"/>
        </w:rPr>
        <w:t>4.1-1</w:t>
      </w:r>
      <w:r>
        <w:rPr>
          <w:rFonts w:ascii="Times New Roman" w:hAnsi="Times New Roman"/>
        </w:rPr>
        <w:t xml:space="preserve">  项目地理位置图</w:t>
      </w:r>
    </w:p>
    <w:p w14:paraId="19CAC91F">
      <w:pPr>
        <w:pStyle w:val="4"/>
        <w:spacing w:before="180" w:after="120"/>
        <w:rPr>
          <w:rFonts w:hAnsi="Times New Roman" w:cs="Times New Roman"/>
        </w:rPr>
      </w:pPr>
      <w:r>
        <w:rPr>
          <w:rFonts w:hAnsi="Times New Roman" w:cs="Times New Roman"/>
        </w:rPr>
        <w:t>地形地貌</w:t>
      </w:r>
    </w:p>
    <w:p w14:paraId="5F42DD3C">
      <w:pPr>
        <w:ind w:firstLine="480"/>
        <w:rPr>
          <w:rFonts w:hAnsi="Times New Roman" w:cs="Times New Roman"/>
        </w:rPr>
      </w:pPr>
      <w:r>
        <w:rPr>
          <w:rFonts w:hAnsi="Times New Roman" w:cs="Times New Roman"/>
        </w:rPr>
        <w:t>黑河市位于小兴安岭隆起带的西北端，东南部又系结雅一布列亚凹陷（黑河盆地）边缘，小兴安岭由北向南绵亘于全境的中西部，使黑河市地势形成中部高，两侧低，西部与北部高，东南部低。</w:t>
      </w:r>
    </w:p>
    <w:p w14:paraId="7BEC25C0">
      <w:pPr>
        <w:ind w:firstLine="480"/>
        <w:rPr>
          <w:rFonts w:hAnsi="Times New Roman" w:cs="Times New Roman"/>
        </w:rPr>
      </w:pPr>
      <w:bookmarkStart w:id="148" w:name="_Hlk129723109"/>
      <w:r>
        <w:rPr>
          <w:rFonts w:hAnsi="Times New Roman" w:cs="Times New Roman"/>
        </w:rPr>
        <w:t>矿山地处大兴安岭与小兴安岭接壤部位的南麓，马厂河北岸，区内地貌类型简单，地貌成因为构造地貌和流水地貌，形态成因为褶断剥蚀丘陵和冲洪积河谷平原，次生林密布，以桦、杨、柞树等为主，腐植土层覆盖厚度一般在1～3m，局部大于3m。</w:t>
      </w:r>
    </w:p>
    <w:p w14:paraId="1E730832">
      <w:pPr>
        <w:ind w:firstLine="480"/>
        <w:rPr>
          <w:rFonts w:hAnsi="Times New Roman" w:cs="Times New Roman"/>
        </w:rPr>
      </w:pPr>
      <w:r>
        <w:rPr>
          <w:rFonts w:hAnsi="Times New Roman" w:cs="Times New Roman"/>
        </w:rPr>
        <w:t>地形总体东北高西南低，最高海拔标高+523.50m，位于核实区东北部（坐标X：5479462.50，Y：42522127.43），最低海拔标高+417.60m，位于核实区西南部（坐标X：5479559.49，Y：42521805.70）。</w:t>
      </w:r>
    </w:p>
    <w:bookmarkEnd w:id="148"/>
    <w:p w14:paraId="33D17247">
      <w:pPr>
        <w:pStyle w:val="178"/>
        <w:rPr>
          <w:rFonts w:ascii="Times New Roman" w:hAnsi="Times New Roman"/>
        </w:rPr>
      </w:pPr>
      <w:r>
        <w:rPr>
          <w:rFonts w:ascii="Times New Roman" w:hAnsi="Times New Roman"/>
        </w:rPr>
        <w:drawing>
          <wp:inline distT="0" distB="0" distL="0" distR="0">
            <wp:extent cx="5278755" cy="4900930"/>
            <wp:effectExtent l="19050" t="0" r="0" b="0"/>
            <wp:docPr id="59" name="图片 59" descr="G:\安然的工作\挣大钱\北测项目\1-塔溪乡马厂河采石场\1-准备材料\@马厂河资源量核实报告\地形地质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G:\安然的工作\挣大钱\北测项目\1-塔溪乡马厂河采石场\1-准备材料\@马厂河资源量核实报告\地形地质图.JPG"/>
                    <pic:cNvPicPr>
                      <a:picLocks noChangeAspect="1" noChangeArrowheads="1"/>
                    </pic:cNvPicPr>
                  </pic:nvPicPr>
                  <pic:blipFill>
                    <a:blip r:embed="rId59" cstate="print"/>
                    <a:srcRect/>
                    <a:stretch>
                      <a:fillRect/>
                    </a:stretch>
                  </pic:blipFill>
                  <pic:spPr>
                    <a:xfrm>
                      <a:off x="0" y="0"/>
                      <a:ext cx="5278755" cy="4901000"/>
                    </a:xfrm>
                    <a:prstGeom prst="rect">
                      <a:avLst/>
                    </a:prstGeom>
                    <a:noFill/>
                    <a:ln w="9525">
                      <a:noFill/>
                      <a:miter lim="800000"/>
                      <a:headEnd/>
                      <a:tailEnd/>
                    </a:ln>
                  </pic:spPr>
                </pic:pic>
              </a:graphicData>
            </a:graphic>
          </wp:inline>
        </w:drawing>
      </w:r>
    </w:p>
    <w:p w14:paraId="28E220D1">
      <w:pPr>
        <w:pStyle w:val="178"/>
        <w:rPr>
          <w:rFonts w:ascii="Times New Roman" w:hAnsi="Times New Roman"/>
        </w:rPr>
      </w:pPr>
      <w:r>
        <w:rPr>
          <w:rFonts w:ascii="Times New Roman" w:hAnsi="Times New Roman"/>
        </w:rPr>
        <w:t>图4.1-</w:t>
      </w:r>
      <w:r>
        <w:rPr>
          <w:rFonts w:hint="eastAsia" w:ascii="Times New Roman" w:hAnsi="Times New Roman"/>
        </w:rPr>
        <w:t>2</w:t>
      </w:r>
      <w:r>
        <w:rPr>
          <w:rFonts w:ascii="Times New Roman" w:hAnsi="Times New Roman"/>
        </w:rPr>
        <w:t xml:space="preserve">  矿区地貌图</w:t>
      </w:r>
    </w:p>
    <w:p w14:paraId="39C8917E">
      <w:pPr>
        <w:pStyle w:val="4"/>
        <w:spacing w:before="180" w:after="120"/>
        <w:rPr>
          <w:rFonts w:hAnsi="Times New Roman" w:cs="Times New Roman"/>
        </w:rPr>
      </w:pPr>
      <w:r>
        <w:rPr>
          <w:rFonts w:hint="eastAsia" w:hAnsi="Times New Roman" w:cs="Times New Roman"/>
          <w:bCs/>
        </w:rPr>
        <w:t>水文特征</w:t>
      </w:r>
    </w:p>
    <w:p w14:paraId="6C3D2109">
      <w:pPr>
        <w:ind w:firstLine="482"/>
        <w:rPr>
          <w:b/>
        </w:rPr>
      </w:pPr>
      <w:r>
        <w:rPr>
          <w:rFonts w:hint="eastAsia"/>
          <w:b/>
        </w:rPr>
        <w:t>1、地表水</w:t>
      </w:r>
    </w:p>
    <w:p w14:paraId="796F6E73">
      <w:pPr>
        <w:ind w:firstLine="480"/>
      </w:pPr>
      <w:r>
        <w:rPr>
          <w:rFonts w:hint="eastAsia"/>
        </w:rPr>
        <w:t>嫩江市内河流均属嫩江水系，嫩江为松花江北源，市内嫩江干流长度为</w:t>
      </w:r>
      <w:r>
        <w:t>404km</w:t>
      </w:r>
      <w:r>
        <w:rPr>
          <w:rFonts w:hint="eastAsia"/>
        </w:rPr>
        <w:t>，市内主要支流有科洛河、门鲁河、卧都河、固固河等。水资源蕴藏总量为</w:t>
      </w:r>
      <w:r>
        <w:t xml:space="preserve">20.87 </w:t>
      </w:r>
      <w:r>
        <w:rPr>
          <w:rFonts w:hint="eastAsia"/>
        </w:rPr>
        <w:t>亿立方米，其中地表水为</w:t>
      </w:r>
      <w:r>
        <w:t xml:space="preserve">18.25 </w:t>
      </w:r>
      <w:r>
        <w:rPr>
          <w:rFonts w:hint="eastAsia"/>
        </w:rPr>
        <w:t>亿立方米，地下水为</w:t>
      </w:r>
      <w:r>
        <w:t xml:space="preserve">2.89 </w:t>
      </w:r>
      <w:r>
        <w:rPr>
          <w:rFonts w:hint="eastAsia"/>
        </w:rPr>
        <w:t>亿立方米。水资源分布呈西多东少，南多北少的特点，嫩江干流由北境流入，接纳全部河溪后由南境流出，嫩江干流区的出境水量为</w:t>
      </w:r>
      <w:r>
        <w:t xml:space="preserve">42.71 </w:t>
      </w:r>
      <w:r>
        <w:rPr>
          <w:rFonts w:hint="eastAsia"/>
        </w:rPr>
        <w:t>亿立方米，市管中型水库</w:t>
      </w:r>
      <w:r>
        <w:t xml:space="preserve">1 </w:t>
      </w:r>
      <w:r>
        <w:rPr>
          <w:rFonts w:hint="eastAsia"/>
        </w:rPr>
        <w:t>座，小型水库</w:t>
      </w:r>
      <w:r>
        <w:t xml:space="preserve">2 </w:t>
      </w:r>
      <w:r>
        <w:rPr>
          <w:rFonts w:hint="eastAsia"/>
        </w:rPr>
        <w:t>座。</w:t>
      </w:r>
    </w:p>
    <w:p w14:paraId="07089840">
      <w:pPr>
        <w:ind w:firstLine="482"/>
        <w:rPr>
          <w:b/>
        </w:rPr>
      </w:pPr>
      <w:r>
        <w:rPr>
          <w:rFonts w:hint="eastAsia"/>
          <w:b/>
        </w:rPr>
        <w:t>2、地下水</w:t>
      </w:r>
    </w:p>
    <w:p w14:paraId="64D3A4C3">
      <w:pPr>
        <w:ind w:firstLine="480"/>
      </w:pPr>
      <w:r>
        <w:rPr>
          <w:rFonts w:hint="eastAsia"/>
        </w:rPr>
        <w:t>嫩江市特定的自然地理与地质环境决定了其具有山前高平原和河谷平原区域水文地质特征。嫩江河谷宽</w:t>
      </w:r>
      <w:r>
        <w:t>2</w:t>
      </w:r>
      <w:r>
        <w:rPr>
          <w:rFonts w:hint="eastAsia"/>
        </w:rPr>
        <w:t>～</w:t>
      </w:r>
      <w:r>
        <w:t>6km</w:t>
      </w:r>
      <w:r>
        <w:rPr>
          <w:rFonts w:hint="eastAsia"/>
        </w:rPr>
        <w:t>，一级阶地宽</w:t>
      </w:r>
      <w:r>
        <w:t>2</w:t>
      </w:r>
      <w:r>
        <w:rPr>
          <w:rFonts w:hint="eastAsia"/>
        </w:rPr>
        <w:t>～</w:t>
      </w:r>
      <w:r>
        <w:t>4km</w:t>
      </w:r>
      <w:r>
        <w:rPr>
          <w:rFonts w:hint="eastAsia"/>
        </w:rPr>
        <w:t>。含水层岩性为全新统、上更新统砂、砂砾石。河谷横向含水层厚度变化较大，由河谷中部向两侧逐渐变薄，地下水赋存条件也逐渐变差。河谷纵向含水层厚度变化不大。高平原区上覆较厚层的粉质粘土，含水层岩性为中更新统砂、砂砾石组成。</w:t>
      </w:r>
    </w:p>
    <w:p w14:paraId="5CE1D1E3">
      <w:pPr>
        <w:ind w:firstLine="480"/>
      </w:pPr>
      <w:r>
        <w:rPr>
          <w:rFonts w:hint="eastAsia"/>
        </w:rPr>
        <w:t>第四系下沉积了较厚的白垩系嫩江组碎屑岩地层，其岩性多以灰色泥岩夹薄层砂岩为主，砂岩裂隙为碎屑岩裂隙孔隙水提供运移通道和储存条件。</w:t>
      </w:r>
    </w:p>
    <w:p w14:paraId="0486A4F8">
      <w:pPr>
        <w:ind w:firstLine="480"/>
      </w:pPr>
      <w:r>
        <w:rPr>
          <w:rFonts w:hint="eastAsia"/>
        </w:rPr>
        <w:t>区内局部地区受嫩江断裂后期活动影响，构造裂隙发育，为构造裂隙水的赋存运移提供条件，构造裂隙水以侧向径流补给、侧向径流排泄为主。</w:t>
      </w:r>
    </w:p>
    <w:p w14:paraId="5A5849DE">
      <w:pPr>
        <w:ind w:firstLine="480"/>
      </w:pPr>
      <w:r>
        <w:rPr>
          <w:rFonts w:hint="eastAsia"/>
        </w:rPr>
        <w:t>依据地下水赋存条件、水力特征、含水层岩性及富水性，区内地下水划分为三大类型，即：第四系松散岩类孔隙水、白垩系碎屑岩类裂隙孔隙水及构造裂隙水。第四系松散岩类孔隙水在全区均有分布，在不同地貌单元内含水介质的岩性组合特征及厚度不同，含水层厚度为</w:t>
      </w:r>
      <w:r>
        <w:t>4.2m</w:t>
      </w:r>
      <w:r>
        <w:rPr>
          <w:rFonts w:hint="eastAsia"/>
        </w:rPr>
        <w:t>～</w:t>
      </w:r>
      <w:r>
        <w:t>22.5m</w:t>
      </w:r>
      <w:r>
        <w:rPr>
          <w:rFonts w:hint="eastAsia"/>
        </w:rPr>
        <w:t>，水位埋深</w:t>
      </w:r>
      <w:r>
        <w:t>1.10</w:t>
      </w:r>
      <w:r>
        <w:rPr>
          <w:rFonts w:hint="eastAsia"/>
        </w:rPr>
        <w:t>～</w:t>
      </w:r>
      <w:r>
        <w:t>12.54m</w:t>
      </w:r>
      <w:r>
        <w:rPr>
          <w:rFonts w:hint="eastAsia"/>
        </w:rPr>
        <w:t>，含水层顶板埋深</w:t>
      </w:r>
      <w:r>
        <w:t>0.70</w:t>
      </w:r>
      <w:r>
        <w:rPr>
          <w:rFonts w:hint="eastAsia"/>
        </w:rPr>
        <w:t>～</w:t>
      </w:r>
      <w:r>
        <w:t>15.50m</w:t>
      </w:r>
      <w:r>
        <w:rPr>
          <w:rFonts w:hint="eastAsia"/>
        </w:rPr>
        <w:t>。岩性主要为细砂、粗砂含砾石、砂砾石等。根据抽水试验数据，区内第四系松散岩类孔隙水富水性可分为两个区——水量较丰富区（单井涌水量</w:t>
      </w:r>
      <w:r>
        <w:t>1000</w:t>
      </w:r>
      <w:r>
        <w:rPr>
          <w:rFonts w:hint="eastAsia"/>
        </w:rPr>
        <w:t>～</w:t>
      </w:r>
      <w:r>
        <w:t>3000m</w:t>
      </w:r>
      <w:r>
        <w:rPr>
          <w:vertAlign w:val="superscript"/>
        </w:rPr>
        <w:t>3</w:t>
      </w:r>
      <w:r>
        <w:t>/d</w:t>
      </w:r>
      <w:r>
        <w:rPr>
          <w:rFonts w:hint="eastAsia"/>
        </w:rPr>
        <w:t>）及水量中等区（单井涌水量</w:t>
      </w:r>
      <w:r>
        <w:t>100</w:t>
      </w:r>
      <w:r>
        <w:rPr>
          <w:rFonts w:hint="eastAsia"/>
        </w:rPr>
        <w:t>～</w:t>
      </w:r>
      <w:r>
        <w:t>1000m</w:t>
      </w:r>
      <w:r>
        <w:rPr>
          <w:vertAlign w:val="superscript"/>
        </w:rPr>
        <w:t>3</w:t>
      </w:r>
      <w:r>
        <w:t>/d</w:t>
      </w:r>
      <w:r>
        <w:rPr>
          <w:rFonts w:hint="eastAsia"/>
        </w:rPr>
        <w:t>），前者主要沿嫩江河谷分布，后者分布于高平原区。白垩系碎屑岩类裂隙孔隙水广泛分布于第四系松散岩类孔隙水之下，岩性为白垩系嫩江组砂岩、粉细砂岩，根据勘探孔抽水试验数据，水位埋深</w:t>
      </w:r>
      <w:r>
        <w:t>9.78m</w:t>
      </w:r>
      <w:r>
        <w:rPr>
          <w:rFonts w:hint="eastAsia"/>
        </w:rPr>
        <w:t>，单井涌水量为</w:t>
      </w:r>
      <w:r>
        <w:t>126.24m3/d</w:t>
      </w:r>
      <w:r>
        <w:rPr>
          <w:rFonts w:hint="eastAsia"/>
        </w:rPr>
        <w:t>。构造裂隙水赋存于构造裂隙中，岩性为深灰色、灰黑色花岗岩，根据勘探孔抽水试验数据，水位埋深</w:t>
      </w:r>
      <w:r>
        <w:t>27.45m</w:t>
      </w:r>
      <w:r>
        <w:rPr>
          <w:rFonts w:hint="eastAsia"/>
        </w:rPr>
        <w:t>，单井涌水量为</w:t>
      </w:r>
      <w:r>
        <w:t>163.68m</w:t>
      </w:r>
      <w:r>
        <w:rPr>
          <w:vertAlign w:val="superscript"/>
        </w:rPr>
        <w:t>3</w:t>
      </w:r>
      <w:r>
        <w:t>/d</w:t>
      </w:r>
      <w:r>
        <w:rPr>
          <w:rFonts w:hint="eastAsia"/>
        </w:rPr>
        <w:t>。</w:t>
      </w:r>
    </w:p>
    <w:p w14:paraId="6FDCCD38">
      <w:pPr>
        <w:pStyle w:val="4"/>
        <w:spacing w:before="180" w:after="120"/>
        <w:rPr>
          <w:rFonts w:hAnsi="Times New Roman" w:cs="Times New Roman"/>
        </w:rPr>
      </w:pPr>
      <w:r>
        <w:rPr>
          <w:rFonts w:hAnsi="Times New Roman" w:cs="Times New Roman"/>
        </w:rPr>
        <w:t>地质条件概况</w:t>
      </w:r>
    </w:p>
    <w:p w14:paraId="358381D4">
      <w:pPr>
        <w:pStyle w:val="5"/>
        <w:spacing w:before="120" w:after="120"/>
      </w:pPr>
      <w:r>
        <w:rPr>
          <w:rFonts w:hint="eastAsia"/>
        </w:rPr>
        <w:t>矿区地质</w:t>
      </w:r>
    </w:p>
    <w:p w14:paraId="025DB3D1">
      <w:pPr>
        <w:ind w:firstLine="482"/>
        <w:rPr>
          <w:b/>
        </w:rPr>
      </w:pPr>
      <w:r>
        <w:rPr>
          <w:rFonts w:hint="eastAsia"/>
          <w:b/>
        </w:rPr>
        <w:t>1、</w:t>
      </w:r>
      <w:r>
        <w:rPr>
          <w:b/>
        </w:rPr>
        <w:t>评价区地层</w:t>
      </w:r>
    </w:p>
    <w:p w14:paraId="5048712A">
      <w:pPr>
        <w:ind w:firstLine="480"/>
      </w:pPr>
      <w:bookmarkStart w:id="149" w:name="_Hlk103501250"/>
      <w:r>
        <w:rPr>
          <w:rFonts w:hint="eastAsia"/>
        </w:rPr>
        <w:t>1）白垩系甘河组凝灰岩：核实区内仅出露白垩系甘河组凝灰岩，以独立山丘状出露于地表，总体似层状产出，岩石风化程度较弱，为本次核实的主要开采矿种。</w:t>
      </w:r>
    </w:p>
    <w:p w14:paraId="026F94AF">
      <w:pPr>
        <w:ind w:firstLine="480"/>
      </w:pPr>
      <w:r>
        <w:rPr>
          <w:rFonts w:hint="eastAsia"/>
        </w:rPr>
        <w:t>凝灰岩：为溢流相，呈似层状产出，凝灰岩风化面为黄色，新鲜面呈灰色—灰</w:t>
      </w:r>
      <w:r>
        <w:rPr>
          <w:rFonts w:hint="eastAsia" w:ascii="宋体" w:hAnsi="宋体" w:eastAsia="宋体"/>
        </w:rPr>
        <w:t>禢</w:t>
      </w:r>
      <w:r>
        <w:rPr>
          <w:rFonts w:hint="eastAsia" w:ascii="仿宋_GB2312" w:cs="仿宋_GB2312"/>
        </w:rPr>
        <w:t>色，熔结凝灰结构，假流动构造，岩石由晶屑、岩屑和塑性玻屑组成。晶屑由石英、条纹长石和斜长石组成，石</w:t>
      </w:r>
      <w:r>
        <w:rPr>
          <w:rFonts w:hint="eastAsia"/>
        </w:rPr>
        <w:t>英含量为20%±，斜长石含量为15%±，条纹长石含量为5%±；岩屑呈次棱状、次圆状，成分为流纹岩和英安岩，含量为15%±；塑性玻屑呈蚯蚓状、细条纹状，含量为45%±。属于坚硬岩石。</w:t>
      </w:r>
    </w:p>
    <w:p w14:paraId="2F8C5268">
      <w:pPr>
        <w:ind w:firstLine="480"/>
      </w:pPr>
      <w:r>
        <w:rPr>
          <w:rFonts w:hint="eastAsia"/>
        </w:rPr>
        <w:t>依据核实区勘探孔地质编录，凝灰岩8.5m以上为强风化层，13-15m以上为中等风化层，矿体上部裂隙较为发育，岩石成块状，沿解理裂隙周围岩石风化程度较重，块度大小不一，之间被冲积、洪积的泥土和碎石所充填，开采时易破碎，风化后的岩石呈黄色—黄褐色。矿体下部岩石相对完整、坚硬，凝灰岩锤击回声清脆，有轻微震手感，锤击不易破碎。</w:t>
      </w:r>
    </w:p>
    <w:p w14:paraId="64DA4A26">
      <w:pPr>
        <w:ind w:firstLine="480"/>
        <w:rPr>
          <w:kern w:val="0"/>
        </w:rPr>
      </w:pPr>
      <w:r>
        <w:rPr>
          <w:rFonts w:hint="eastAsia"/>
        </w:rPr>
        <w:t>2）第四系腐殖土层：通过对核实区内钻孔岩心观察，核实区腐殖土平均覆盖厚度在0.50m。</w:t>
      </w:r>
    </w:p>
    <w:bookmarkEnd w:id="149"/>
    <w:p w14:paraId="40BCC610">
      <w:pPr>
        <w:ind w:left="480" w:firstLine="0" w:firstLineChars="0"/>
        <w:rPr>
          <w:b/>
        </w:rPr>
      </w:pPr>
      <w:r>
        <w:rPr>
          <w:rFonts w:hint="eastAsia"/>
          <w:b/>
        </w:rPr>
        <w:t>2、构造</w:t>
      </w:r>
    </w:p>
    <w:p w14:paraId="27535A61">
      <w:pPr>
        <w:ind w:firstLine="480"/>
      </w:pPr>
      <w:bookmarkStart w:id="150" w:name="_Toc13484"/>
      <w:r>
        <w:rPr>
          <w:rFonts w:hint="eastAsia"/>
        </w:rPr>
        <w:t>受中生代北东向断裂带控制，火山岩体经历差异性隆升，形成以凝灰岩为核心的穹状低山构造</w:t>
      </w:r>
      <w:r>
        <w:rPr>
          <w:rFonts w:hint="eastAsia" w:ascii="仿宋_GB2312" w:cs="仿宋_GB2312"/>
        </w:rPr>
        <w:t>。</w:t>
      </w:r>
      <w:r>
        <w:rPr>
          <w:rFonts w:hint="eastAsia"/>
        </w:rPr>
        <w:t>矿区位于山体西南端，核部为白垩系甘河组凝灰岩。矿区内断裂构造不发育，对碎石堆层无影响，对采矿工作无影响。</w:t>
      </w:r>
    </w:p>
    <w:p w14:paraId="74BB4F76">
      <w:pPr>
        <w:ind w:firstLine="482"/>
        <w:rPr>
          <w:rFonts w:hAnsi="Times New Roman"/>
          <w:b/>
        </w:rPr>
      </w:pPr>
      <w:r>
        <w:rPr>
          <w:rFonts w:hint="eastAsia" w:hAnsi="Times New Roman"/>
          <w:b/>
        </w:rPr>
        <w:t>3、岩浆岩</w:t>
      </w:r>
      <w:bookmarkEnd w:id="150"/>
    </w:p>
    <w:p w14:paraId="1702E12B">
      <w:pPr>
        <w:ind w:firstLine="480"/>
        <w:rPr>
          <w:rFonts w:hAnsi="Times New Roman"/>
        </w:rPr>
      </w:pPr>
      <w:bookmarkStart w:id="151" w:name="_Toc726"/>
      <w:bookmarkStart w:id="152" w:name="_Toc32418"/>
      <w:bookmarkStart w:id="153" w:name="_Toc16699"/>
      <w:r>
        <w:rPr>
          <w:rFonts w:hint="eastAsia" w:hAnsi="Times New Roman"/>
        </w:rPr>
        <w:t>矿</w:t>
      </w:r>
      <w:r>
        <w:rPr>
          <w:rFonts w:hAnsi="Times New Roman"/>
        </w:rPr>
        <w:t>区内侵入岩不发育，未见有岩体和脉岩。</w:t>
      </w:r>
      <w:bookmarkEnd w:id="151"/>
      <w:bookmarkEnd w:id="152"/>
    </w:p>
    <w:p w14:paraId="62AEC4D0">
      <w:pPr>
        <w:ind w:firstLine="482"/>
        <w:rPr>
          <w:rFonts w:hAnsi="Times New Roman"/>
          <w:b/>
        </w:rPr>
      </w:pPr>
      <w:r>
        <w:rPr>
          <w:rFonts w:hint="eastAsia" w:hAnsi="Times New Roman"/>
          <w:b/>
        </w:rPr>
        <w:t>4、变质作用及围岩蚀变</w:t>
      </w:r>
      <w:bookmarkEnd w:id="153"/>
    </w:p>
    <w:p w14:paraId="5C89EE9E">
      <w:pPr>
        <w:ind w:firstLine="480"/>
      </w:pPr>
      <w:bookmarkStart w:id="154" w:name="_Toc13043"/>
      <w:r>
        <w:rPr>
          <w:rFonts w:hint="eastAsia"/>
        </w:rPr>
        <w:t>矿</w:t>
      </w:r>
      <w:r>
        <w:t>区内主要为凝灰岩及腐植土，蚀变弱，局部见碳酸盐化。</w:t>
      </w:r>
    </w:p>
    <w:p w14:paraId="71D16F10">
      <w:pPr>
        <w:ind w:firstLine="482"/>
        <w:rPr>
          <w:rFonts w:hAnsi="Times New Roman"/>
          <w:b/>
        </w:rPr>
      </w:pPr>
      <w:r>
        <w:rPr>
          <w:rFonts w:hint="eastAsia" w:hAnsi="Times New Roman"/>
          <w:b/>
        </w:rPr>
        <w:t>5、成矿规律</w:t>
      </w:r>
      <w:bookmarkEnd w:id="154"/>
    </w:p>
    <w:p w14:paraId="5C3D79D9">
      <w:pPr>
        <w:ind w:firstLine="480"/>
        <w:rPr>
          <w:rFonts w:hAnsi="Times New Roman"/>
          <w:kern w:val="0"/>
        </w:rPr>
      </w:pPr>
      <w:r>
        <w:rPr>
          <w:rFonts w:hint="eastAsia" w:hAnsi="Times New Roman"/>
          <w:kern w:val="0"/>
        </w:rPr>
        <w:t>嫩江市塔溪乡马厂河附近的凝灰岩矿成矿规律主要表现为白垩系甘河组火山-沉积地层的综合控制作用。该矿产形成于中生代火山活动频繁期，受区域火山喷发旋回影响，甘河组内凝灰岩厚度与展布受喷发期次及物质来源差异控制。构造上，火山盆地边缘断裂系统为火山热液活动和矿质富集提供了通道与空间，基底断裂不仅主导喷发通道，还促进后期热液对凝灰岩的硅化、高岭土化等蚀变改造，进而提升矿石品质。成矿作用兼具原生火山碎屑堆积与热液蚀变叠加特征，火山喷发后期热液通过脱玻化或矿物重结晶进一步优化矿体工业价值。凝灰岩具有坚硬、致密、耐久等特点，因此在建筑和工程领域得到广泛应用。</w:t>
      </w:r>
    </w:p>
    <w:p w14:paraId="61E03908">
      <w:pPr>
        <w:pStyle w:val="5"/>
        <w:spacing w:before="120" w:after="120"/>
      </w:pPr>
      <w:bookmarkStart w:id="155" w:name="_Toc22117"/>
      <w:r>
        <w:rPr>
          <w:rFonts w:hint="eastAsia"/>
        </w:rPr>
        <w:t>矿体特征</w:t>
      </w:r>
      <w:bookmarkEnd w:id="155"/>
    </w:p>
    <w:p w14:paraId="5C61CB6D">
      <w:pPr>
        <w:ind w:firstLine="480"/>
        <w:rPr>
          <w:kern w:val="0"/>
        </w:rPr>
      </w:pPr>
      <w:r>
        <w:rPr>
          <w:rFonts w:hint="eastAsia"/>
          <w:kern w:val="0"/>
        </w:rPr>
        <w:t>矿</w:t>
      </w:r>
      <w:r>
        <w:rPr>
          <w:kern w:val="0"/>
        </w:rPr>
        <w:t>区内圈定1条建筑用凝灰岩矿体，以独立山丘状出露于地表，</w:t>
      </w:r>
      <w:r>
        <w:rPr>
          <w:rFonts w:hint="eastAsia"/>
          <w:kern w:val="0"/>
        </w:rPr>
        <w:t>核实区内</w:t>
      </w:r>
      <w:r>
        <w:rPr>
          <w:kern w:val="0"/>
        </w:rPr>
        <w:t>面积</w:t>
      </w:r>
      <w:r>
        <w:rPr>
          <w:rFonts w:hint="eastAsia"/>
        </w:rPr>
        <w:t>0.1101</w:t>
      </w:r>
      <w:r>
        <w:t>km</w:t>
      </w:r>
      <w:r>
        <w:rPr>
          <w:vertAlign w:val="superscript"/>
        </w:rPr>
        <w:t>2</w:t>
      </w:r>
      <w:r>
        <w:t>，控制标高</w:t>
      </w:r>
      <w:r>
        <w:rPr>
          <w:rFonts w:hint="eastAsia"/>
        </w:rPr>
        <w:t>+</w:t>
      </w:r>
      <w:r>
        <w:t>5</w:t>
      </w:r>
      <w:r>
        <w:rPr>
          <w:rFonts w:hint="eastAsia"/>
        </w:rPr>
        <w:t>23.50</w:t>
      </w:r>
      <w:r>
        <w:t>m至</w:t>
      </w:r>
      <w:r>
        <w:rPr>
          <w:rFonts w:hint="eastAsia"/>
        </w:rPr>
        <w:t>+</w:t>
      </w:r>
      <w:r>
        <w:t>4</w:t>
      </w:r>
      <w:r>
        <w:rPr>
          <w:rFonts w:hint="eastAsia"/>
        </w:rPr>
        <w:t>20</w:t>
      </w:r>
      <w:r>
        <w:t>.00m，</w:t>
      </w:r>
      <w:r>
        <w:rPr>
          <w:kern w:val="0"/>
        </w:rPr>
        <w:t>矿体形态规则，矿体走向呈北东—南西向展布，</w:t>
      </w:r>
      <w:r>
        <w:t>拟出让矿区内矿体形状为较规则的长方形，</w:t>
      </w:r>
      <w:r>
        <w:rPr>
          <w:kern w:val="0"/>
        </w:rPr>
        <w:t>似层状产出，</w:t>
      </w:r>
      <w:r>
        <w:t>矿体倾向、倾角受地形坡度控制明显，矿体倾向南东，倾角45°，</w:t>
      </w:r>
      <w:r>
        <w:rPr>
          <w:kern w:val="0"/>
        </w:rPr>
        <w:t>矿体厚度连续稳定，</w:t>
      </w:r>
      <w:r>
        <w:t>矿体岩性单一，无明显分异，矿物成分稳定，结构均匀。</w:t>
      </w:r>
      <w:r>
        <w:rPr>
          <w:kern w:val="0"/>
        </w:rPr>
        <w:t>无夹石，构造不发育。依据钻孔资料统计，强风化层厚度平均8.5m；中等风化层厚度13-15</w:t>
      </w:r>
      <w:r>
        <w:rPr>
          <w:rFonts w:hint="eastAsia"/>
          <w:kern w:val="0"/>
        </w:rPr>
        <w:t>m</w:t>
      </w:r>
      <w:r>
        <w:rPr>
          <w:kern w:val="0"/>
        </w:rPr>
        <w:t>，下部岩石相对完整、坚硬，凝灰岩锤击回声清脆，有轻微震手感，锤击不易破碎。地表被第四系腐植土层覆盖，矿体底板围岩均为凝灰岩。</w:t>
      </w:r>
    </w:p>
    <w:p w14:paraId="2C117AFA">
      <w:pPr>
        <w:ind w:firstLine="480"/>
      </w:pPr>
      <w:r>
        <w:rPr>
          <w:kern w:val="0"/>
        </w:rPr>
        <w:t>（1）凝灰岩：为溢流相，呈似层状产出，凝灰岩风化面为黄色，新鲜面呈灰色—灰</w:t>
      </w:r>
      <w:r>
        <w:rPr>
          <w:rFonts w:hint="eastAsia" w:ascii="宋体" w:hAnsi="宋体" w:eastAsia="宋体"/>
          <w:kern w:val="0"/>
        </w:rPr>
        <w:t>禢</w:t>
      </w:r>
      <w:r>
        <w:rPr>
          <w:rFonts w:hint="eastAsia" w:ascii="仿宋_GB2312" w:cs="仿宋_GB2312"/>
          <w:kern w:val="0"/>
        </w:rPr>
        <w:t>色，熔结凝灰结构，假流动构造，岩石由晶屑、岩屑和塑性玻屑组成。</w:t>
      </w:r>
      <w:r>
        <w:t>晶屑由石英、条纹长石和斜长石组成，石英含量为20%±，斜长石含量为15%±，条纹长石含量为5%±；岩屑呈次棱状、次圆状，成分为流纹岩和英安岩，含量为15%±；塑性玻屑呈蚯蚓状、细条纹状，含量为45%±。属于坚硬岩石。</w:t>
      </w:r>
    </w:p>
    <w:p w14:paraId="1E173DA7">
      <w:pPr>
        <w:ind w:firstLine="480"/>
        <w:rPr>
          <w:kern w:val="0"/>
        </w:rPr>
      </w:pPr>
      <w:r>
        <w:rPr>
          <w:kern w:val="0"/>
        </w:rPr>
        <w:t>（2）第四系腐殖土层：通过对核实区内钻孔岩心观察，核实区腐殖土平均覆盖厚度在0.50m。</w:t>
      </w:r>
    </w:p>
    <w:p w14:paraId="04C688F7">
      <w:pPr>
        <w:pStyle w:val="4"/>
        <w:spacing w:before="180" w:after="120"/>
        <w:rPr>
          <w:rFonts w:hAnsi="Times New Roman" w:cs="Times New Roman"/>
        </w:rPr>
      </w:pPr>
      <w:r>
        <w:rPr>
          <w:rFonts w:hAnsi="Times New Roman" w:cs="Times New Roman"/>
        </w:rPr>
        <w:t>气候气象</w:t>
      </w:r>
    </w:p>
    <w:p w14:paraId="161EACDA">
      <w:pPr>
        <w:ind w:firstLine="480"/>
      </w:pPr>
      <w:r>
        <w:rPr>
          <w:rFonts w:hint="eastAsia"/>
        </w:rPr>
        <w:t>嫩江市气候属寒温带大陆性季风气候，市内气候的基本特征是年平均气温较低。无霜期短。雨热同季。冬季漫长。市内纬度较高，年平均气温较低，因地形条件较优越，气温又高于同纬度的一些地方。全市具有春季回暖快，秋季降温急，四季和昼夜气温较差大的特点。四季的气候特点是嫩江市多年平均气温在</w:t>
      </w:r>
      <w:r>
        <w:t>0.8～-1.4℃，南北温差大于2.2℃，多年平均降水量为480～512mm，最多风向为北风，</w:t>
      </w:r>
      <w:r>
        <w:rPr>
          <w:rFonts w:hint="eastAsia"/>
        </w:rPr>
        <w:t>其次是南风。冬季严寒，漫长，干燥，最低气温为</w:t>
      </w:r>
      <w:r>
        <w:t>-47.3～-43.7℃；夏季雨热同</w:t>
      </w:r>
      <w:r>
        <w:rPr>
          <w:rFonts w:hint="eastAsia"/>
        </w:rPr>
        <w:t>季，最高气温为</w:t>
      </w:r>
      <w:r>
        <w:t>33.9～40℃；春风大，昼夜温差大。全年大于等于10℃积温在2230℃左右。光照充足。</w:t>
      </w:r>
    </w:p>
    <w:p w14:paraId="2DF33908">
      <w:pPr>
        <w:ind w:firstLine="480"/>
      </w:pPr>
      <w:r>
        <w:rPr>
          <w:rFonts w:hint="eastAsia"/>
        </w:rPr>
        <w:t>本次评价采用嫩江市气象站（</w:t>
      </w:r>
      <w:r>
        <w:t>50557）资料，该气象站地理坐标为东经125.2300°，北纬49.1600°，海拔242m。嫩江市2005—2024 年气象数据统计</w:t>
      </w:r>
      <w:r>
        <w:rPr>
          <w:rFonts w:hint="eastAsia"/>
        </w:rPr>
        <w:t>情况见表4.1-1</w:t>
      </w:r>
      <w:r>
        <w:t>。</w:t>
      </w:r>
    </w:p>
    <w:p w14:paraId="0ABF45C6">
      <w:pPr>
        <w:pStyle w:val="178"/>
      </w:pPr>
      <w:r>
        <w:rPr>
          <w:rFonts w:hint="eastAsia"/>
        </w:rPr>
        <w:t xml:space="preserve">表4.1-1 </w:t>
      </w:r>
      <w:r>
        <w:t xml:space="preserve"> 嫩江市气象站常规气象项目统计（2005—2024 年）</w:t>
      </w:r>
    </w:p>
    <w:tbl>
      <w:tblPr>
        <w:tblStyle w:val="37"/>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3085"/>
        <w:gridCol w:w="2268"/>
        <w:gridCol w:w="1985"/>
        <w:gridCol w:w="1134"/>
      </w:tblGrid>
      <w:tr w14:paraId="343404C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085" w:type="dxa"/>
            <w:vAlign w:val="center"/>
          </w:tcPr>
          <w:p w14:paraId="2C7E00A5">
            <w:pPr>
              <w:pStyle w:val="179"/>
              <w:widowControl w:val="0"/>
              <w:rPr>
                <w:b/>
              </w:rPr>
            </w:pPr>
            <w:r>
              <w:rPr>
                <w:rFonts w:hint="eastAsia"/>
                <w:b/>
              </w:rPr>
              <w:t>统计项目</w:t>
            </w:r>
          </w:p>
        </w:tc>
        <w:tc>
          <w:tcPr>
            <w:tcW w:w="2268" w:type="dxa"/>
            <w:vAlign w:val="center"/>
          </w:tcPr>
          <w:p w14:paraId="36923FAE">
            <w:pPr>
              <w:pStyle w:val="179"/>
              <w:widowControl w:val="0"/>
              <w:rPr>
                <w:b/>
              </w:rPr>
            </w:pPr>
            <w:r>
              <w:rPr>
                <w:rFonts w:hint="eastAsia"/>
                <w:b/>
              </w:rPr>
              <w:t>统计值</w:t>
            </w:r>
          </w:p>
        </w:tc>
        <w:tc>
          <w:tcPr>
            <w:tcW w:w="1985" w:type="dxa"/>
            <w:vAlign w:val="center"/>
          </w:tcPr>
          <w:p w14:paraId="59118A33">
            <w:pPr>
              <w:pStyle w:val="179"/>
              <w:widowControl w:val="0"/>
              <w:rPr>
                <w:b/>
              </w:rPr>
            </w:pPr>
            <w:r>
              <w:rPr>
                <w:rFonts w:hint="eastAsia"/>
                <w:b/>
              </w:rPr>
              <w:t>极值出现时间</w:t>
            </w:r>
          </w:p>
        </w:tc>
        <w:tc>
          <w:tcPr>
            <w:tcW w:w="1134" w:type="dxa"/>
            <w:vAlign w:val="center"/>
          </w:tcPr>
          <w:p w14:paraId="0FB42776">
            <w:pPr>
              <w:pStyle w:val="179"/>
              <w:widowControl w:val="0"/>
              <w:rPr>
                <w:b/>
              </w:rPr>
            </w:pPr>
            <w:r>
              <w:rPr>
                <w:rFonts w:hint="eastAsia"/>
                <w:b/>
              </w:rPr>
              <w:t>极值</w:t>
            </w:r>
          </w:p>
        </w:tc>
      </w:tr>
      <w:tr w14:paraId="16B709E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085" w:type="dxa"/>
            <w:vAlign w:val="center"/>
          </w:tcPr>
          <w:p w14:paraId="18DF29AC">
            <w:pPr>
              <w:pStyle w:val="179"/>
              <w:widowControl w:val="0"/>
            </w:pPr>
            <w:r>
              <w:rPr>
                <w:rFonts w:hint="eastAsia"/>
              </w:rPr>
              <w:t>多年平均气温（℃）</w:t>
            </w:r>
          </w:p>
        </w:tc>
        <w:tc>
          <w:tcPr>
            <w:tcW w:w="2268" w:type="dxa"/>
            <w:vAlign w:val="center"/>
          </w:tcPr>
          <w:p w14:paraId="2458F4EC">
            <w:pPr>
              <w:pStyle w:val="179"/>
              <w:widowControl w:val="0"/>
            </w:pPr>
            <w:r>
              <w:t>1.5</w:t>
            </w:r>
          </w:p>
        </w:tc>
        <w:tc>
          <w:tcPr>
            <w:tcW w:w="1985" w:type="dxa"/>
            <w:vAlign w:val="center"/>
          </w:tcPr>
          <w:p w14:paraId="44E0B53E">
            <w:pPr>
              <w:pStyle w:val="179"/>
              <w:widowControl w:val="0"/>
            </w:pPr>
          </w:p>
        </w:tc>
        <w:tc>
          <w:tcPr>
            <w:tcW w:w="1134" w:type="dxa"/>
            <w:vAlign w:val="center"/>
          </w:tcPr>
          <w:p w14:paraId="5033A253">
            <w:pPr>
              <w:pStyle w:val="179"/>
              <w:widowControl w:val="0"/>
            </w:pPr>
          </w:p>
        </w:tc>
      </w:tr>
      <w:tr w14:paraId="152B724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085" w:type="dxa"/>
            <w:vAlign w:val="center"/>
          </w:tcPr>
          <w:p w14:paraId="30A2ADD5">
            <w:pPr>
              <w:pStyle w:val="179"/>
              <w:widowControl w:val="0"/>
            </w:pPr>
            <w:r>
              <w:rPr>
                <w:rFonts w:hint="eastAsia"/>
              </w:rPr>
              <w:t>累年极端最高气温（℃）</w:t>
            </w:r>
          </w:p>
        </w:tc>
        <w:tc>
          <w:tcPr>
            <w:tcW w:w="2268" w:type="dxa"/>
            <w:vAlign w:val="center"/>
          </w:tcPr>
          <w:p w14:paraId="68838EDC">
            <w:pPr>
              <w:pStyle w:val="179"/>
              <w:widowControl w:val="0"/>
            </w:pPr>
            <w:r>
              <w:t>34.7</w:t>
            </w:r>
          </w:p>
        </w:tc>
        <w:tc>
          <w:tcPr>
            <w:tcW w:w="1985" w:type="dxa"/>
            <w:vAlign w:val="center"/>
          </w:tcPr>
          <w:p w14:paraId="5EFBF0B3">
            <w:pPr>
              <w:pStyle w:val="179"/>
              <w:widowControl w:val="0"/>
            </w:pPr>
            <w:r>
              <w:t>2010.6.24</w:t>
            </w:r>
          </w:p>
        </w:tc>
        <w:tc>
          <w:tcPr>
            <w:tcW w:w="1134" w:type="dxa"/>
            <w:vAlign w:val="center"/>
          </w:tcPr>
          <w:p w14:paraId="1F413E3B">
            <w:pPr>
              <w:pStyle w:val="179"/>
              <w:widowControl w:val="0"/>
            </w:pPr>
            <w:r>
              <w:t>38.9</w:t>
            </w:r>
          </w:p>
        </w:tc>
      </w:tr>
      <w:tr w14:paraId="11120A5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085" w:type="dxa"/>
            <w:vAlign w:val="center"/>
          </w:tcPr>
          <w:p w14:paraId="00FDFD25">
            <w:pPr>
              <w:pStyle w:val="179"/>
              <w:widowControl w:val="0"/>
            </w:pPr>
            <w:r>
              <w:rPr>
                <w:rFonts w:hint="eastAsia"/>
              </w:rPr>
              <w:t>累年极端最低气温（℃）</w:t>
            </w:r>
          </w:p>
        </w:tc>
        <w:tc>
          <w:tcPr>
            <w:tcW w:w="2268" w:type="dxa"/>
            <w:vAlign w:val="center"/>
          </w:tcPr>
          <w:p w14:paraId="7666016C">
            <w:pPr>
              <w:pStyle w:val="179"/>
              <w:widowControl w:val="0"/>
            </w:pPr>
            <w:r>
              <w:t>-37.9</w:t>
            </w:r>
          </w:p>
        </w:tc>
        <w:tc>
          <w:tcPr>
            <w:tcW w:w="1985" w:type="dxa"/>
            <w:vAlign w:val="center"/>
          </w:tcPr>
          <w:p w14:paraId="628694C3">
            <w:pPr>
              <w:pStyle w:val="179"/>
              <w:widowControl w:val="0"/>
            </w:pPr>
            <w:r>
              <w:t>2011.1.14</w:t>
            </w:r>
          </w:p>
        </w:tc>
        <w:tc>
          <w:tcPr>
            <w:tcW w:w="1134" w:type="dxa"/>
            <w:vAlign w:val="center"/>
          </w:tcPr>
          <w:p w14:paraId="691E7752">
            <w:pPr>
              <w:pStyle w:val="179"/>
              <w:widowControl w:val="0"/>
            </w:pPr>
            <w:r>
              <w:t>-42.5</w:t>
            </w:r>
          </w:p>
        </w:tc>
      </w:tr>
      <w:tr w14:paraId="7D3D689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085" w:type="dxa"/>
            <w:vAlign w:val="center"/>
          </w:tcPr>
          <w:p w14:paraId="5588F29C">
            <w:pPr>
              <w:pStyle w:val="179"/>
              <w:widowControl w:val="0"/>
            </w:pPr>
            <w:r>
              <w:rPr>
                <w:rFonts w:hint="eastAsia"/>
              </w:rPr>
              <w:t>多年平均气压（</w:t>
            </w:r>
            <w:r>
              <w:t>hPa</w:t>
            </w:r>
            <w:r>
              <w:rPr>
                <w:rFonts w:hint="eastAsia"/>
              </w:rPr>
              <w:t>）</w:t>
            </w:r>
          </w:p>
        </w:tc>
        <w:tc>
          <w:tcPr>
            <w:tcW w:w="2268" w:type="dxa"/>
            <w:vAlign w:val="center"/>
          </w:tcPr>
          <w:p w14:paraId="45B2C624">
            <w:pPr>
              <w:pStyle w:val="179"/>
              <w:widowControl w:val="0"/>
            </w:pPr>
            <w:r>
              <w:t>984.1</w:t>
            </w:r>
          </w:p>
        </w:tc>
        <w:tc>
          <w:tcPr>
            <w:tcW w:w="1985" w:type="dxa"/>
            <w:vAlign w:val="center"/>
          </w:tcPr>
          <w:p w14:paraId="73735ACF">
            <w:pPr>
              <w:pStyle w:val="179"/>
              <w:widowControl w:val="0"/>
            </w:pPr>
          </w:p>
        </w:tc>
        <w:tc>
          <w:tcPr>
            <w:tcW w:w="1134" w:type="dxa"/>
            <w:vAlign w:val="center"/>
          </w:tcPr>
          <w:p w14:paraId="00445512">
            <w:pPr>
              <w:pStyle w:val="179"/>
              <w:widowControl w:val="0"/>
            </w:pPr>
          </w:p>
        </w:tc>
      </w:tr>
      <w:tr w14:paraId="214946F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085" w:type="dxa"/>
            <w:vAlign w:val="center"/>
          </w:tcPr>
          <w:p w14:paraId="57E6B84F">
            <w:pPr>
              <w:pStyle w:val="179"/>
              <w:widowControl w:val="0"/>
            </w:pPr>
            <w:r>
              <w:rPr>
                <w:rFonts w:hint="eastAsia"/>
              </w:rPr>
              <w:t>多年平均水汽压（</w:t>
            </w:r>
            <w:r>
              <w:t>hPa</w:t>
            </w:r>
            <w:r>
              <w:rPr>
                <w:rFonts w:hint="eastAsia"/>
              </w:rPr>
              <w:t>）</w:t>
            </w:r>
          </w:p>
        </w:tc>
        <w:tc>
          <w:tcPr>
            <w:tcW w:w="2268" w:type="dxa"/>
            <w:vAlign w:val="center"/>
          </w:tcPr>
          <w:p w14:paraId="3BD07D61">
            <w:pPr>
              <w:pStyle w:val="179"/>
              <w:widowControl w:val="0"/>
            </w:pPr>
            <w:r>
              <w:t>7.1</w:t>
            </w:r>
          </w:p>
        </w:tc>
        <w:tc>
          <w:tcPr>
            <w:tcW w:w="1985" w:type="dxa"/>
            <w:vAlign w:val="center"/>
          </w:tcPr>
          <w:p w14:paraId="6CFF2388">
            <w:pPr>
              <w:pStyle w:val="179"/>
              <w:widowControl w:val="0"/>
            </w:pPr>
          </w:p>
        </w:tc>
        <w:tc>
          <w:tcPr>
            <w:tcW w:w="1134" w:type="dxa"/>
            <w:vAlign w:val="center"/>
          </w:tcPr>
          <w:p w14:paraId="63EC73AC">
            <w:pPr>
              <w:pStyle w:val="179"/>
              <w:widowControl w:val="0"/>
            </w:pPr>
          </w:p>
        </w:tc>
      </w:tr>
      <w:tr w14:paraId="1626314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085" w:type="dxa"/>
            <w:vAlign w:val="center"/>
          </w:tcPr>
          <w:p w14:paraId="6D93E4EC">
            <w:pPr>
              <w:pStyle w:val="179"/>
              <w:widowControl w:val="0"/>
            </w:pPr>
            <w:r>
              <w:rPr>
                <w:rFonts w:hint="eastAsia"/>
              </w:rPr>
              <w:t>多年平均相对湿度（</w:t>
            </w:r>
            <w:r>
              <w:t>%</w:t>
            </w:r>
            <w:r>
              <w:rPr>
                <w:rFonts w:hint="eastAsia"/>
              </w:rPr>
              <w:t>）</w:t>
            </w:r>
          </w:p>
        </w:tc>
        <w:tc>
          <w:tcPr>
            <w:tcW w:w="2268" w:type="dxa"/>
            <w:vAlign w:val="center"/>
          </w:tcPr>
          <w:p w14:paraId="63841817">
            <w:pPr>
              <w:pStyle w:val="179"/>
              <w:widowControl w:val="0"/>
            </w:pPr>
            <w:r>
              <w:t>64.4</w:t>
            </w:r>
          </w:p>
        </w:tc>
        <w:tc>
          <w:tcPr>
            <w:tcW w:w="1985" w:type="dxa"/>
            <w:vAlign w:val="center"/>
          </w:tcPr>
          <w:p w14:paraId="360E8E62">
            <w:pPr>
              <w:pStyle w:val="179"/>
              <w:widowControl w:val="0"/>
            </w:pPr>
          </w:p>
        </w:tc>
        <w:tc>
          <w:tcPr>
            <w:tcW w:w="1134" w:type="dxa"/>
            <w:vAlign w:val="center"/>
          </w:tcPr>
          <w:p w14:paraId="14C461BC">
            <w:pPr>
              <w:pStyle w:val="179"/>
              <w:widowControl w:val="0"/>
            </w:pPr>
          </w:p>
        </w:tc>
      </w:tr>
      <w:tr w14:paraId="4404FFD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085" w:type="dxa"/>
            <w:vAlign w:val="center"/>
          </w:tcPr>
          <w:p w14:paraId="211BEADF">
            <w:pPr>
              <w:pStyle w:val="179"/>
              <w:widowControl w:val="0"/>
            </w:pPr>
            <w:r>
              <w:rPr>
                <w:rFonts w:hint="eastAsia"/>
              </w:rPr>
              <w:t>平均降雨量（</w:t>
            </w:r>
            <w:r>
              <w:t>mm</w:t>
            </w:r>
            <w:r>
              <w:rPr>
                <w:rFonts w:hint="eastAsia"/>
              </w:rPr>
              <w:t>）</w:t>
            </w:r>
          </w:p>
        </w:tc>
        <w:tc>
          <w:tcPr>
            <w:tcW w:w="2268" w:type="dxa"/>
            <w:vAlign w:val="center"/>
          </w:tcPr>
          <w:p w14:paraId="331043A8">
            <w:pPr>
              <w:pStyle w:val="179"/>
              <w:widowControl w:val="0"/>
            </w:pPr>
            <w:r>
              <w:t>508.1</w:t>
            </w:r>
          </w:p>
        </w:tc>
        <w:tc>
          <w:tcPr>
            <w:tcW w:w="1985" w:type="dxa"/>
            <w:vAlign w:val="center"/>
          </w:tcPr>
          <w:p w14:paraId="158FE458">
            <w:pPr>
              <w:pStyle w:val="179"/>
              <w:widowControl w:val="0"/>
            </w:pPr>
          </w:p>
        </w:tc>
        <w:tc>
          <w:tcPr>
            <w:tcW w:w="1134" w:type="dxa"/>
            <w:vAlign w:val="center"/>
          </w:tcPr>
          <w:p w14:paraId="3962AE29">
            <w:pPr>
              <w:pStyle w:val="179"/>
              <w:widowControl w:val="0"/>
            </w:pPr>
          </w:p>
        </w:tc>
      </w:tr>
      <w:tr w14:paraId="4706259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085" w:type="dxa"/>
            <w:vAlign w:val="center"/>
          </w:tcPr>
          <w:p w14:paraId="137B57C3">
            <w:pPr>
              <w:pStyle w:val="179"/>
              <w:widowControl w:val="0"/>
            </w:pPr>
            <w:r>
              <w:rPr>
                <w:rFonts w:hint="eastAsia"/>
              </w:rPr>
              <w:t>多年平均最大日降雨量（</w:t>
            </w:r>
            <w:r>
              <w:t>mm</w:t>
            </w:r>
            <w:r>
              <w:rPr>
                <w:rFonts w:hint="eastAsia"/>
              </w:rPr>
              <w:t>）</w:t>
            </w:r>
          </w:p>
        </w:tc>
        <w:tc>
          <w:tcPr>
            <w:tcW w:w="2268" w:type="dxa"/>
            <w:vAlign w:val="center"/>
          </w:tcPr>
          <w:p w14:paraId="4D66DCC9">
            <w:pPr>
              <w:pStyle w:val="179"/>
              <w:widowControl w:val="0"/>
            </w:pPr>
            <w:r>
              <w:t>155.7</w:t>
            </w:r>
          </w:p>
        </w:tc>
        <w:tc>
          <w:tcPr>
            <w:tcW w:w="1985" w:type="dxa"/>
            <w:vAlign w:val="center"/>
          </w:tcPr>
          <w:p w14:paraId="3E286607">
            <w:pPr>
              <w:pStyle w:val="179"/>
              <w:widowControl w:val="0"/>
            </w:pPr>
            <w:r>
              <w:t>2020.8.3</w:t>
            </w:r>
          </w:p>
        </w:tc>
        <w:tc>
          <w:tcPr>
            <w:tcW w:w="1134" w:type="dxa"/>
            <w:vAlign w:val="center"/>
          </w:tcPr>
          <w:p w14:paraId="151D8710">
            <w:pPr>
              <w:pStyle w:val="179"/>
              <w:widowControl w:val="0"/>
            </w:pPr>
          </w:p>
        </w:tc>
      </w:tr>
      <w:tr w14:paraId="536BD3F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085" w:type="dxa"/>
            <w:vAlign w:val="center"/>
          </w:tcPr>
          <w:p w14:paraId="4E6BAD08">
            <w:pPr>
              <w:pStyle w:val="179"/>
              <w:widowControl w:val="0"/>
            </w:pPr>
            <w:r>
              <w:rPr>
                <w:rFonts w:hint="eastAsia"/>
              </w:rPr>
              <w:t>多年实测极大风速（</w:t>
            </w:r>
            <w:r>
              <w:t>m/s</w:t>
            </w:r>
            <w:r>
              <w:rPr>
                <w:rFonts w:hint="eastAsia"/>
              </w:rPr>
              <w:t>）</w:t>
            </w:r>
          </w:p>
        </w:tc>
        <w:tc>
          <w:tcPr>
            <w:tcW w:w="2268" w:type="dxa"/>
            <w:vAlign w:val="center"/>
          </w:tcPr>
          <w:p w14:paraId="0486AF3C">
            <w:pPr>
              <w:pStyle w:val="179"/>
              <w:widowControl w:val="0"/>
            </w:pPr>
            <w:r>
              <w:t>21.4</w:t>
            </w:r>
          </w:p>
        </w:tc>
        <w:tc>
          <w:tcPr>
            <w:tcW w:w="1985" w:type="dxa"/>
            <w:vAlign w:val="center"/>
          </w:tcPr>
          <w:p w14:paraId="266F9FB0">
            <w:pPr>
              <w:pStyle w:val="179"/>
              <w:widowControl w:val="0"/>
            </w:pPr>
          </w:p>
        </w:tc>
        <w:tc>
          <w:tcPr>
            <w:tcW w:w="1134" w:type="dxa"/>
            <w:vAlign w:val="center"/>
          </w:tcPr>
          <w:p w14:paraId="39C0FEEA">
            <w:pPr>
              <w:pStyle w:val="179"/>
              <w:widowControl w:val="0"/>
            </w:pPr>
          </w:p>
        </w:tc>
      </w:tr>
      <w:tr w14:paraId="11DDCE0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085" w:type="dxa"/>
            <w:vAlign w:val="center"/>
          </w:tcPr>
          <w:p w14:paraId="2265FEC8">
            <w:pPr>
              <w:pStyle w:val="179"/>
              <w:widowControl w:val="0"/>
            </w:pPr>
            <w:r>
              <w:rPr>
                <w:rFonts w:hint="eastAsia"/>
              </w:rPr>
              <w:t>平均风速（</w:t>
            </w:r>
            <w:r>
              <w:t>m/s</w:t>
            </w:r>
            <w:r>
              <w:rPr>
                <w:rFonts w:hint="eastAsia"/>
              </w:rPr>
              <w:t>）</w:t>
            </w:r>
          </w:p>
        </w:tc>
        <w:tc>
          <w:tcPr>
            <w:tcW w:w="2268" w:type="dxa"/>
            <w:vAlign w:val="center"/>
          </w:tcPr>
          <w:p w14:paraId="26F5E47A">
            <w:pPr>
              <w:pStyle w:val="179"/>
              <w:widowControl w:val="0"/>
            </w:pPr>
            <w:r>
              <w:t>2.9</w:t>
            </w:r>
          </w:p>
        </w:tc>
        <w:tc>
          <w:tcPr>
            <w:tcW w:w="1985" w:type="dxa"/>
            <w:vAlign w:val="center"/>
          </w:tcPr>
          <w:p w14:paraId="6B8BB3BC">
            <w:pPr>
              <w:pStyle w:val="179"/>
              <w:widowControl w:val="0"/>
            </w:pPr>
          </w:p>
        </w:tc>
        <w:tc>
          <w:tcPr>
            <w:tcW w:w="1134" w:type="dxa"/>
            <w:vAlign w:val="center"/>
          </w:tcPr>
          <w:p w14:paraId="59A714E7">
            <w:pPr>
              <w:pStyle w:val="179"/>
              <w:widowControl w:val="0"/>
            </w:pPr>
          </w:p>
        </w:tc>
      </w:tr>
    </w:tbl>
    <w:p w14:paraId="08AA2B87">
      <w:pPr>
        <w:ind w:firstLine="480"/>
      </w:pPr>
      <w:r>
        <w:rPr>
          <w:rFonts w:hint="eastAsia"/>
        </w:rPr>
        <w:t>根据嫩江市</w:t>
      </w:r>
      <w:r>
        <w:t>2005</w:t>
      </w:r>
      <w:r>
        <w:rPr>
          <w:rFonts w:hint="eastAsia"/>
        </w:rPr>
        <w:t>—</w:t>
      </w:r>
      <w:r>
        <w:t xml:space="preserve">2024 </w:t>
      </w:r>
      <w:r>
        <w:rPr>
          <w:rFonts w:hint="eastAsia"/>
        </w:rPr>
        <w:t>年累计气象观测资料统计，主要气象特征如下：</w:t>
      </w:r>
    </w:p>
    <w:p w14:paraId="5DE2BCF3">
      <w:pPr>
        <w:ind w:firstLine="480"/>
      </w:pPr>
      <w:r>
        <w:rPr>
          <w:rFonts w:hint="eastAsia"/>
        </w:rPr>
        <w:t>（</w:t>
      </w:r>
      <w:r>
        <w:t>1</w:t>
      </w:r>
      <w:r>
        <w:rPr>
          <w:rFonts w:hint="eastAsia"/>
        </w:rPr>
        <w:t>）气温</w:t>
      </w:r>
    </w:p>
    <w:p w14:paraId="633B8B61">
      <w:pPr>
        <w:ind w:firstLine="480"/>
      </w:pPr>
      <w:r>
        <w:rPr>
          <w:rFonts w:hint="eastAsia"/>
        </w:rPr>
        <w:t>嫩江市累年月平均气温统计见表4.1</w:t>
      </w:r>
      <w:r>
        <w:t>-2</w:t>
      </w:r>
      <w:r>
        <w:rPr>
          <w:rFonts w:hint="eastAsia"/>
        </w:rPr>
        <w:t>、图4.1</w:t>
      </w:r>
      <w:r>
        <w:t>-</w:t>
      </w:r>
      <w:r>
        <w:rPr>
          <w:rFonts w:hint="eastAsia"/>
        </w:rPr>
        <w:t>3，嫩江市</w:t>
      </w:r>
      <w:r>
        <w:t xml:space="preserve">1 </w:t>
      </w:r>
      <w:r>
        <w:rPr>
          <w:rFonts w:hint="eastAsia"/>
        </w:rPr>
        <w:t>月份平均气温最低</w:t>
      </w:r>
      <w:r>
        <w:t>-23.1</w:t>
      </w:r>
      <w:r>
        <w:rPr>
          <w:rFonts w:hint="eastAsia"/>
        </w:rPr>
        <w:t>℃，</w:t>
      </w:r>
      <w:r>
        <w:t xml:space="preserve">7 </w:t>
      </w:r>
      <w:r>
        <w:rPr>
          <w:rFonts w:hint="eastAsia"/>
        </w:rPr>
        <w:t>月份平均气温最高</w:t>
      </w:r>
      <w:r>
        <w:t>22.1</w:t>
      </w:r>
      <w:r>
        <w:rPr>
          <w:rFonts w:hint="eastAsia"/>
        </w:rPr>
        <w:t>℃。</w:t>
      </w:r>
    </w:p>
    <w:p w14:paraId="1B779C3A">
      <w:pPr>
        <w:pStyle w:val="178"/>
      </w:pPr>
      <w:r>
        <w:rPr>
          <w:rFonts w:hint="eastAsia"/>
        </w:rPr>
        <w:t>表4.1</w:t>
      </w:r>
      <w:r>
        <w:t xml:space="preserve">-2 </w:t>
      </w:r>
      <w:r>
        <w:rPr>
          <w:rFonts w:hint="eastAsia"/>
        </w:rPr>
        <w:t>嫩江市（</w:t>
      </w:r>
      <w:r>
        <w:t>2005</w:t>
      </w:r>
      <w:r>
        <w:rPr>
          <w:rFonts w:hint="eastAsia"/>
        </w:rPr>
        <w:t>—</w:t>
      </w:r>
      <w:r>
        <w:t xml:space="preserve">2024 </w:t>
      </w:r>
      <w:r>
        <w:rPr>
          <w:rFonts w:hint="eastAsia"/>
        </w:rPr>
        <w:t>年）年平均气温的月变化单位：℃</w:t>
      </w:r>
    </w:p>
    <w:tbl>
      <w:tblPr>
        <w:tblStyle w:val="37"/>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57" w:type="dxa"/>
          <w:bottom w:w="0" w:type="dxa"/>
          <w:right w:w="57" w:type="dxa"/>
        </w:tblCellMar>
      </w:tblPr>
      <w:tblGrid>
        <w:gridCol w:w="637"/>
        <w:gridCol w:w="646"/>
        <w:gridCol w:w="647"/>
        <w:gridCol w:w="643"/>
        <w:gridCol w:w="639"/>
        <w:gridCol w:w="645"/>
        <w:gridCol w:w="645"/>
        <w:gridCol w:w="645"/>
        <w:gridCol w:w="645"/>
        <w:gridCol w:w="645"/>
        <w:gridCol w:w="641"/>
        <w:gridCol w:w="644"/>
        <w:gridCol w:w="648"/>
      </w:tblGrid>
      <w:tr w14:paraId="298B95C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637" w:type="dxa"/>
            <w:vAlign w:val="center"/>
          </w:tcPr>
          <w:p w14:paraId="759318D9">
            <w:pPr>
              <w:pStyle w:val="179"/>
              <w:widowControl w:val="0"/>
            </w:pPr>
            <w:r>
              <w:rPr>
                <w:rFonts w:hint="eastAsia"/>
              </w:rPr>
              <w:t>月份</w:t>
            </w:r>
          </w:p>
        </w:tc>
        <w:tc>
          <w:tcPr>
            <w:tcW w:w="646" w:type="dxa"/>
            <w:vAlign w:val="center"/>
          </w:tcPr>
          <w:p w14:paraId="60853787">
            <w:pPr>
              <w:pStyle w:val="179"/>
              <w:widowControl w:val="0"/>
            </w:pPr>
            <w:r>
              <w:t>1</w:t>
            </w:r>
            <w:r>
              <w:rPr>
                <w:rFonts w:hint="eastAsia"/>
              </w:rPr>
              <w:t>月</w:t>
            </w:r>
          </w:p>
        </w:tc>
        <w:tc>
          <w:tcPr>
            <w:tcW w:w="647" w:type="dxa"/>
            <w:vAlign w:val="center"/>
          </w:tcPr>
          <w:p w14:paraId="33D246C3">
            <w:pPr>
              <w:pStyle w:val="179"/>
              <w:widowControl w:val="0"/>
            </w:pPr>
            <w:r>
              <w:t>2</w:t>
            </w:r>
            <w:r>
              <w:rPr>
                <w:rFonts w:hint="eastAsia"/>
              </w:rPr>
              <w:t>月</w:t>
            </w:r>
          </w:p>
        </w:tc>
        <w:tc>
          <w:tcPr>
            <w:tcW w:w="643" w:type="dxa"/>
            <w:vAlign w:val="center"/>
          </w:tcPr>
          <w:p w14:paraId="7BB2904E">
            <w:pPr>
              <w:pStyle w:val="179"/>
              <w:widowControl w:val="0"/>
            </w:pPr>
            <w:r>
              <w:t>3</w:t>
            </w:r>
            <w:r>
              <w:rPr>
                <w:rFonts w:hint="eastAsia"/>
              </w:rPr>
              <w:t>月</w:t>
            </w:r>
          </w:p>
        </w:tc>
        <w:tc>
          <w:tcPr>
            <w:tcW w:w="639" w:type="dxa"/>
            <w:vAlign w:val="center"/>
          </w:tcPr>
          <w:p w14:paraId="229BF16F">
            <w:pPr>
              <w:pStyle w:val="179"/>
              <w:widowControl w:val="0"/>
            </w:pPr>
            <w:r>
              <w:t>4</w:t>
            </w:r>
            <w:r>
              <w:rPr>
                <w:rFonts w:hint="eastAsia"/>
              </w:rPr>
              <w:t>月</w:t>
            </w:r>
          </w:p>
        </w:tc>
        <w:tc>
          <w:tcPr>
            <w:tcW w:w="645" w:type="dxa"/>
            <w:vAlign w:val="center"/>
          </w:tcPr>
          <w:p w14:paraId="30B0552A">
            <w:pPr>
              <w:pStyle w:val="179"/>
              <w:widowControl w:val="0"/>
            </w:pPr>
            <w:r>
              <w:t>5</w:t>
            </w:r>
            <w:r>
              <w:rPr>
                <w:rFonts w:hint="eastAsia"/>
              </w:rPr>
              <w:t>月</w:t>
            </w:r>
          </w:p>
        </w:tc>
        <w:tc>
          <w:tcPr>
            <w:tcW w:w="645" w:type="dxa"/>
            <w:vAlign w:val="center"/>
          </w:tcPr>
          <w:p w14:paraId="55B53671">
            <w:pPr>
              <w:pStyle w:val="179"/>
              <w:widowControl w:val="0"/>
            </w:pPr>
            <w:r>
              <w:t>6</w:t>
            </w:r>
            <w:r>
              <w:rPr>
                <w:rFonts w:hint="eastAsia"/>
              </w:rPr>
              <w:t>月</w:t>
            </w:r>
          </w:p>
        </w:tc>
        <w:tc>
          <w:tcPr>
            <w:tcW w:w="645" w:type="dxa"/>
            <w:vAlign w:val="center"/>
          </w:tcPr>
          <w:p w14:paraId="710FE44C">
            <w:pPr>
              <w:pStyle w:val="179"/>
              <w:widowControl w:val="0"/>
            </w:pPr>
            <w:r>
              <w:t>7</w:t>
            </w:r>
            <w:r>
              <w:rPr>
                <w:rFonts w:hint="eastAsia"/>
              </w:rPr>
              <w:t>月</w:t>
            </w:r>
          </w:p>
        </w:tc>
        <w:tc>
          <w:tcPr>
            <w:tcW w:w="645" w:type="dxa"/>
            <w:vAlign w:val="center"/>
          </w:tcPr>
          <w:p w14:paraId="04B2FDD6">
            <w:pPr>
              <w:pStyle w:val="179"/>
              <w:widowControl w:val="0"/>
            </w:pPr>
            <w:r>
              <w:t>8</w:t>
            </w:r>
            <w:r>
              <w:rPr>
                <w:rFonts w:hint="eastAsia"/>
              </w:rPr>
              <w:t>月</w:t>
            </w:r>
          </w:p>
        </w:tc>
        <w:tc>
          <w:tcPr>
            <w:tcW w:w="645" w:type="dxa"/>
            <w:vAlign w:val="center"/>
          </w:tcPr>
          <w:p w14:paraId="7D7CBECE">
            <w:pPr>
              <w:pStyle w:val="179"/>
              <w:widowControl w:val="0"/>
            </w:pPr>
            <w:r>
              <w:t>9</w:t>
            </w:r>
            <w:r>
              <w:rPr>
                <w:rFonts w:hint="eastAsia"/>
              </w:rPr>
              <w:t>月</w:t>
            </w:r>
          </w:p>
        </w:tc>
        <w:tc>
          <w:tcPr>
            <w:tcW w:w="641" w:type="dxa"/>
            <w:vAlign w:val="center"/>
          </w:tcPr>
          <w:p w14:paraId="226B7EC6">
            <w:pPr>
              <w:pStyle w:val="179"/>
              <w:widowControl w:val="0"/>
            </w:pPr>
            <w:r>
              <w:t>10</w:t>
            </w:r>
            <w:r>
              <w:rPr>
                <w:rFonts w:hint="eastAsia"/>
              </w:rPr>
              <w:t>月</w:t>
            </w:r>
          </w:p>
        </w:tc>
        <w:tc>
          <w:tcPr>
            <w:tcW w:w="644" w:type="dxa"/>
            <w:vAlign w:val="center"/>
          </w:tcPr>
          <w:p w14:paraId="34714B7B">
            <w:pPr>
              <w:pStyle w:val="179"/>
              <w:widowControl w:val="0"/>
            </w:pPr>
            <w:r>
              <w:t>11</w:t>
            </w:r>
            <w:r>
              <w:rPr>
                <w:rFonts w:hint="eastAsia"/>
              </w:rPr>
              <w:t>月</w:t>
            </w:r>
          </w:p>
        </w:tc>
        <w:tc>
          <w:tcPr>
            <w:tcW w:w="648" w:type="dxa"/>
            <w:vAlign w:val="center"/>
          </w:tcPr>
          <w:p w14:paraId="270FEC1A">
            <w:pPr>
              <w:pStyle w:val="179"/>
              <w:widowControl w:val="0"/>
            </w:pPr>
            <w:r>
              <w:t>12</w:t>
            </w:r>
            <w:r>
              <w:rPr>
                <w:rFonts w:hint="eastAsia"/>
              </w:rPr>
              <w:t>月</w:t>
            </w:r>
          </w:p>
        </w:tc>
      </w:tr>
      <w:tr w14:paraId="20A0A8F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637" w:type="dxa"/>
            <w:vAlign w:val="center"/>
          </w:tcPr>
          <w:p w14:paraId="0B3644EE">
            <w:pPr>
              <w:pStyle w:val="179"/>
              <w:widowControl w:val="0"/>
            </w:pPr>
            <w:r>
              <w:rPr>
                <w:rFonts w:hint="eastAsia"/>
              </w:rPr>
              <w:t>温度</w:t>
            </w:r>
          </w:p>
        </w:tc>
        <w:tc>
          <w:tcPr>
            <w:tcW w:w="646" w:type="dxa"/>
            <w:vAlign w:val="center"/>
          </w:tcPr>
          <w:p w14:paraId="6DA81F85">
            <w:pPr>
              <w:pStyle w:val="179"/>
              <w:widowControl w:val="0"/>
            </w:pPr>
            <w:r>
              <w:t>-23.1</w:t>
            </w:r>
          </w:p>
        </w:tc>
        <w:tc>
          <w:tcPr>
            <w:tcW w:w="647" w:type="dxa"/>
            <w:vAlign w:val="center"/>
          </w:tcPr>
          <w:p w14:paraId="35609DD3">
            <w:pPr>
              <w:pStyle w:val="179"/>
              <w:widowControl w:val="0"/>
            </w:pPr>
            <w:r>
              <w:t>-18.6</w:t>
            </w:r>
          </w:p>
        </w:tc>
        <w:tc>
          <w:tcPr>
            <w:tcW w:w="643" w:type="dxa"/>
            <w:vAlign w:val="center"/>
          </w:tcPr>
          <w:p w14:paraId="5B42B9F6">
            <w:pPr>
              <w:pStyle w:val="179"/>
              <w:widowControl w:val="0"/>
            </w:pPr>
            <w:r>
              <w:t>-6.7</w:t>
            </w:r>
          </w:p>
        </w:tc>
        <w:tc>
          <w:tcPr>
            <w:tcW w:w="639" w:type="dxa"/>
            <w:vAlign w:val="center"/>
          </w:tcPr>
          <w:p w14:paraId="30B7ADA5">
            <w:pPr>
              <w:pStyle w:val="179"/>
              <w:widowControl w:val="0"/>
            </w:pPr>
            <w:r>
              <w:t>5</w:t>
            </w:r>
          </w:p>
        </w:tc>
        <w:tc>
          <w:tcPr>
            <w:tcW w:w="645" w:type="dxa"/>
            <w:vAlign w:val="center"/>
          </w:tcPr>
          <w:p w14:paraId="17E3588F">
            <w:pPr>
              <w:pStyle w:val="179"/>
              <w:widowControl w:val="0"/>
            </w:pPr>
            <w:r>
              <w:t>13.5</w:t>
            </w:r>
          </w:p>
        </w:tc>
        <w:tc>
          <w:tcPr>
            <w:tcW w:w="645" w:type="dxa"/>
            <w:vAlign w:val="center"/>
          </w:tcPr>
          <w:p w14:paraId="2010906B">
            <w:pPr>
              <w:pStyle w:val="179"/>
              <w:widowControl w:val="0"/>
            </w:pPr>
            <w:r>
              <w:t>19.6</w:t>
            </w:r>
          </w:p>
        </w:tc>
        <w:tc>
          <w:tcPr>
            <w:tcW w:w="645" w:type="dxa"/>
            <w:vAlign w:val="center"/>
          </w:tcPr>
          <w:p w14:paraId="75BF386D">
            <w:pPr>
              <w:pStyle w:val="179"/>
              <w:widowControl w:val="0"/>
            </w:pPr>
            <w:r>
              <w:t>22.1</w:t>
            </w:r>
          </w:p>
        </w:tc>
        <w:tc>
          <w:tcPr>
            <w:tcW w:w="645" w:type="dxa"/>
            <w:vAlign w:val="center"/>
          </w:tcPr>
          <w:p w14:paraId="4D53DC69">
            <w:pPr>
              <w:pStyle w:val="179"/>
              <w:widowControl w:val="0"/>
            </w:pPr>
            <w:r>
              <w:t>19.4</w:t>
            </w:r>
          </w:p>
        </w:tc>
        <w:tc>
          <w:tcPr>
            <w:tcW w:w="645" w:type="dxa"/>
            <w:vAlign w:val="center"/>
          </w:tcPr>
          <w:p w14:paraId="685A3DA4">
            <w:pPr>
              <w:pStyle w:val="179"/>
              <w:widowControl w:val="0"/>
            </w:pPr>
            <w:r>
              <w:t>13.1</w:t>
            </w:r>
          </w:p>
        </w:tc>
        <w:tc>
          <w:tcPr>
            <w:tcW w:w="641" w:type="dxa"/>
            <w:vAlign w:val="center"/>
          </w:tcPr>
          <w:p w14:paraId="241BC196">
            <w:pPr>
              <w:pStyle w:val="179"/>
              <w:widowControl w:val="0"/>
            </w:pPr>
            <w:r>
              <w:t>3.6</w:t>
            </w:r>
          </w:p>
        </w:tc>
        <w:tc>
          <w:tcPr>
            <w:tcW w:w="644" w:type="dxa"/>
            <w:vAlign w:val="center"/>
          </w:tcPr>
          <w:p w14:paraId="0BE93E8D">
            <w:pPr>
              <w:pStyle w:val="179"/>
              <w:widowControl w:val="0"/>
            </w:pPr>
            <w:r>
              <w:t>-9.8</w:t>
            </w:r>
          </w:p>
        </w:tc>
        <w:tc>
          <w:tcPr>
            <w:tcW w:w="648" w:type="dxa"/>
            <w:vAlign w:val="center"/>
          </w:tcPr>
          <w:p w14:paraId="1B1FA1D0">
            <w:pPr>
              <w:pStyle w:val="179"/>
              <w:widowControl w:val="0"/>
            </w:pPr>
            <w:r>
              <w:t>-20.9</w:t>
            </w:r>
          </w:p>
        </w:tc>
      </w:tr>
    </w:tbl>
    <w:p w14:paraId="6886962C">
      <w:pPr>
        <w:pStyle w:val="178"/>
      </w:pPr>
      <w:r>
        <w:rPr>
          <w:rFonts w:hint="eastAsia"/>
        </w:rPr>
        <w:drawing>
          <wp:inline distT="0" distB="0" distL="0" distR="0">
            <wp:extent cx="4163695" cy="2879725"/>
            <wp:effectExtent l="19050" t="0" r="8005" b="0"/>
            <wp:docPr id="2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6"/>
                    <pic:cNvPicPr>
                      <a:picLocks noChangeAspect="1" noChangeArrowheads="1"/>
                    </pic:cNvPicPr>
                  </pic:nvPicPr>
                  <pic:blipFill>
                    <a:blip r:embed="rId60"/>
                    <a:srcRect/>
                    <a:stretch>
                      <a:fillRect/>
                    </a:stretch>
                  </pic:blipFill>
                  <pic:spPr>
                    <a:xfrm>
                      <a:off x="0" y="0"/>
                      <a:ext cx="4163945" cy="2880000"/>
                    </a:xfrm>
                    <a:prstGeom prst="rect">
                      <a:avLst/>
                    </a:prstGeom>
                    <a:noFill/>
                    <a:ln w="9525">
                      <a:noFill/>
                      <a:miter lim="800000"/>
                      <a:headEnd/>
                      <a:tailEnd/>
                    </a:ln>
                  </pic:spPr>
                </pic:pic>
              </a:graphicData>
            </a:graphic>
          </wp:inline>
        </w:drawing>
      </w:r>
    </w:p>
    <w:p w14:paraId="214CEFB8">
      <w:pPr>
        <w:pStyle w:val="178"/>
      </w:pPr>
      <w:r>
        <w:rPr>
          <w:rFonts w:hint="eastAsia"/>
        </w:rPr>
        <w:t>图4.1</w:t>
      </w:r>
      <w:r>
        <w:t>-</w:t>
      </w:r>
      <w:r>
        <w:rPr>
          <w:rFonts w:hint="eastAsia"/>
        </w:rPr>
        <w:t>3 嫩江市（</w:t>
      </w:r>
      <w:r>
        <w:t>2005</w:t>
      </w:r>
      <w:r>
        <w:rPr>
          <w:rFonts w:hint="eastAsia"/>
        </w:rPr>
        <w:t>—</w:t>
      </w:r>
      <w:r>
        <w:t xml:space="preserve">2024 </w:t>
      </w:r>
      <w:r>
        <w:rPr>
          <w:rFonts w:hint="eastAsia"/>
        </w:rPr>
        <w:t>年）累年月平均气温变化</w:t>
      </w:r>
    </w:p>
    <w:p w14:paraId="14EEF1C2">
      <w:pPr>
        <w:ind w:firstLine="480"/>
      </w:pPr>
      <w:r>
        <w:rPr>
          <w:rFonts w:hint="eastAsia"/>
        </w:rPr>
        <w:t>（</w:t>
      </w:r>
      <w:r>
        <w:t>2</w:t>
      </w:r>
      <w:r>
        <w:rPr>
          <w:rFonts w:hint="eastAsia"/>
        </w:rPr>
        <w:t>）风速</w:t>
      </w:r>
    </w:p>
    <w:p w14:paraId="4FF4349E">
      <w:pPr>
        <w:ind w:firstLine="480"/>
      </w:pPr>
      <w:r>
        <w:rPr>
          <w:rFonts w:hint="eastAsia"/>
        </w:rPr>
        <w:t>嫩江市多年平均风速统计见表4.1</w:t>
      </w:r>
      <w:r>
        <w:t>-</w:t>
      </w:r>
      <w:r>
        <w:rPr>
          <w:rFonts w:hint="eastAsia"/>
        </w:rPr>
        <w:t>2、图4.1-4，月平均风速</w:t>
      </w:r>
      <w:r>
        <w:t>5</w:t>
      </w:r>
      <w:r>
        <w:rPr>
          <w:rFonts w:hint="eastAsia"/>
        </w:rPr>
        <w:t>月份相对较大为</w:t>
      </w:r>
      <w:r>
        <w:t>4.1m/s</w:t>
      </w:r>
      <w:r>
        <w:rPr>
          <w:rFonts w:hint="eastAsia"/>
        </w:rPr>
        <w:t>，</w:t>
      </w:r>
      <w:r>
        <w:t xml:space="preserve">1 </w:t>
      </w:r>
      <w:r>
        <w:rPr>
          <w:rFonts w:hint="eastAsia"/>
        </w:rPr>
        <w:t>月份相对较小为</w:t>
      </w:r>
      <w:r>
        <w:t>1.7m/s</w:t>
      </w:r>
      <w:r>
        <w:rPr>
          <w:rFonts w:hint="eastAsia"/>
        </w:rPr>
        <w:t>。</w:t>
      </w:r>
    </w:p>
    <w:p w14:paraId="1C9F49DC">
      <w:pPr>
        <w:pStyle w:val="178"/>
        <w:jc w:val="right"/>
      </w:pPr>
      <w:r>
        <w:rPr>
          <w:rFonts w:hint="eastAsia"/>
        </w:rPr>
        <w:t>表4.1</w:t>
      </w:r>
      <w:r>
        <w:t>-</w:t>
      </w:r>
      <w:r>
        <w:rPr>
          <w:rFonts w:hint="eastAsia"/>
        </w:rPr>
        <w:t xml:space="preserve">2 </w:t>
      </w:r>
      <w:r>
        <w:t xml:space="preserve"> 嫩江市（2005—2024 年）年平均风速的月变化单位：m/s</w:t>
      </w:r>
    </w:p>
    <w:tbl>
      <w:tblPr>
        <w:tblStyle w:val="37"/>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57" w:type="dxa"/>
          <w:bottom w:w="0" w:type="dxa"/>
          <w:right w:w="57" w:type="dxa"/>
        </w:tblCellMar>
      </w:tblPr>
      <w:tblGrid>
        <w:gridCol w:w="643"/>
        <w:gridCol w:w="645"/>
        <w:gridCol w:w="645"/>
        <w:gridCol w:w="642"/>
        <w:gridCol w:w="644"/>
        <w:gridCol w:w="644"/>
        <w:gridCol w:w="644"/>
        <w:gridCol w:w="644"/>
        <w:gridCol w:w="644"/>
        <w:gridCol w:w="643"/>
        <w:gridCol w:w="644"/>
        <w:gridCol w:w="644"/>
        <w:gridCol w:w="644"/>
      </w:tblGrid>
      <w:tr w14:paraId="1175188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643" w:type="dxa"/>
            <w:vAlign w:val="center"/>
          </w:tcPr>
          <w:p w14:paraId="61E7DE78">
            <w:pPr>
              <w:pStyle w:val="179"/>
              <w:widowControl w:val="0"/>
            </w:pPr>
            <w:r>
              <w:rPr>
                <w:rFonts w:hint="eastAsia"/>
              </w:rPr>
              <w:t>月份</w:t>
            </w:r>
          </w:p>
        </w:tc>
        <w:tc>
          <w:tcPr>
            <w:tcW w:w="645" w:type="dxa"/>
            <w:vAlign w:val="center"/>
          </w:tcPr>
          <w:p w14:paraId="77F5331F">
            <w:pPr>
              <w:pStyle w:val="179"/>
              <w:widowControl w:val="0"/>
            </w:pPr>
            <w:r>
              <w:t>1</w:t>
            </w:r>
            <w:r>
              <w:rPr>
                <w:rFonts w:hint="eastAsia"/>
              </w:rPr>
              <w:t>月</w:t>
            </w:r>
          </w:p>
        </w:tc>
        <w:tc>
          <w:tcPr>
            <w:tcW w:w="645" w:type="dxa"/>
            <w:vAlign w:val="center"/>
          </w:tcPr>
          <w:p w14:paraId="2246B444">
            <w:pPr>
              <w:pStyle w:val="179"/>
              <w:widowControl w:val="0"/>
            </w:pPr>
            <w:r>
              <w:t>2</w:t>
            </w:r>
            <w:r>
              <w:rPr>
                <w:rFonts w:hint="eastAsia"/>
              </w:rPr>
              <w:t>月</w:t>
            </w:r>
          </w:p>
        </w:tc>
        <w:tc>
          <w:tcPr>
            <w:tcW w:w="642" w:type="dxa"/>
            <w:vAlign w:val="center"/>
          </w:tcPr>
          <w:p w14:paraId="0A9F2941">
            <w:pPr>
              <w:pStyle w:val="179"/>
              <w:widowControl w:val="0"/>
            </w:pPr>
            <w:r>
              <w:t>3</w:t>
            </w:r>
            <w:r>
              <w:rPr>
                <w:rFonts w:hint="eastAsia"/>
              </w:rPr>
              <w:t>月</w:t>
            </w:r>
          </w:p>
        </w:tc>
        <w:tc>
          <w:tcPr>
            <w:tcW w:w="644" w:type="dxa"/>
            <w:vAlign w:val="center"/>
          </w:tcPr>
          <w:p w14:paraId="20094107">
            <w:pPr>
              <w:pStyle w:val="179"/>
              <w:widowControl w:val="0"/>
            </w:pPr>
            <w:r>
              <w:t>4</w:t>
            </w:r>
            <w:r>
              <w:rPr>
                <w:rFonts w:hint="eastAsia"/>
              </w:rPr>
              <w:t>月</w:t>
            </w:r>
          </w:p>
        </w:tc>
        <w:tc>
          <w:tcPr>
            <w:tcW w:w="644" w:type="dxa"/>
            <w:vAlign w:val="center"/>
          </w:tcPr>
          <w:p w14:paraId="6B984B04">
            <w:pPr>
              <w:pStyle w:val="179"/>
              <w:widowControl w:val="0"/>
            </w:pPr>
            <w:r>
              <w:t>5</w:t>
            </w:r>
            <w:r>
              <w:rPr>
                <w:rFonts w:hint="eastAsia"/>
              </w:rPr>
              <w:t>月</w:t>
            </w:r>
          </w:p>
        </w:tc>
        <w:tc>
          <w:tcPr>
            <w:tcW w:w="644" w:type="dxa"/>
            <w:vAlign w:val="center"/>
          </w:tcPr>
          <w:p w14:paraId="06874598">
            <w:pPr>
              <w:pStyle w:val="179"/>
              <w:widowControl w:val="0"/>
            </w:pPr>
            <w:r>
              <w:t>6</w:t>
            </w:r>
            <w:r>
              <w:rPr>
                <w:rFonts w:hint="eastAsia"/>
              </w:rPr>
              <w:t>月</w:t>
            </w:r>
          </w:p>
        </w:tc>
        <w:tc>
          <w:tcPr>
            <w:tcW w:w="644" w:type="dxa"/>
            <w:vAlign w:val="center"/>
          </w:tcPr>
          <w:p w14:paraId="3112E467">
            <w:pPr>
              <w:pStyle w:val="179"/>
              <w:widowControl w:val="0"/>
            </w:pPr>
            <w:r>
              <w:t>7</w:t>
            </w:r>
            <w:r>
              <w:rPr>
                <w:rFonts w:hint="eastAsia"/>
              </w:rPr>
              <w:t>月</w:t>
            </w:r>
          </w:p>
        </w:tc>
        <w:tc>
          <w:tcPr>
            <w:tcW w:w="644" w:type="dxa"/>
            <w:vAlign w:val="center"/>
          </w:tcPr>
          <w:p w14:paraId="4690354B">
            <w:pPr>
              <w:pStyle w:val="179"/>
              <w:widowControl w:val="0"/>
            </w:pPr>
            <w:r>
              <w:t>8</w:t>
            </w:r>
            <w:r>
              <w:rPr>
                <w:rFonts w:hint="eastAsia"/>
              </w:rPr>
              <w:t>月</w:t>
            </w:r>
          </w:p>
        </w:tc>
        <w:tc>
          <w:tcPr>
            <w:tcW w:w="643" w:type="dxa"/>
            <w:vAlign w:val="center"/>
          </w:tcPr>
          <w:p w14:paraId="4FE74DBB">
            <w:pPr>
              <w:pStyle w:val="179"/>
              <w:widowControl w:val="0"/>
            </w:pPr>
            <w:r>
              <w:t>9</w:t>
            </w:r>
            <w:r>
              <w:rPr>
                <w:rFonts w:hint="eastAsia"/>
              </w:rPr>
              <w:t>月</w:t>
            </w:r>
          </w:p>
        </w:tc>
        <w:tc>
          <w:tcPr>
            <w:tcW w:w="644" w:type="dxa"/>
            <w:vAlign w:val="center"/>
          </w:tcPr>
          <w:p w14:paraId="281AE470">
            <w:pPr>
              <w:pStyle w:val="179"/>
              <w:widowControl w:val="0"/>
            </w:pPr>
            <w:r>
              <w:t>10</w:t>
            </w:r>
            <w:r>
              <w:rPr>
                <w:rFonts w:hint="eastAsia"/>
              </w:rPr>
              <w:t>月</w:t>
            </w:r>
          </w:p>
        </w:tc>
        <w:tc>
          <w:tcPr>
            <w:tcW w:w="644" w:type="dxa"/>
            <w:vAlign w:val="center"/>
          </w:tcPr>
          <w:p w14:paraId="1D9F7310">
            <w:pPr>
              <w:pStyle w:val="179"/>
              <w:widowControl w:val="0"/>
            </w:pPr>
            <w:r>
              <w:t>11</w:t>
            </w:r>
            <w:r>
              <w:rPr>
                <w:rFonts w:hint="eastAsia"/>
              </w:rPr>
              <w:t>月</w:t>
            </w:r>
          </w:p>
        </w:tc>
        <w:tc>
          <w:tcPr>
            <w:tcW w:w="644" w:type="dxa"/>
            <w:vAlign w:val="center"/>
          </w:tcPr>
          <w:p w14:paraId="46ACBC04">
            <w:pPr>
              <w:pStyle w:val="179"/>
              <w:widowControl w:val="0"/>
            </w:pPr>
            <w:r>
              <w:t>12</w:t>
            </w:r>
            <w:r>
              <w:rPr>
                <w:rFonts w:hint="eastAsia"/>
              </w:rPr>
              <w:t>月</w:t>
            </w:r>
          </w:p>
        </w:tc>
      </w:tr>
      <w:tr w14:paraId="7A35489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643" w:type="dxa"/>
            <w:vAlign w:val="center"/>
          </w:tcPr>
          <w:p w14:paraId="5CA7A50A">
            <w:pPr>
              <w:pStyle w:val="179"/>
              <w:widowControl w:val="0"/>
            </w:pPr>
            <w:r>
              <w:rPr>
                <w:rFonts w:hint="eastAsia"/>
              </w:rPr>
              <w:t>风速</w:t>
            </w:r>
          </w:p>
        </w:tc>
        <w:tc>
          <w:tcPr>
            <w:tcW w:w="645" w:type="dxa"/>
            <w:vAlign w:val="center"/>
          </w:tcPr>
          <w:p w14:paraId="2D433E32">
            <w:pPr>
              <w:pStyle w:val="179"/>
              <w:widowControl w:val="0"/>
            </w:pPr>
            <w:r>
              <w:t>1.7</w:t>
            </w:r>
          </w:p>
        </w:tc>
        <w:tc>
          <w:tcPr>
            <w:tcW w:w="645" w:type="dxa"/>
            <w:vAlign w:val="center"/>
          </w:tcPr>
          <w:p w14:paraId="20FE2FF1">
            <w:pPr>
              <w:pStyle w:val="179"/>
              <w:widowControl w:val="0"/>
            </w:pPr>
            <w:r>
              <w:t>2.1</w:t>
            </w:r>
          </w:p>
        </w:tc>
        <w:tc>
          <w:tcPr>
            <w:tcW w:w="642" w:type="dxa"/>
            <w:vAlign w:val="center"/>
          </w:tcPr>
          <w:p w14:paraId="0EFE66B8">
            <w:pPr>
              <w:pStyle w:val="179"/>
              <w:widowControl w:val="0"/>
            </w:pPr>
            <w:r>
              <w:t>3</w:t>
            </w:r>
          </w:p>
        </w:tc>
        <w:tc>
          <w:tcPr>
            <w:tcW w:w="644" w:type="dxa"/>
            <w:vAlign w:val="center"/>
          </w:tcPr>
          <w:p w14:paraId="72F66AFC">
            <w:pPr>
              <w:pStyle w:val="179"/>
              <w:widowControl w:val="0"/>
            </w:pPr>
            <w:r>
              <w:t>3.9</w:t>
            </w:r>
          </w:p>
        </w:tc>
        <w:tc>
          <w:tcPr>
            <w:tcW w:w="644" w:type="dxa"/>
            <w:vAlign w:val="center"/>
          </w:tcPr>
          <w:p w14:paraId="53982D1B">
            <w:pPr>
              <w:pStyle w:val="179"/>
              <w:widowControl w:val="0"/>
            </w:pPr>
            <w:r>
              <w:t>4.1</w:t>
            </w:r>
          </w:p>
        </w:tc>
        <w:tc>
          <w:tcPr>
            <w:tcW w:w="644" w:type="dxa"/>
            <w:vAlign w:val="center"/>
          </w:tcPr>
          <w:p w14:paraId="0B7688F8">
            <w:pPr>
              <w:pStyle w:val="179"/>
              <w:widowControl w:val="0"/>
            </w:pPr>
            <w:r>
              <w:t>3.2</w:t>
            </w:r>
          </w:p>
        </w:tc>
        <w:tc>
          <w:tcPr>
            <w:tcW w:w="644" w:type="dxa"/>
            <w:vAlign w:val="center"/>
          </w:tcPr>
          <w:p w14:paraId="42A6166D">
            <w:pPr>
              <w:pStyle w:val="179"/>
              <w:widowControl w:val="0"/>
            </w:pPr>
            <w:r>
              <w:t>2.8</w:t>
            </w:r>
          </w:p>
        </w:tc>
        <w:tc>
          <w:tcPr>
            <w:tcW w:w="644" w:type="dxa"/>
            <w:vAlign w:val="center"/>
          </w:tcPr>
          <w:p w14:paraId="30D77D5D">
            <w:pPr>
              <w:pStyle w:val="179"/>
              <w:widowControl w:val="0"/>
            </w:pPr>
            <w:r>
              <w:t>2.8</w:t>
            </w:r>
          </w:p>
        </w:tc>
        <w:tc>
          <w:tcPr>
            <w:tcW w:w="643" w:type="dxa"/>
            <w:vAlign w:val="center"/>
          </w:tcPr>
          <w:p w14:paraId="108280CF">
            <w:pPr>
              <w:pStyle w:val="179"/>
              <w:widowControl w:val="0"/>
            </w:pPr>
            <w:r>
              <w:t>3</w:t>
            </w:r>
          </w:p>
        </w:tc>
        <w:tc>
          <w:tcPr>
            <w:tcW w:w="644" w:type="dxa"/>
            <w:vAlign w:val="center"/>
          </w:tcPr>
          <w:p w14:paraId="79E3E34B">
            <w:pPr>
              <w:pStyle w:val="179"/>
              <w:widowControl w:val="0"/>
            </w:pPr>
            <w:r>
              <w:t>3.1</w:t>
            </w:r>
          </w:p>
        </w:tc>
        <w:tc>
          <w:tcPr>
            <w:tcW w:w="644" w:type="dxa"/>
            <w:vAlign w:val="center"/>
          </w:tcPr>
          <w:p w14:paraId="3D040B7D">
            <w:pPr>
              <w:pStyle w:val="179"/>
              <w:widowControl w:val="0"/>
            </w:pPr>
            <w:r>
              <w:t>2.6</w:t>
            </w:r>
          </w:p>
        </w:tc>
        <w:tc>
          <w:tcPr>
            <w:tcW w:w="644" w:type="dxa"/>
            <w:vAlign w:val="center"/>
          </w:tcPr>
          <w:p w14:paraId="7F16E894">
            <w:pPr>
              <w:pStyle w:val="179"/>
              <w:widowControl w:val="0"/>
            </w:pPr>
            <w:r>
              <w:t>1.9</w:t>
            </w:r>
          </w:p>
        </w:tc>
      </w:tr>
    </w:tbl>
    <w:p w14:paraId="5543A5BA">
      <w:pPr>
        <w:pStyle w:val="178"/>
      </w:pPr>
      <w:r>
        <w:rPr>
          <w:rFonts w:hint="eastAsia"/>
        </w:rPr>
        <w:drawing>
          <wp:inline distT="0" distB="0" distL="0" distR="0">
            <wp:extent cx="4248150" cy="2879725"/>
            <wp:effectExtent l="19050" t="0" r="0" b="0"/>
            <wp:docPr id="4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9"/>
                    <pic:cNvPicPr>
                      <a:picLocks noChangeAspect="1" noChangeArrowheads="1"/>
                    </pic:cNvPicPr>
                  </pic:nvPicPr>
                  <pic:blipFill>
                    <a:blip r:embed="rId61"/>
                    <a:srcRect/>
                    <a:stretch>
                      <a:fillRect/>
                    </a:stretch>
                  </pic:blipFill>
                  <pic:spPr>
                    <a:xfrm>
                      <a:off x="0" y="0"/>
                      <a:ext cx="4248393" cy="2880000"/>
                    </a:xfrm>
                    <a:prstGeom prst="rect">
                      <a:avLst/>
                    </a:prstGeom>
                    <a:noFill/>
                    <a:ln w="9525">
                      <a:noFill/>
                      <a:miter lim="800000"/>
                      <a:headEnd/>
                      <a:tailEnd/>
                    </a:ln>
                  </pic:spPr>
                </pic:pic>
              </a:graphicData>
            </a:graphic>
          </wp:inline>
        </w:drawing>
      </w:r>
    </w:p>
    <w:p w14:paraId="30739BB2">
      <w:pPr>
        <w:pStyle w:val="178"/>
      </w:pPr>
      <w:r>
        <w:rPr>
          <w:rFonts w:hint="eastAsia"/>
        </w:rPr>
        <w:t>图4.1-4 嫩江市（</w:t>
      </w:r>
      <w:r>
        <w:t>2005</w:t>
      </w:r>
      <w:r>
        <w:rPr>
          <w:rFonts w:hint="eastAsia"/>
        </w:rPr>
        <w:t>—</w:t>
      </w:r>
      <w:r>
        <w:t xml:space="preserve">2024 </w:t>
      </w:r>
      <w:r>
        <w:rPr>
          <w:rFonts w:hint="eastAsia"/>
        </w:rPr>
        <w:t>年）累年月平均风速变化</w:t>
      </w:r>
    </w:p>
    <w:p w14:paraId="2FBE51C4">
      <w:pPr>
        <w:ind w:firstLine="480"/>
      </w:pPr>
      <w:r>
        <w:t>（</w:t>
      </w:r>
      <w:r>
        <w:rPr>
          <w:rFonts w:hint="eastAsia"/>
        </w:rPr>
        <w:t>3</w:t>
      </w:r>
      <w:r>
        <w:t>）</w:t>
      </w:r>
      <w:r>
        <w:rPr>
          <w:rFonts w:hint="eastAsia"/>
        </w:rPr>
        <w:t>风频</w:t>
      </w:r>
    </w:p>
    <w:p w14:paraId="5AE68850">
      <w:pPr>
        <w:ind w:firstLine="480"/>
        <w:sectPr>
          <w:headerReference r:id="rId19" w:type="default"/>
          <w:pgSz w:w="11850" w:h="16783"/>
          <w:pgMar w:top="1440" w:right="1797" w:bottom="1440" w:left="1797" w:header="851" w:footer="992" w:gutter="0"/>
          <w:cols w:space="720" w:num="1"/>
          <w:docGrid w:linePitch="312" w:charSpace="0"/>
        </w:sectPr>
      </w:pPr>
      <w:r>
        <w:rPr>
          <w:rFonts w:hint="eastAsia"/>
        </w:rPr>
        <w:t>嫩江市累年风频最多的是</w:t>
      </w:r>
      <w:r>
        <w:t>SW</w:t>
      </w:r>
      <w:r>
        <w:rPr>
          <w:rFonts w:hint="eastAsia"/>
        </w:rPr>
        <w:t>，频率为</w:t>
      </w:r>
      <w:r>
        <w:t>9.37%</w:t>
      </w:r>
      <w:r>
        <w:rPr>
          <w:rFonts w:hint="eastAsia"/>
        </w:rPr>
        <w:t>；其次是</w:t>
      </w:r>
      <w:r>
        <w:t>SSW</w:t>
      </w:r>
      <w:r>
        <w:rPr>
          <w:rFonts w:hint="eastAsia"/>
        </w:rPr>
        <w:t>、</w:t>
      </w:r>
      <w:r>
        <w:t>WSW</w:t>
      </w:r>
      <w:r>
        <w:rPr>
          <w:rFonts w:hint="eastAsia"/>
        </w:rPr>
        <w:t>，频率为</w:t>
      </w:r>
      <w:r>
        <w:t>8.91%</w:t>
      </w:r>
      <w:r>
        <w:rPr>
          <w:rFonts w:hint="eastAsia"/>
        </w:rPr>
        <w:t>、</w:t>
      </w:r>
      <w:r>
        <w:t>8.08%</w:t>
      </w:r>
      <w:r>
        <w:rPr>
          <w:rFonts w:hint="eastAsia"/>
        </w:rPr>
        <w:t>；</w:t>
      </w:r>
      <w:r>
        <w:t xml:space="preserve">ENE </w:t>
      </w:r>
      <w:r>
        <w:rPr>
          <w:rFonts w:hint="eastAsia"/>
        </w:rPr>
        <w:t>最少，频率为</w:t>
      </w:r>
      <w:r>
        <w:t>3.335%</w:t>
      </w:r>
      <w:r>
        <w:rPr>
          <w:rFonts w:hint="eastAsia"/>
        </w:rPr>
        <w:t>。嫩江市多年风频统计见表</w:t>
      </w:r>
      <w:r>
        <w:t>3-1-6</w:t>
      </w:r>
      <w:r>
        <w:rPr>
          <w:rFonts w:hint="eastAsia"/>
        </w:rPr>
        <w:t>，图4.1-3。</w:t>
      </w:r>
    </w:p>
    <w:p w14:paraId="770AECD0">
      <w:pPr>
        <w:ind w:firstLine="480"/>
      </w:pPr>
    </w:p>
    <w:p w14:paraId="0687A2BE">
      <w:pPr>
        <w:pStyle w:val="178"/>
      </w:pPr>
      <w:r>
        <w:rPr>
          <w:rFonts w:hint="eastAsia"/>
        </w:rPr>
        <w:t>表4.1-3 嫩江市（</w:t>
      </w:r>
      <w:r>
        <w:t>2005</w:t>
      </w:r>
      <w:r>
        <w:rPr>
          <w:rFonts w:hint="eastAsia"/>
        </w:rPr>
        <w:t>—</w:t>
      </w:r>
      <w:r>
        <w:t xml:space="preserve">2024 </w:t>
      </w:r>
      <w:r>
        <w:rPr>
          <w:rFonts w:hint="eastAsia"/>
        </w:rPr>
        <w:t>年）多年风向频率表（</w:t>
      </w:r>
      <w:r>
        <w:t>%</w:t>
      </w:r>
      <w:r>
        <w:rPr>
          <w:rFonts w:hint="eastAsia"/>
        </w:rPr>
        <w:t>）</w:t>
      </w:r>
    </w:p>
    <w:tbl>
      <w:tblPr>
        <w:tblStyle w:val="37"/>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57" w:type="dxa"/>
          <w:bottom w:w="0" w:type="dxa"/>
          <w:right w:w="57" w:type="dxa"/>
        </w:tblCellMar>
      </w:tblPr>
      <w:tblGrid>
        <w:gridCol w:w="778"/>
        <w:gridCol w:w="779"/>
        <w:gridCol w:w="779"/>
        <w:gridCol w:w="778"/>
        <w:gridCol w:w="779"/>
        <w:gridCol w:w="779"/>
        <w:gridCol w:w="779"/>
        <w:gridCol w:w="778"/>
        <w:gridCol w:w="779"/>
        <w:gridCol w:w="779"/>
        <w:gridCol w:w="778"/>
        <w:gridCol w:w="779"/>
        <w:gridCol w:w="779"/>
        <w:gridCol w:w="779"/>
        <w:gridCol w:w="778"/>
        <w:gridCol w:w="779"/>
        <w:gridCol w:w="779"/>
        <w:gridCol w:w="779"/>
      </w:tblGrid>
      <w:tr w14:paraId="2DC3412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778" w:type="dxa"/>
            <w:vAlign w:val="center"/>
          </w:tcPr>
          <w:p w14:paraId="38203E15">
            <w:pPr>
              <w:pStyle w:val="179"/>
              <w:widowControl w:val="0"/>
            </w:pPr>
            <w:r>
              <w:rPr>
                <w:rFonts w:hint="eastAsia"/>
              </w:rPr>
              <w:t>风向</w:t>
            </w:r>
          </w:p>
          <w:p w14:paraId="75AED415">
            <w:pPr>
              <w:pStyle w:val="179"/>
              <w:widowControl w:val="0"/>
            </w:pPr>
            <w:r>
              <w:rPr>
                <w:rFonts w:hint="eastAsia"/>
              </w:rPr>
              <w:t>频率</w:t>
            </w:r>
          </w:p>
        </w:tc>
        <w:tc>
          <w:tcPr>
            <w:tcW w:w="779" w:type="dxa"/>
            <w:vAlign w:val="center"/>
          </w:tcPr>
          <w:p w14:paraId="5A2DF39F">
            <w:pPr>
              <w:pStyle w:val="179"/>
              <w:widowControl w:val="0"/>
            </w:pPr>
            <w:r>
              <w:t>N</w:t>
            </w:r>
          </w:p>
        </w:tc>
        <w:tc>
          <w:tcPr>
            <w:tcW w:w="779" w:type="dxa"/>
            <w:vAlign w:val="center"/>
          </w:tcPr>
          <w:p w14:paraId="5EBBB746">
            <w:pPr>
              <w:pStyle w:val="179"/>
              <w:widowControl w:val="0"/>
            </w:pPr>
            <w:r>
              <w:t>NNE</w:t>
            </w:r>
          </w:p>
        </w:tc>
        <w:tc>
          <w:tcPr>
            <w:tcW w:w="778" w:type="dxa"/>
            <w:vAlign w:val="center"/>
          </w:tcPr>
          <w:p w14:paraId="3672CDCE">
            <w:pPr>
              <w:pStyle w:val="179"/>
              <w:widowControl w:val="0"/>
            </w:pPr>
            <w:r>
              <w:t>NE</w:t>
            </w:r>
          </w:p>
        </w:tc>
        <w:tc>
          <w:tcPr>
            <w:tcW w:w="779" w:type="dxa"/>
            <w:vAlign w:val="center"/>
          </w:tcPr>
          <w:p w14:paraId="567FB238">
            <w:pPr>
              <w:pStyle w:val="179"/>
              <w:widowControl w:val="0"/>
            </w:pPr>
            <w:r>
              <w:t>ENE</w:t>
            </w:r>
          </w:p>
        </w:tc>
        <w:tc>
          <w:tcPr>
            <w:tcW w:w="779" w:type="dxa"/>
            <w:vAlign w:val="center"/>
          </w:tcPr>
          <w:p w14:paraId="095ADA5C">
            <w:pPr>
              <w:pStyle w:val="179"/>
              <w:widowControl w:val="0"/>
            </w:pPr>
            <w:r>
              <w:t>E</w:t>
            </w:r>
          </w:p>
        </w:tc>
        <w:tc>
          <w:tcPr>
            <w:tcW w:w="779" w:type="dxa"/>
            <w:vAlign w:val="center"/>
          </w:tcPr>
          <w:p w14:paraId="7657FABC">
            <w:pPr>
              <w:pStyle w:val="179"/>
              <w:widowControl w:val="0"/>
            </w:pPr>
            <w:r>
              <w:t>ESE</w:t>
            </w:r>
          </w:p>
        </w:tc>
        <w:tc>
          <w:tcPr>
            <w:tcW w:w="778" w:type="dxa"/>
            <w:vAlign w:val="center"/>
          </w:tcPr>
          <w:p w14:paraId="65D742C1">
            <w:pPr>
              <w:pStyle w:val="179"/>
              <w:widowControl w:val="0"/>
            </w:pPr>
            <w:r>
              <w:t>SE</w:t>
            </w:r>
          </w:p>
        </w:tc>
        <w:tc>
          <w:tcPr>
            <w:tcW w:w="779" w:type="dxa"/>
            <w:vAlign w:val="center"/>
          </w:tcPr>
          <w:p w14:paraId="002E7345">
            <w:pPr>
              <w:pStyle w:val="179"/>
              <w:widowControl w:val="0"/>
            </w:pPr>
            <w:r>
              <w:t>SSE</w:t>
            </w:r>
          </w:p>
        </w:tc>
        <w:tc>
          <w:tcPr>
            <w:tcW w:w="779" w:type="dxa"/>
            <w:vAlign w:val="center"/>
          </w:tcPr>
          <w:p w14:paraId="6ECFD62D">
            <w:pPr>
              <w:pStyle w:val="179"/>
              <w:widowControl w:val="0"/>
            </w:pPr>
            <w:r>
              <w:t>S</w:t>
            </w:r>
          </w:p>
        </w:tc>
        <w:tc>
          <w:tcPr>
            <w:tcW w:w="778" w:type="dxa"/>
            <w:vAlign w:val="center"/>
          </w:tcPr>
          <w:p w14:paraId="1C0A5087">
            <w:pPr>
              <w:pStyle w:val="179"/>
              <w:widowControl w:val="0"/>
            </w:pPr>
            <w:r>
              <w:t>SSW</w:t>
            </w:r>
          </w:p>
        </w:tc>
        <w:tc>
          <w:tcPr>
            <w:tcW w:w="779" w:type="dxa"/>
            <w:vAlign w:val="center"/>
          </w:tcPr>
          <w:p w14:paraId="4699AF73">
            <w:pPr>
              <w:pStyle w:val="179"/>
              <w:widowControl w:val="0"/>
            </w:pPr>
            <w:r>
              <w:t>SW</w:t>
            </w:r>
          </w:p>
        </w:tc>
        <w:tc>
          <w:tcPr>
            <w:tcW w:w="779" w:type="dxa"/>
            <w:vAlign w:val="center"/>
          </w:tcPr>
          <w:p w14:paraId="366E33D3">
            <w:pPr>
              <w:pStyle w:val="179"/>
              <w:widowControl w:val="0"/>
            </w:pPr>
            <w:r>
              <w:t>WSW</w:t>
            </w:r>
          </w:p>
        </w:tc>
        <w:tc>
          <w:tcPr>
            <w:tcW w:w="779" w:type="dxa"/>
            <w:vAlign w:val="center"/>
          </w:tcPr>
          <w:p w14:paraId="710A14FB">
            <w:pPr>
              <w:pStyle w:val="179"/>
              <w:widowControl w:val="0"/>
            </w:pPr>
            <w:r>
              <w:t>W</w:t>
            </w:r>
          </w:p>
        </w:tc>
        <w:tc>
          <w:tcPr>
            <w:tcW w:w="778" w:type="dxa"/>
            <w:vAlign w:val="center"/>
          </w:tcPr>
          <w:p w14:paraId="711C7AD7">
            <w:pPr>
              <w:pStyle w:val="179"/>
              <w:widowControl w:val="0"/>
            </w:pPr>
            <w:r>
              <w:t>WNW</w:t>
            </w:r>
          </w:p>
        </w:tc>
        <w:tc>
          <w:tcPr>
            <w:tcW w:w="779" w:type="dxa"/>
            <w:vAlign w:val="center"/>
          </w:tcPr>
          <w:p w14:paraId="1CE0FFAB">
            <w:pPr>
              <w:pStyle w:val="179"/>
              <w:widowControl w:val="0"/>
            </w:pPr>
            <w:r>
              <w:t>NW</w:t>
            </w:r>
          </w:p>
        </w:tc>
        <w:tc>
          <w:tcPr>
            <w:tcW w:w="779" w:type="dxa"/>
            <w:vAlign w:val="center"/>
          </w:tcPr>
          <w:p w14:paraId="20E878B8">
            <w:pPr>
              <w:pStyle w:val="179"/>
              <w:widowControl w:val="0"/>
            </w:pPr>
            <w:r>
              <w:t>NNW</w:t>
            </w:r>
          </w:p>
        </w:tc>
        <w:tc>
          <w:tcPr>
            <w:tcW w:w="779" w:type="dxa"/>
            <w:vAlign w:val="center"/>
          </w:tcPr>
          <w:p w14:paraId="24CAA3D9">
            <w:pPr>
              <w:pStyle w:val="179"/>
              <w:widowControl w:val="0"/>
            </w:pPr>
            <w:r>
              <w:t>C</w:t>
            </w:r>
          </w:p>
        </w:tc>
      </w:tr>
      <w:tr w14:paraId="6995080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778" w:type="dxa"/>
            <w:vAlign w:val="center"/>
          </w:tcPr>
          <w:p w14:paraId="09D32809">
            <w:pPr>
              <w:pStyle w:val="179"/>
              <w:widowControl w:val="0"/>
            </w:pPr>
            <w:r>
              <w:t>1</w:t>
            </w:r>
          </w:p>
        </w:tc>
        <w:tc>
          <w:tcPr>
            <w:tcW w:w="779" w:type="dxa"/>
            <w:vAlign w:val="center"/>
          </w:tcPr>
          <w:p w14:paraId="35879E9B">
            <w:pPr>
              <w:pStyle w:val="179"/>
              <w:widowControl w:val="0"/>
            </w:pPr>
            <w:r>
              <w:t>4.5</w:t>
            </w:r>
          </w:p>
        </w:tc>
        <w:tc>
          <w:tcPr>
            <w:tcW w:w="779" w:type="dxa"/>
            <w:vAlign w:val="center"/>
          </w:tcPr>
          <w:p w14:paraId="677A1B1D">
            <w:pPr>
              <w:pStyle w:val="179"/>
              <w:widowControl w:val="0"/>
            </w:pPr>
            <w:r>
              <w:t>5.9</w:t>
            </w:r>
          </w:p>
        </w:tc>
        <w:tc>
          <w:tcPr>
            <w:tcW w:w="778" w:type="dxa"/>
            <w:vAlign w:val="center"/>
          </w:tcPr>
          <w:p w14:paraId="56C3E43A">
            <w:pPr>
              <w:pStyle w:val="179"/>
              <w:widowControl w:val="0"/>
            </w:pPr>
            <w:r>
              <w:t>6.4</w:t>
            </w:r>
          </w:p>
        </w:tc>
        <w:tc>
          <w:tcPr>
            <w:tcW w:w="779" w:type="dxa"/>
            <w:vAlign w:val="center"/>
          </w:tcPr>
          <w:p w14:paraId="54C8548A">
            <w:pPr>
              <w:pStyle w:val="179"/>
              <w:widowControl w:val="0"/>
            </w:pPr>
            <w:r>
              <w:t>3.8</w:t>
            </w:r>
          </w:p>
        </w:tc>
        <w:tc>
          <w:tcPr>
            <w:tcW w:w="779" w:type="dxa"/>
            <w:vAlign w:val="center"/>
          </w:tcPr>
          <w:p w14:paraId="240D1DF9">
            <w:pPr>
              <w:pStyle w:val="179"/>
              <w:widowControl w:val="0"/>
            </w:pPr>
            <w:r>
              <w:t>3.7</w:t>
            </w:r>
          </w:p>
        </w:tc>
        <w:tc>
          <w:tcPr>
            <w:tcW w:w="779" w:type="dxa"/>
            <w:vAlign w:val="center"/>
          </w:tcPr>
          <w:p w14:paraId="00497D57">
            <w:pPr>
              <w:pStyle w:val="179"/>
              <w:widowControl w:val="0"/>
            </w:pPr>
            <w:r>
              <w:t>4.6</w:t>
            </w:r>
          </w:p>
        </w:tc>
        <w:tc>
          <w:tcPr>
            <w:tcW w:w="778" w:type="dxa"/>
            <w:vAlign w:val="center"/>
          </w:tcPr>
          <w:p w14:paraId="4A036D9D">
            <w:pPr>
              <w:pStyle w:val="179"/>
              <w:widowControl w:val="0"/>
            </w:pPr>
            <w:r>
              <w:t>5.2</w:t>
            </w:r>
          </w:p>
        </w:tc>
        <w:tc>
          <w:tcPr>
            <w:tcW w:w="779" w:type="dxa"/>
            <w:vAlign w:val="center"/>
          </w:tcPr>
          <w:p w14:paraId="3C63DB2F">
            <w:pPr>
              <w:pStyle w:val="179"/>
              <w:widowControl w:val="0"/>
            </w:pPr>
            <w:r>
              <w:t>4.8</w:t>
            </w:r>
          </w:p>
        </w:tc>
        <w:tc>
          <w:tcPr>
            <w:tcW w:w="779" w:type="dxa"/>
            <w:vAlign w:val="center"/>
          </w:tcPr>
          <w:p w14:paraId="2CB3C214">
            <w:pPr>
              <w:pStyle w:val="179"/>
              <w:widowControl w:val="0"/>
            </w:pPr>
            <w:r>
              <w:t>5.2</w:t>
            </w:r>
          </w:p>
        </w:tc>
        <w:tc>
          <w:tcPr>
            <w:tcW w:w="778" w:type="dxa"/>
            <w:vAlign w:val="center"/>
          </w:tcPr>
          <w:p w14:paraId="3F0FEF27">
            <w:pPr>
              <w:pStyle w:val="179"/>
              <w:widowControl w:val="0"/>
            </w:pPr>
            <w:r>
              <w:t>6.1</w:t>
            </w:r>
          </w:p>
        </w:tc>
        <w:tc>
          <w:tcPr>
            <w:tcW w:w="779" w:type="dxa"/>
            <w:vAlign w:val="center"/>
          </w:tcPr>
          <w:p w14:paraId="68ECBDB5">
            <w:pPr>
              <w:pStyle w:val="179"/>
              <w:widowControl w:val="0"/>
            </w:pPr>
            <w:r>
              <w:t>10.5</w:t>
            </w:r>
          </w:p>
        </w:tc>
        <w:tc>
          <w:tcPr>
            <w:tcW w:w="779" w:type="dxa"/>
            <w:vAlign w:val="center"/>
          </w:tcPr>
          <w:p w14:paraId="702BF4D4">
            <w:pPr>
              <w:pStyle w:val="179"/>
              <w:widowControl w:val="0"/>
            </w:pPr>
            <w:r>
              <w:t>10.9</w:t>
            </w:r>
          </w:p>
        </w:tc>
        <w:tc>
          <w:tcPr>
            <w:tcW w:w="779" w:type="dxa"/>
            <w:vAlign w:val="center"/>
          </w:tcPr>
          <w:p w14:paraId="09858BF5">
            <w:pPr>
              <w:pStyle w:val="179"/>
              <w:widowControl w:val="0"/>
            </w:pPr>
            <w:r>
              <w:t>7</w:t>
            </w:r>
          </w:p>
        </w:tc>
        <w:tc>
          <w:tcPr>
            <w:tcW w:w="778" w:type="dxa"/>
            <w:vAlign w:val="center"/>
          </w:tcPr>
          <w:p w14:paraId="2212822C">
            <w:pPr>
              <w:pStyle w:val="179"/>
              <w:widowControl w:val="0"/>
            </w:pPr>
            <w:r>
              <w:t>3.5</w:t>
            </w:r>
          </w:p>
        </w:tc>
        <w:tc>
          <w:tcPr>
            <w:tcW w:w="779" w:type="dxa"/>
            <w:vAlign w:val="center"/>
          </w:tcPr>
          <w:p w14:paraId="3BF832F2">
            <w:pPr>
              <w:pStyle w:val="179"/>
              <w:widowControl w:val="0"/>
            </w:pPr>
            <w:r>
              <w:t>3.4</w:t>
            </w:r>
          </w:p>
        </w:tc>
        <w:tc>
          <w:tcPr>
            <w:tcW w:w="779" w:type="dxa"/>
            <w:vAlign w:val="center"/>
          </w:tcPr>
          <w:p w14:paraId="558DCFA9">
            <w:pPr>
              <w:pStyle w:val="179"/>
              <w:widowControl w:val="0"/>
            </w:pPr>
            <w:r>
              <w:t>4.2</w:t>
            </w:r>
          </w:p>
        </w:tc>
        <w:tc>
          <w:tcPr>
            <w:tcW w:w="779" w:type="dxa"/>
            <w:vAlign w:val="center"/>
          </w:tcPr>
          <w:p w14:paraId="75B63547">
            <w:pPr>
              <w:pStyle w:val="179"/>
              <w:widowControl w:val="0"/>
            </w:pPr>
            <w:r>
              <w:t>9.8</w:t>
            </w:r>
          </w:p>
        </w:tc>
      </w:tr>
      <w:tr w14:paraId="38CEBBC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778" w:type="dxa"/>
            <w:vAlign w:val="center"/>
          </w:tcPr>
          <w:p w14:paraId="789641CE">
            <w:pPr>
              <w:pStyle w:val="179"/>
              <w:widowControl w:val="0"/>
            </w:pPr>
            <w:r>
              <w:t>2</w:t>
            </w:r>
          </w:p>
        </w:tc>
        <w:tc>
          <w:tcPr>
            <w:tcW w:w="779" w:type="dxa"/>
            <w:vAlign w:val="center"/>
          </w:tcPr>
          <w:p w14:paraId="5C6FB723">
            <w:pPr>
              <w:pStyle w:val="179"/>
              <w:widowControl w:val="0"/>
            </w:pPr>
            <w:r>
              <w:t>4.4</w:t>
            </w:r>
          </w:p>
        </w:tc>
        <w:tc>
          <w:tcPr>
            <w:tcW w:w="779" w:type="dxa"/>
            <w:vAlign w:val="center"/>
          </w:tcPr>
          <w:p w14:paraId="74D9EE18">
            <w:pPr>
              <w:pStyle w:val="179"/>
              <w:widowControl w:val="0"/>
            </w:pPr>
            <w:r>
              <w:t>6.6</w:t>
            </w:r>
          </w:p>
        </w:tc>
        <w:tc>
          <w:tcPr>
            <w:tcW w:w="778" w:type="dxa"/>
            <w:vAlign w:val="center"/>
          </w:tcPr>
          <w:p w14:paraId="69944DA4">
            <w:pPr>
              <w:pStyle w:val="179"/>
              <w:widowControl w:val="0"/>
            </w:pPr>
            <w:r>
              <w:t>4.8</w:t>
            </w:r>
          </w:p>
        </w:tc>
        <w:tc>
          <w:tcPr>
            <w:tcW w:w="779" w:type="dxa"/>
            <w:vAlign w:val="center"/>
          </w:tcPr>
          <w:p w14:paraId="7BE1353F">
            <w:pPr>
              <w:pStyle w:val="179"/>
              <w:widowControl w:val="0"/>
            </w:pPr>
            <w:r>
              <w:t>3.1</w:t>
            </w:r>
          </w:p>
        </w:tc>
        <w:tc>
          <w:tcPr>
            <w:tcW w:w="779" w:type="dxa"/>
            <w:vAlign w:val="center"/>
          </w:tcPr>
          <w:p w14:paraId="54B48AC0">
            <w:pPr>
              <w:pStyle w:val="179"/>
              <w:widowControl w:val="0"/>
            </w:pPr>
            <w:r>
              <w:t>3.6</w:t>
            </w:r>
          </w:p>
        </w:tc>
        <w:tc>
          <w:tcPr>
            <w:tcW w:w="779" w:type="dxa"/>
            <w:vAlign w:val="center"/>
          </w:tcPr>
          <w:p w14:paraId="268485A5">
            <w:pPr>
              <w:pStyle w:val="179"/>
              <w:widowControl w:val="0"/>
            </w:pPr>
            <w:r>
              <w:t>5.4</w:t>
            </w:r>
          </w:p>
        </w:tc>
        <w:tc>
          <w:tcPr>
            <w:tcW w:w="778" w:type="dxa"/>
            <w:vAlign w:val="center"/>
          </w:tcPr>
          <w:p w14:paraId="0814C810">
            <w:pPr>
              <w:pStyle w:val="179"/>
              <w:widowControl w:val="0"/>
            </w:pPr>
            <w:r>
              <w:t>5</w:t>
            </w:r>
          </w:p>
        </w:tc>
        <w:tc>
          <w:tcPr>
            <w:tcW w:w="779" w:type="dxa"/>
            <w:vAlign w:val="center"/>
          </w:tcPr>
          <w:p w14:paraId="67FBE0A6">
            <w:pPr>
              <w:pStyle w:val="179"/>
              <w:widowControl w:val="0"/>
            </w:pPr>
            <w:r>
              <w:t>5</w:t>
            </w:r>
          </w:p>
        </w:tc>
        <w:tc>
          <w:tcPr>
            <w:tcW w:w="779" w:type="dxa"/>
            <w:vAlign w:val="center"/>
          </w:tcPr>
          <w:p w14:paraId="415CB0C9">
            <w:pPr>
              <w:pStyle w:val="179"/>
              <w:widowControl w:val="0"/>
            </w:pPr>
            <w:r>
              <w:t>6.4</w:t>
            </w:r>
          </w:p>
        </w:tc>
        <w:tc>
          <w:tcPr>
            <w:tcW w:w="778" w:type="dxa"/>
            <w:vAlign w:val="center"/>
          </w:tcPr>
          <w:p w14:paraId="65278CCF">
            <w:pPr>
              <w:pStyle w:val="179"/>
              <w:widowControl w:val="0"/>
            </w:pPr>
            <w:r>
              <w:t>9.1</w:t>
            </w:r>
          </w:p>
        </w:tc>
        <w:tc>
          <w:tcPr>
            <w:tcW w:w="779" w:type="dxa"/>
            <w:vAlign w:val="center"/>
          </w:tcPr>
          <w:p w14:paraId="533F7112">
            <w:pPr>
              <w:pStyle w:val="179"/>
              <w:widowControl w:val="0"/>
            </w:pPr>
            <w:r>
              <w:t>10.4</w:t>
            </w:r>
          </w:p>
        </w:tc>
        <w:tc>
          <w:tcPr>
            <w:tcW w:w="779" w:type="dxa"/>
            <w:vAlign w:val="center"/>
          </w:tcPr>
          <w:p w14:paraId="2EDFFC60">
            <w:pPr>
              <w:pStyle w:val="179"/>
              <w:widowControl w:val="0"/>
            </w:pPr>
            <w:r>
              <w:t>10.3</w:t>
            </w:r>
          </w:p>
        </w:tc>
        <w:tc>
          <w:tcPr>
            <w:tcW w:w="779" w:type="dxa"/>
            <w:vAlign w:val="center"/>
          </w:tcPr>
          <w:p w14:paraId="7803ED7C">
            <w:pPr>
              <w:pStyle w:val="179"/>
              <w:widowControl w:val="0"/>
            </w:pPr>
            <w:r>
              <w:t>5.7</w:t>
            </w:r>
          </w:p>
        </w:tc>
        <w:tc>
          <w:tcPr>
            <w:tcW w:w="778" w:type="dxa"/>
            <w:vAlign w:val="center"/>
          </w:tcPr>
          <w:p w14:paraId="2698172F">
            <w:pPr>
              <w:pStyle w:val="179"/>
              <w:widowControl w:val="0"/>
            </w:pPr>
            <w:r>
              <w:t>3.5</w:t>
            </w:r>
          </w:p>
        </w:tc>
        <w:tc>
          <w:tcPr>
            <w:tcW w:w="779" w:type="dxa"/>
            <w:vAlign w:val="center"/>
          </w:tcPr>
          <w:p w14:paraId="3559003B">
            <w:pPr>
              <w:pStyle w:val="179"/>
              <w:widowControl w:val="0"/>
            </w:pPr>
            <w:r>
              <w:t>4</w:t>
            </w:r>
          </w:p>
        </w:tc>
        <w:tc>
          <w:tcPr>
            <w:tcW w:w="779" w:type="dxa"/>
            <w:vAlign w:val="center"/>
          </w:tcPr>
          <w:p w14:paraId="726CBEBF">
            <w:pPr>
              <w:pStyle w:val="179"/>
              <w:widowControl w:val="0"/>
            </w:pPr>
            <w:r>
              <w:t>4.9</w:t>
            </w:r>
          </w:p>
        </w:tc>
        <w:tc>
          <w:tcPr>
            <w:tcW w:w="779" w:type="dxa"/>
            <w:vAlign w:val="center"/>
          </w:tcPr>
          <w:p w14:paraId="5B8086D0">
            <w:pPr>
              <w:pStyle w:val="179"/>
              <w:widowControl w:val="0"/>
            </w:pPr>
            <w:r>
              <w:t>7.2</w:t>
            </w:r>
          </w:p>
        </w:tc>
      </w:tr>
      <w:tr w14:paraId="7AE42E5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778" w:type="dxa"/>
            <w:vAlign w:val="center"/>
          </w:tcPr>
          <w:p w14:paraId="128ECC2A">
            <w:pPr>
              <w:pStyle w:val="179"/>
              <w:widowControl w:val="0"/>
            </w:pPr>
            <w:r>
              <w:t>3</w:t>
            </w:r>
          </w:p>
        </w:tc>
        <w:tc>
          <w:tcPr>
            <w:tcW w:w="779" w:type="dxa"/>
            <w:vAlign w:val="center"/>
          </w:tcPr>
          <w:p w14:paraId="33D97A59">
            <w:pPr>
              <w:pStyle w:val="179"/>
              <w:widowControl w:val="0"/>
            </w:pPr>
            <w:r>
              <w:t>7</w:t>
            </w:r>
          </w:p>
        </w:tc>
        <w:tc>
          <w:tcPr>
            <w:tcW w:w="779" w:type="dxa"/>
            <w:vAlign w:val="center"/>
          </w:tcPr>
          <w:p w14:paraId="7C41AECD">
            <w:pPr>
              <w:pStyle w:val="179"/>
              <w:widowControl w:val="0"/>
            </w:pPr>
            <w:r>
              <w:t>7.5</w:t>
            </w:r>
          </w:p>
        </w:tc>
        <w:tc>
          <w:tcPr>
            <w:tcW w:w="778" w:type="dxa"/>
            <w:vAlign w:val="center"/>
          </w:tcPr>
          <w:p w14:paraId="77AE825D">
            <w:pPr>
              <w:pStyle w:val="179"/>
              <w:widowControl w:val="0"/>
            </w:pPr>
            <w:r>
              <w:t>4.6</w:t>
            </w:r>
          </w:p>
        </w:tc>
        <w:tc>
          <w:tcPr>
            <w:tcW w:w="779" w:type="dxa"/>
            <w:vAlign w:val="center"/>
          </w:tcPr>
          <w:p w14:paraId="34EC4159">
            <w:pPr>
              <w:pStyle w:val="179"/>
              <w:widowControl w:val="0"/>
            </w:pPr>
            <w:r>
              <w:t>3.1</w:t>
            </w:r>
          </w:p>
        </w:tc>
        <w:tc>
          <w:tcPr>
            <w:tcW w:w="779" w:type="dxa"/>
            <w:vAlign w:val="center"/>
          </w:tcPr>
          <w:p w14:paraId="5458D86B">
            <w:pPr>
              <w:pStyle w:val="179"/>
              <w:widowControl w:val="0"/>
            </w:pPr>
            <w:r>
              <w:t>3.2</w:t>
            </w:r>
          </w:p>
        </w:tc>
        <w:tc>
          <w:tcPr>
            <w:tcW w:w="779" w:type="dxa"/>
            <w:vAlign w:val="center"/>
          </w:tcPr>
          <w:p w14:paraId="609E17FB">
            <w:pPr>
              <w:pStyle w:val="179"/>
              <w:widowControl w:val="0"/>
            </w:pPr>
            <w:r>
              <w:t>4.7</w:t>
            </w:r>
          </w:p>
        </w:tc>
        <w:tc>
          <w:tcPr>
            <w:tcW w:w="778" w:type="dxa"/>
            <w:vAlign w:val="center"/>
          </w:tcPr>
          <w:p w14:paraId="0E7D06B7">
            <w:pPr>
              <w:pStyle w:val="179"/>
              <w:widowControl w:val="0"/>
            </w:pPr>
            <w:r>
              <w:t>5.1</w:t>
            </w:r>
          </w:p>
        </w:tc>
        <w:tc>
          <w:tcPr>
            <w:tcW w:w="779" w:type="dxa"/>
            <w:vAlign w:val="center"/>
          </w:tcPr>
          <w:p w14:paraId="0950CFD4">
            <w:pPr>
              <w:pStyle w:val="179"/>
              <w:widowControl w:val="0"/>
            </w:pPr>
            <w:r>
              <w:t>4.6</w:t>
            </w:r>
          </w:p>
        </w:tc>
        <w:tc>
          <w:tcPr>
            <w:tcW w:w="779" w:type="dxa"/>
            <w:vAlign w:val="center"/>
          </w:tcPr>
          <w:p w14:paraId="2003DCB2">
            <w:pPr>
              <w:pStyle w:val="179"/>
              <w:widowControl w:val="0"/>
            </w:pPr>
            <w:r>
              <w:t>6.3</w:t>
            </w:r>
          </w:p>
        </w:tc>
        <w:tc>
          <w:tcPr>
            <w:tcW w:w="778" w:type="dxa"/>
            <w:vAlign w:val="center"/>
          </w:tcPr>
          <w:p w14:paraId="32995B04">
            <w:pPr>
              <w:pStyle w:val="179"/>
              <w:widowControl w:val="0"/>
            </w:pPr>
            <w:r>
              <w:t>8.3</w:t>
            </w:r>
          </w:p>
        </w:tc>
        <w:tc>
          <w:tcPr>
            <w:tcW w:w="779" w:type="dxa"/>
            <w:vAlign w:val="center"/>
          </w:tcPr>
          <w:p w14:paraId="304A9407">
            <w:pPr>
              <w:pStyle w:val="179"/>
              <w:widowControl w:val="0"/>
            </w:pPr>
            <w:r>
              <w:t>10</w:t>
            </w:r>
          </w:p>
        </w:tc>
        <w:tc>
          <w:tcPr>
            <w:tcW w:w="779" w:type="dxa"/>
            <w:vAlign w:val="center"/>
          </w:tcPr>
          <w:p w14:paraId="2FB7973D">
            <w:pPr>
              <w:pStyle w:val="179"/>
              <w:widowControl w:val="0"/>
            </w:pPr>
            <w:r>
              <w:t>8.2</w:t>
            </w:r>
          </w:p>
        </w:tc>
        <w:tc>
          <w:tcPr>
            <w:tcW w:w="779" w:type="dxa"/>
            <w:vAlign w:val="center"/>
          </w:tcPr>
          <w:p w14:paraId="0E632DDE">
            <w:pPr>
              <w:pStyle w:val="179"/>
              <w:widowControl w:val="0"/>
            </w:pPr>
            <w:r>
              <w:t>5.4</w:t>
            </w:r>
          </w:p>
        </w:tc>
        <w:tc>
          <w:tcPr>
            <w:tcW w:w="778" w:type="dxa"/>
            <w:vAlign w:val="center"/>
          </w:tcPr>
          <w:p w14:paraId="36D974B6">
            <w:pPr>
              <w:pStyle w:val="179"/>
              <w:widowControl w:val="0"/>
            </w:pPr>
            <w:r>
              <w:t>4.1</w:t>
            </w:r>
          </w:p>
        </w:tc>
        <w:tc>
          <w:tcPr>
            <w:tcW w:w="779" w:type="dxa"/>
            <w:vAlign w:val="center"/>
          </w:tcPr>
          <w:p w14:paraId="0AA3146F">
            <w:pPr>
              <w:pStyle w:val="179"/>
              <w:widowControl w:val="0"/>
            </w:pPr>
            <w:r>
              <w:t>5.7</w:t>
            </w:r>
          </w:p>
        </w:tc>
        <w:tc>
          <w:tcPr>
            <w:tcW w:w="779" w:type="dxa"/>
            <w:vAlign w:val="center"/>
          </w:tcPr>
          <w:p w14:paraId="25E89695">
            <w:pPr>
              <w:pStyle w:val="179"/>
              <w:widowControl w:val="0"/>
            </w:pPr>
            <w:r>
              <w:t>6.9</w:t>
            </w:r>
          </w:p>
        </w:tc>
        <w:tc>
          <w:tcPr>
            <w:tcW w:w="779" w:type="dxa"/>
            <w:vAlign w:val="center"/>
          </w:tcPr>
          <w:p w14:paraId="43E9E154">
            <w:pPr>
              <w:pStyle w:val="179"/>
              <w:widowControl w:val="0"/>
            </w:pPr>
            <w:r>
              <w:t>4.6</w:t>
            </w:r>
          </w:p>
        </w:tc>
      </w:tr>
      <w:tr w14:paraId="66D6181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778" w:type="dxa"/>
            <w:vAlign w:val="center"/>
          </w:tcPr>
          <w:p w14:paraId="5FE70F03">
            <w:pPr>
              <w:pStyle w:val="179"/>
              <w:widowControl w:val="0"/>
            </w:pPr>
            <w:r>
              <w:t>4</w:t>
            </w:r>
          </w:p>
        </w:tc>
        <w:tc>
          <w:tcPr>
            <w:tcW w:w="779" w:type="dxa"/>
            <w:vAlign w:val="center"/>
          </w:tcPr>
          <w:p w14:paraId="06CA8587">
            <w:pPr>
              <w:pStyle w:val="179"/>
              <w:widowControl w:val="0"/>
            </w:pPr>
            <w:r>
              <w:t>8.5</w:t>
            </w:r>
          </w:p>
        </w:tc>
        <w:tc>
          <w:tcPr>
            <w:tcW w:w="779" w:type="dxa"/>
            <w:vAlign w:val="center"/>
          </w:tcPr>
          <w:p w14:paraId="73991F41">
            <w:pPr>
              <w:pStyle w:val="179"/>
              <w:widowControl w:val="0"/>
            </w:pPr>
            <w:r>
              <w:t>9.6</w:t>
            </w:r>
          </w:p>
        </w:tc>
        <w:tc>
          <w:tcPr>
            <w:tcW w:w="778" w:type="dxa"/>
            <w:vAlign w:val="center"/>
          </w:tcPr>
          <w:p w14:paraId="73082866">
            <w:pPr>
              <w:pStyle w:val="179"/>
              <w:widowControl w:val="0"/>
            </w:pPr>
            <w:r>
              <w:t>5.4</w:t>
            </w:r>
          </w:p>
        </w:tc>
        <w:tc>
          <w:tcPr>
            <w:tcW w:w="779" w:type="dxa"/>
            <w:vAlign w:val="center"/>
          </w:tcPr>
          <w:p w14:paraId="6961DB7E">
            <w:pPr>
              <w:pStyle w:val="179"/>
              <w:widowControl w:val="0"/>
            </w:pPr>
            <w:r>
              <w:t>3.4</w:t>
            </w:r>
          </w:p>
        </w:tc>
        <w:tc>
          <w:tcPr>
            <w:tcW w:w="779" w:type="dxa"/>
            <w:vAlign w:val="center"/>
          </w:tcPr>
          <w:p w14:paraId="2F62A8F6">
            <w:pPr>
              <w:pStyle w:val="179"/>
              <w:widowControl w:val="0"/>
            </w:pPr>
            <w:r>
              <w:t>2.6</w:t>
            </w:r>
          </w:p>
        </w:tc>
        <w:tc>
          <w:tcPr>
            <w:tcW w:w="779" w:type="dxa"/>
            <w:vAlign w:val="center"/>
          </w:tcPr>
          <w:p w14:paraId="2C3D30F9">
            <w:pPr>
              <w:pStyle w:val="179"/>
              <w:widowControl w:val="0"/>
            </w:pPr>
            <w:r>
              <w:t>4.6</w:t>
            </w:r>
          </w:p>
        </w:tc>
        <w:tc>
          <w:tcPr>
            <w:tcW w:w="778" w:type="dxa"/>
            <w:vAlign w:val="center"/>
          </w:tcPr>
          <w:p w14:paraId="099B9AFC">
            <w:pPr>
              <w:pStyle w:val="179"/>
              <w:widowControl w:val="0"/>
            </w:pPr>
            <w:r>
              <w:t>4</w:t>
            </w:r>
          </w:p>
        </w:tc>
        <w:tc>
          <w:tcPr>
            <w:tcW w:w="779" w:type="dxa"/>
            <w:vAlign w:val="center"/>
          </w:tcPr>
          <w:p w14:paraId="4D156C19">
            <w:pPr>
              <w:pStyle w:val="179"/>
              <w:widowControl w:val="0"/>
            </w:pPr>
            <w:r>
              <w:t>3.3</w:t>
            </w:r>
          </w:p>
        </w:tc>
        <w:tc>
          <w:tcPr>
            <w:tcW w:w="779" w:type="dxa"/>
            <w:vAlign w:val="center"/>
          </w:tcPr>
          <w:p w14:paraId="63233B58">
            <w:pPr>
              <w:pStyle w:val="179"/>
              <w:widowControl w:val="0"/>
            </w:pPr>
            <w:r>
              <w:t>6.2</w:t>
            </w:r>
          </w:p>
        </w:tc>
        <w:tc>
          <w:tcPr>
            <w:tcW w:w="778" w:type="dxa"/>
            <w:vAlign w:val="center"/>
          </w:tcPr>
          <w:p w14:paraId="797D214B">
            <w:pPr>
              <w:pStyle w:val="179"/>
              <w:widowControl w:val="0"/>
            </w:pPr>
            <w:r>
              <w:t>8.1</w:t>
            </w:r>
          </w:p>
        </w:tc>
        <w:tc>
          <w:tcPr>
            <w:tcW w:w="779" w:type="dxa"/>
            <w:vAlign w:val="center"/>
          </w:tcPr>
          <w:p w14:paraId="00E9C8A6">
            <w:pPr>
              <w:pStyle w:val="179"/>
              <w:widowControl w:val="0"/>
            </w:pPr>
            <w:r>
              <w:t>8.2</w:t>
            </w:r>
          </w:p>
        </w:tc>
        <w:tc>
          <w:tcPr>
            <w:tcW w:w="779" w:type="dxa"/>
            <w:vAlign w:val="center"/>
          </w:tcPr>
          <w:p w14:paraId="1671ED5F">
            <w:pPr>
              <w:pStyle w:val="179"/>
              <w:widowControl w:val="0"/>
            </w:pPr>
            <w:r>
              <w:t>7.9</w:t>
            </w:r>
          </w:p>
        </w:tc>
        <w:tc>
          <w:tcPr>
            <w:tcW w:w="779" w:type="dxa"/>
            <w:vAlign w:val="center"/>
          </w:tcPr>
          <w:p w14:paraId="0FE94C02">
            <w:pPr>
              <w:pStyle w:val="179"/>
              <w:widowControl w:val="0"/>
            </w:pPr>
            <w:r>
              <w:t>6.8</w:t>
            </w:r>
          </w:p>
        </w:tc>
        <w:tc>
          <w:tcPr>
            <w:tcW w:w="778" w:type="dxa"/>
            <w:vAlign w:val="center"/>
          </w:tcPr>
          <w:p w14:paraId="48668B20">
            <w:pPr>
              <w:pStyle w:val="179"/>
              <w:widowControl w:val="0"/>
            </w:pPr>
            <w:r>
              <w:t>5.9</w:t>
            </w:r>
          </w:p>
        </w:tc>
        <w:tc>
          <w:tcPr>
            <w:tcW w:w="779" w:type="dxa"/>
            <w:vAlign w:val="center"/>
          </w:tcPr>
          <w:p w14:paraId="4C601505">
            <w:pPr>
              <w:pStyle w:val="179"/>
              <w:widowControl w:val="0"/>
            </w:pPr>
            <w:r>
              <w:t>6.8</w:t>
            </w:r>
          </w:p>
        </w:tc>
        <w:tc>
          <w:tcPr>
            <w:tcW w:w="779" w:type="dxa"/>
            <w:vAlign w:val="center"/>
          </w:tcPr>
          <w:p w14:paraId="2D3094C7">
            <w:pPr>
              <w:pStyle w:val="179"/>
              <w:widowControl w:val="0"/>
            </w:pPr>
            <w:r>
              <w:t>6.8</w:t>
            </w:r>
          </w:p>
        </w:tc>
        <w:tc>
          <w:tcPr>
            <w:tcW w:w="779" w:type="dxa"/>
            <w:vAlign w:val="center"/>
          </w:tcPr>
          <w:p w14:paraId="6FC9F28E">
            <w:pPr>
              <w:pStyle w:val="179"/>
              <w:widowControl w:val="0"/>
            </w:pPr>
            <w:r>
              <w:t>2.8</w:t>
            </w:r>
          </w:p>
        </w:tc>
      </w:tr>
      <w:tr w14:paraId="58A7444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778" w:type="dxa"/>
            <w:vAlign w:val="center"/>
          </w:tcPr>
          <w:p w14:paraId="552D8C05">
            <w:pPr>
              <w:pStyle w:val="179"/>
              <w:widowControl w:val="0"/>
            </w:pPr>
            <w:r>
              <w:t>5</w:t>
            </w:r>
          </w:p>
        </w:tc>
        <w:tc>
          <w:tcPr>
            <w:tcW w:w="779" w:type="dxa"/>
            <w:vAlign w:val="center"/>
          </w:tcPr>
          <w:p w14:paraId="3CBEA2BA">
            <w:pPr>
              <w:pStyle w:val="179"/>
              <w:widowControl w:val="0"/>
            </w:pPr>
            <w:r>
              <w:t>7.2</w:t>
            </w:r>
          </w:p>
        </w:tc>
        <w:tc>
          <w:tcPr>
            <w:tcW w:w="779" w:type="dxa"/>
            <w:vAlign w:val="center"/>
          </w:tcPr>
          <w:p w14:paraId="4FEE1A19">
            <w:pPr>
              <w:pStyle w:val="179"/>
              <w:widowControl w:val="0"/>
            </w:pPr>
            <w:r>
              <w:t>9.5</w:t>
            </w:r>
          </w:p>
        </w:tc>
        <w:tc>
          <w:tcPr>
            <w:tcW w:w="778" w:type="dxa"/>
            <w:vAlign w:val="center"/>
          </w:tcPr>
          <w:p w14:paraId="2EE73C48">
            <w:pPr>
              <w:pStyle w:val="179"/>
              <w:widowControl w:val="0"/>
            </w:pPr>
            <w:r>
              <w:t>5.8</w:t>
            </w:r>
          </w:p>
        </w:tc>
        <w:tc>
          <w:tcPr>
            <w:tcW w:w="779" w:type="dxa"/>
            <w:vAlign w:val="center"/>
          </w:tcPr>
          <w:p w14:paraId="73C8F18F">
            <w:pPr>
              <w:pStyle w:val="179"/>
              <w:widowControl w:val="0"/>
            </w:pPr>
            <w:r>
              <w:t>3.9</w:t>
            </w:r>
          </w:p>
        </w:tc>
        <w:tc>
          <w:tcPr>
            <w:tcW w:w="779" w:type="dxa"/>
            <w:vAlign w:val="center"/>
          </w:tcPr>
          <w:p w14:paraId="6C50ECF9">
            <w:pPr>
              <w:pStyle w:val="179"/>
              <w:widowControl w:val="0"/>
            </w:pPr>
            <w:r>
              <w:t>3.7</w:t>
            </w:r>
          </w:p>
        </w:tc>
        <w:tc>
          <w:tcPr>
            <w:tcW w:w="779" w:type="dxa"/>
            <w:vAlign w:val="center"/>
          </w:tcPr>
          <w:p w14:paraId="52E76219">
            <w:pPr>
              <w:pStyle w:val="179"/>
              <w:widowControl w:val="0"/>
            </w:pPr>
            <w:r>
              <w:t>5</w:t>
            </w:r>
          </w:p>
        </w:tc>
        <w:tc>
          <w:tcPr>
            <w:tcW w:w="778" w:type="dxa"/>
            <w:vAlign w:val="center"/>
          </w:tcPr>
          <w:p w14:paraId="652C27FA">
            <w:pPr>
              <w:pStyle w:val="179"/>
              <w:widowControl w:val="0"/>
            </w:pPr>
            <w:r>
              <w:t>5</w:t>
            </w:r>
          </w:p>
        </w:tc>
        <w:tc>
          <w:tcPr>
            <w:tcW w:w="779" w:type="dxa"/>
            <w:vAlign w:val="center"/>
          </w:tcPr>
          <w:p w14:paraId="6407D81E">
            <w:pPr>
              <w:pStyle w:val="179"/>
              <w:widowControl w:val="0"/>
            </w:pPr>
            <w:r>
              <w:t>4.8</w:t>
            </w:r>
          </w:p>
        </w:tc>
        <w:tc>
          <w:tcPr>
            <w:tcW w:w="779" w:type="dxa"/>
            <w:vAlign w:val="center"/>
          </w:tcPr>
          <w:p w14:paraId="3FEB6D47">
            <w:pPr>
              <w:pStyle w:val="179"/>
              <w:widowControl w:val="0"/>
            </w:pPr>
            <w:r>
              <w:t>8.7</w:t>
            </w:r>
          </w:p>
        </w:tc>
        <w:tc>
          <w:tcPr>
            <w:tcW w:w="778" w:type="dxa"/>
            <w:vAlign w:val="center"/>
          </w:tcPr>
          <w:p w14:paraId="651BB018">
            <w:pPr>
              <w:pStyle w:val="179"/>
              <w:widowControl w:val="0"/>
            </w:pPr>
            <w:r>
              <w:t>9.5</w:t>
            </w:r>
          </w:p>
        </w:tc>
        <w:tc>
          <w:tcPr>
            <w:tcW w:w="779" w:type="dxa"/>
            <w:vAlign w:val="center"/>
          </w:tcPr>
          <w:p w14:paraId="103D29A6">
            <w:pPr>
              <w:pStyle w:val="179"/>
              <w:widowControl w:val="0"/>
            </w:pPr>
            <w:r>
              <w:t>8.3</w:t>
            </w:r>
          </w:p>
        </w:tc>
        <w:tc>
          <w:tcPr>
            <w:tcW w:w="779" w:type="dxa"/>
            <w:vAlign w:val="center"/>
          </w:tcPr>
          <w:p w14:paraId="383E1B08">
            <w:pPr>
              <w:pStyle w:val="179"/>
              <w:widowControl w:val="0"/>
            </w:pPr>
            <w:r>
              <w:t>6.1</w:t>
            </w:r>
          </w:p>
        </w:tc>
        <w:tc>
          <w:tcPr>
            <w:tcW w:w="779" w:type="dxa"/>
            <w:vAlign w:val="center"/>
          </w:tcPr>
          <w:p w14:paraId="31586B90">
            <w:pPr>
              <w:pStyle w:val="179"/>
              <w:widowControl w:val="0"/>
            </w:pPr>
            <w:r>
              <w:t>5.3</w:t>
            </w:r>
          </w:p>
        </w:tc>
        <w:tc>
          <w:tcPr>
            <w:tcW w:w="778" w:type="dxa"/>
            <w:vAlign w:val="center"/>
          </w:tcPr>
          <w:p w14:paraId="02C83437">
            <w:pPr>
              <w:pStyle w:val="179"/>
              <w:widowControl w:val="0"/>
            </w:pPr>
            <w:r>
              <w:t>4.9</w:t>
            </w:r>
          </w:p>
        </w:tc>
        <w:tc>
          <w:tcPr>
            <w:tcW w:w="779" w:type="dxa"/>
            <w:vAlign w:val="center"/>
          </w:tcPr>
          <w:p w14:paraId="7BA1E82E">
            <w:pPr>
              <w:pStyle w:val="179"/>
              <w:widowControl w:val="0"/>
            </w:pPr>
            <w:r>
              <w:t>4.2</w:t>
            </w:r>
          </w:p>
        </w:tc>
        <w:tc>
          <w:tcPr>
            <w:tcW w:w="779" w:type="dxa"/>
            <w:vAlign w:val="center"/>
          </w:tcPr>
          <w:p w14:paraId="4136DC0F">
            <w:pPr>
              <w:pStyle w:val="179"/>
              <w:widowControl w:val="0"/>
            </w:pPr>
            <w:r>
              <w:t>5.6</w:t>
            </w:r>
          </w:p>
        </w:tc>
        <w:tc>
          <w:tcPr>
            <w:tcW w:w="779" w:type="dxa"/>
            <w:vAlign w:val="center"/>
          </w:tcPr>
          <w:p w14:paraId="239C08C1">
            <w:pPr>
              <w:pStyle w:val="179"/>
              <w:widowControl w:val="0"/>
            </w:pPr>
            <w:r>
              <w:t>2.2</w:t>
            </w:r>
          </w:p>
        </w:tc>
      </w:tr>
      <w:tr w14:paraId="6E1BA8A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778" w:type="dxa"/>
            <w:vAlign w:val="center"/>
          </w:tcPr>
          <w:p w14:paraId="1E8B6F0A">
            <w:pPr>
              <w:pStyle w:val="179"/>
              <w:widowControl w:val="0"/>
            </w:pPr>
            <w:r>
              <w:t>6</w:t>
            </w:r>
          </w:p>
        </w:tc>
        <w:tc>
          <w:tcPr>
            <w:tcW w:w="779" w:type="dxa"/>
            <w:vAlign w:val="center"/>
          </w:tcPr>
          <w:p w14:paraId="6C333D63">
            <w:pPr>
              <w:pStyle w:val="179"/>
              <w:widowControl w:val="0"/>
            </w:pPr>
            <w:r>
              <w:t>7.5</w:t>
            </w:r>
          </w:p>
        </w:tc>
        <w:tc>
          <w:tcPr>
            <w:tcW w:w="779" w:type="dxa"/>
            <w:vAlign w:val="center"/>
          </w:tcPr>
          <w:p w14:paraId="06030952">
            <w:pPr>
              <w:pStyle w:val="179"/>
              <w:widowControl w:val="0"/>
            </w:pPr>
            <w:r>
              <w:t>10.2</w:t>
            </w:r>
          </w:p>
        </w:tc>
        <w:tc>
          <w:tcPr>
            <w:tcW w:w="778" w:type="dxa"/>
            <w:vAlign w:val="center"/>
          </w:tcPr>
          <w:p w14:paraId="0E8DC170">
            <w:pPr>
              <w:pStyle w:val="179"/>
              <w:widowControl w:val="0"/>
            </w:pPr>
            <w:r>
              <w:t>7.2</w:t>
            </w:r>
          </w:p>
        </w:tc>
        <w:tc>
          <w:tcPr>
            <w:tcW w:w="779" w:type="dxa"/>
            <w:vAlign w:val="center"/>
          </w:tcPr>
          <w:p w14:paraId="5F5986AE">
            <w:pPr>
              <w:pStyle w:val="179"/>
              <w:widowControl w:val="0"/>
            </w:pPr>
            <w:r>
              <w:t>6.4</w:t>
            </w:r>
          </w:p>
        </w:tc>
        <w:tc>
          <w:tcPr>
            <w:tcW w:w="779" w:type="dxa"/>
            <w:vAlign w:val="center"/>
          </w:tcPr>
          <w:p w14:paraId="1178A954">
            <w:pPr>
              <w:pStyle w:val="179"/>
              <w:widowControl w:val="0"/>
            </w:pPr>
            <w:r>
              <w:t>6.3</w:t>
            </w:r>
          </w:p>
        </w:tc>
        <w:tc>
          <w:tcPr>
            <w:tcW w:w="779" w:type="dxa"/>
            <w:vAlign w:val="center"/>
          </w:tcPr>
          <w:p w14:paraId="14113144">
            <w:pPr>
              <w:pStyle w:val="179"/>
              <w:widowControl w:val="0"/>
            </w:pPr>
            <w:r>
              <w:t>6.9</w:t>
            </w:r>
          </w:p>
        </w:tc>
        <w:tc>
          <w:tcPr>
            <w:tcW w:w="778" w:type="dxa"/>
            <w:vAlign w:val="center"/>
          </w:tcPr>
          <w:p w14:paraId="41D8E956">
            <w:pPr>
              <w:pStyle w:val="179"/>
              <w:widowControl w:val="0"/>
            </w:pPr>
            <w:r>
              <w:t>6.5</w:t>
            </w:r>
          </w:p>
        </w:tc>
        <w:tc>
          <w:tcPr>
            <w:tcW w:w="779" w:type="dxa"/>
            <w:vAlign w:val="center"/>
          </w:tcPr>
          <w:p w14:paraId="3EA51DE3">
            <w:pPr>
              <w:pStyle w:val="179"/>
              <w:widowControl w:val="0"/>
            </w:pPr>
            <w:r>
              <w:t>5.3</w:t>
            </w:r>
          </w:p>
        </w:tc>
        <w:tc>
          <w:tcPr>
            <w:tcW w:w="779" w:type="dxa"/>
            <w:vAlign w:val="center"/>
          </w:tcPr>
          <w:p w14:paraId="650E1C1C">
            <w:pPr>
              <w:pStyle w:val="179"/>
              <w:widowControl w:val="0"/>
            </w:pPr>
            <w:r>
              <w:t>6.7</w:t>
            </w:r>
          </w:p>
        </w:tc>
        <w:tc>
          <w:tcPr>
            <w:tcW w:w="778" w:type="dxa"/>
            <w:vAlign w:val="center"/>
          </w:tcPr>
          <w:p w14:paraId="18A5A08D">
            <w:pPr>
              <w:pStyle w:val="179"/>
              <w:widowControl w:val="0"/>
            </w:pPr>
            <w:r>
              <w:t>6.9</w:t>
            </w:r>
          </w:p>
        </w:tc>
        <w:tc>
          <w:tcPr>
            <w:tcW w:w="779" w:type="dxa"/>
            <w:vAlign w:val="center"/>
          </w:tcPr>
          <w:p w14:paraId="76AC127A">
            <w:pPr>
              <w:pStyle w:val="179"/>
              <w:widowControl w:val="0"/>
            </w:pPr>
            <w:r>
              <w:t>6.7</w:t>
            </w:r>
          </w:p>
        </w:tc>
        <w:tc>
          <w:tcPr>
            <w:tcW w:w="779" w:type="dxa"/>
            <w:vAlign w:val="center"/>
          </w:tcPr>
          <w:p w14:paraId="023689D8">
            <w:pPr>
              <w:pStyle w:val="179"/>
              <w:widowControl w:val="0"/>
            </w:pPr>
            <w:r>
              <w:t>5</w:t>
            </w:r>
          </w:p>
        </w:tc>
        <w:tc>
          <w:tcPr>
            <w:tcW w:w="779" w:type="dxa"/>
            <w:vAlign w:val="center"/>
          </w:tcPr>
          <w:p w14:paraId="46AD8BFE">
            <w:pPr>
              <w:pStyle w:val="179"/>
              <w:widowControl w:val="0"/>
            </w:pPr>
            <w:r>
              <w:t>4.6</w:t>
            </w:r>
          </w:p>
        </w:tc>
        <w:tc>
          <w:tcPr>
            <w:tcW w:w="778" w:type="dxa"/>
            <w:vAlign w:val="center"/>
          </w:tcPr>
          <w:p w14:paraId="3B6844F0">
            <w:pPr>
              <w:pStyle w:val="179"/>
              <w:widowControl w:val="0"/>
            </w:pPr>
            <w:r>
              <w:t>3.5</w:t>
            </w:r>
          </w:p>
        </w:tc>
        <w:tc>
          <w:tcPr>
            <w:tcW w:w="779" w:type="dxa"/>
            <w:vAlign w:val="center"/>
          </w:tcPr>
          <w:p w14:paraId="52840BE3">
            <w:pPr>
              <w:pStyle w:val="179"/>
              <w:widowControl w:val="0"/>
            </w:pPr>
            <w:r>
              <w:t>3.6</w:t>
            </w:r>
          </w:p>
        </w:tc>
        <w:tc>
          <w:tcPr>
            <w:tcW w:w="779" w:type="dxa"/>
            <w:vAlign w:val="center"/>
          </w:tcPr>
          <w:p w14:paraId="2C7BE673">
            <w:pPr>
              <w:pStyle w:val="179"/>
              <w:widowControl w:val="0"/>
            </w:pPr>
            <w:r>
              <w:t>4.1</w:t>
            </w:r>
          </w:p>
        </w:tc>
        <w:tc>
          <w:tcPr>
            <w:tcW w:w="779" w:type="dxa"/>
            <w:vAlign w:val="center"/>
          </w:tcPr>
          <w:p w14:paraId="1C67E031">
            <w:pPr>
              <w:pStyle w:val="179"/>
              <w:widowControl w:val="0"/>
            </w:pPr>
            <w:r>
              <w:t>2.9</w:t>
            </w:r>
          </w:p>
        </w:tc>
      </w:tr>
      <w:tr w14:paraId="241EAE9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778" w:type="dxa"/>
            <w:vAlign w:val="center"/>
          </w:tcPr>
          <w:p w14:paraId="7859363F">
            <w:pPr>
              <w:pStyle w:val="179"/>
              <w:widowControl w:val="0"/>
            </w:pPr>
            <w:r>
              <w:t>7</w:t>
            </w:r>
          </w:p>
        </w:tc>
        <w:tc>
          <w:tcPr>
            <w:tcW w:w="779" w:type="dxa"/>
            <w:vAlign w:val="center"/>
          </w:tcPr>
          <w:p w14:paraId="7922CF56">
            <w:pPr>
              <w:pStyle w:val="179"/>
              <w:widowControl w:val="0"/>
            </w:pPr>
            <w:r>
              <w:t>4.8</w:t>
            </w:r>
          </w:p>
        </w:tc>
        <w:tc>
          <w:tcPr>
            <w:tcW w:w="779" w:type="dxa"/>
            <w:vAlign w:val="center"/>
          </w:tcPr>
          <w:p w14:paraId="29C2BD27">
            <w:pPr>
              <w:pStyle w:val="179"/>
              <w:widowControl w:val="0"/>
            </w:pPr>
            <w:r>
              <w:t>8.6</w:t>
            </w:r>
          </w:p>
        </w:tc>
        <w:tc>
          <w:tcPr>
            <w:tcW w:w="778" w:type="dxa"/>
            <w:vAlign w:val="center"/>
          </w:tcPr>
          <w:p w14:paraId="10E1031A">
            <w:pPr>
              <w:pStyle w:val="179"/>
              <w:widowControl w:val="0"/>
            </w:pPr>
            <w:r>
              <w:t>5.9</w:t>
            </w:r>
          </w:p>
        </w:tc>
        <w:tc>
          <w:tcPr>
            <w:tcW w:w="779" w:type="dxa"/>
            <w:vAlign w:val="center"/>
          </w:tcPr>
          <w:p w14:paraId="3787AEE7">
            <w:pPr>
              <w:pStyle w:val="179"/>
              <w:widowControl w:val="0"/>
            </w:pPr>
            <w:r>
              <w:t>4.2</w:t>
            </w:r>
          </w:p>
        </w:tc>
        <w:tc>
          <w:tcPr>
            <w:tcW w:w="779" w:type="dxa"/>
            <w:vAlign w:val="center"/>
          </w:tcPr>
          <w:p w14:paraId="45DA095A">
            <w:pPr>
              <w:pStyle w:val="179"/>
              <w:widowControl w:val="0"/>
            </w:pPr>
            <w:r>
              <w:t>4.9</w:t>
            </w:r>
          </w:p>
        </w:tc>
        <w:tc>
          <w:tcPr>
            <w:tcW w:w="779" w:type="dxa"/>
            <w:vAlign w:val="center"/>
          </w:tcPr>
          <w:p w14:paraId="22ADEB1A">
            <w:pPr>
              <w:pStyle w:val="179"/>
              <w:widowControl w:val="0"/>
            </w:pPr>
            <w:r>
              <w:t>6.7</w:t>
            </w:r>
          </w:p>
        </w:tc>
        <w:tc>
          <w:tcPr>
            <w:tcW w:w="778" w:type="dxa"/>
            <w:vAlign w:val="center"/>
          </w:tcPr>
          <w:p w14:paraId="4F4EF1FF">
            <w:pPr>
              <w:pStyle w:val="179"/>
              <w:widowControl w:val="0"/>
            </w:pPr>
            <w:r>
              <w:t>6.5</w:t>
            </w:r>
          </w:p>
        </w:tc>
        <w:tc>
          <w:tcPr>
            <w:tcW w:w="779" w:type="dxa"/>
            <w:vAlign w:val="center"/>
          </w:tcPr>
          <w:p w14:paraId="3B6901DE">
            <w:pPr>
              <w:pStyle w:val="179"/>
              <w:widowControl w:val="0"/>
            </w:pPr>
            <w:r>
              <w:t>6.8</w:t>
            </w:r>
          </w:p>
        </w:tc>
        <w:tc>
          <w:tcPr>
            <w:tcW w:w="779" w:type="dxa"/>
            <w:vAlign w:val="center"/>
          </w:tcPr>
          <w:p w14:paraId="2090F61F">
            <w:pPr>
              <w:pStyle w:val="179"/>
              <w:widowControl w:val="0"/>
            </w:pPr>
            <w:r>
              <w:t>10.9</w:t>
            </w:r>
          </w:p>
        </w:tc>
        <w:tc>
          <w:tcPr>
            <w:tcW w:w="778" w:type="dxa"/>
            <w:vAlign w:val="center"/>
          </w:tcPr>
          <w:p w14:paraId="3F132757">
            <w:pPr>
              <w:pStyle w:val="179"/>
              <w:widowControl w:val="0"/>
            </w:pPr>
            <w:r>
              <w:t>11.7</w:t>
            </w:r>
          </w:p>
        </w:tc>
        <w:tc>
          <w:tcPr>
            <w:tcW w:w="779" w:type="dxa"/>
            <w:vAlign w:val="center"/>
          </w:tcPr>
          <w:p w14:paraId="0CA60D55">
            <w:pPr>
              <w:pStyle w:val="179"/>
              <w:widowControl w:val="0"/>
            </w:pPr>
            <w:r>
              <w:t>8.7</w:t>
            </w:r>
          </w:p>
        </w:tc>
        <w:tc>
          <w:tcPr>
            <w:tcW w:w="779" w:type="dxa"/>
            <w:vAlign w:val="center"/>
          </w:tcPr>
          <w:p w14:paraId="57BA2150">
            <w:pPr>
              <w:pStyle w:val="179"/>
              <w:widowControl w:val="0"/>
            </w:pPr>
            <w:r>
              <w:t>5.1</w:t>
            </w:r>
          </w:p>
        </w:tc>
        <w:tc>
          <w:tcPr>
            <w:tcW w:w="779" w:type="dxa"/>
            <w:vAlign w:val="center"/>
          </w:tcPr>
          <w:p w14:paraId="3114CD0F">
            <w:pPr>
              <w:pStyle w:val="179"/>
              <w:widowControl w:val="0"/>
            </w:pPr>
            <w:r>
              <w:t>3.6</w:t>
            </w:r>
          </w:p>
        </w:tc>
        <w:tc>
          <w:tcPr>
            <w:tcW w:w="778" w:type="dxa"/>
            <w:vAlign w:val="center"/>
          </w:tcPr>
          <w:p w14:paraId="2E28BED8">
            <w:pPr>
              <w:pStyle w:val="179"/>
              <w:widowControl w:val="0"/>
            </w:pPr>
            <w:r>
              <w:t>2.6</w:t>
            </w:r>
          </w:p>
        </w:tc>
        <w:tc>
          <w:tcPr>
            <w:tcW w:w="779" w:type="dxa"/>
            <w:vAlign w:val="center"/>
          </w:tcPr>
          <w:p w14:paraId="1D3D0675">
            <w:pPr>
              <w:pStyle w:val="179"/>
              <w:widowControl w:val="0"/>
            </w:pPr>
            <w:r>
              <w:t>2.1</w:t>
            </w:r>
          </w:p>
        </w:tc>
        <w:tc>
          <w:tcPr>
            <w:tcW w:w="779" w:type="dxa"/>
            <w:vAlign w:val="center"/>
          </w:tcPr>
          <w:p w14:paraId="56606C1E">
            <w:pPr>
              <w:pStyle w:val="179"/>
              <w:widowControl w:val="0"/>
            </w:pPr>
            <w:r>
              <w:t>3.4</w:t>
            </w:r>
          </w:p>
        </w:tc>
        <w:tc>
          <w:tcPr>
            <w:tcW w:w="779" w:type="dxa"/>
            <w:vAlign w:val="center"/>
          </w:tcPr>
          <w:p w14:paraId="2715BBE1">
            <w:pPr>
              <w:pStyle w:val="179"/>
              <w:widowControl w:val="0"/>
            </w:pPr>
            <w:r>
              <w:t>3</w:t>
            </w:r>
          </w:p>
        </w:tc>
      </w:tr>
      <w:tr w14:paraId="54BEA5B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778" w:type="dxa"/>
            <w:vAlign w:val="center"/>
          </w:tcPr>
          <w:p w14:paraId="67762149">
            <w:pPr>
              <w:pStyle w:val="179"/>
              <w:widowControl w:val="0"/>
            </w:pPr>
            <w:r>
              <w:t>8</w:t>
            </w:r>
          </w:p>
        </w:tc>
        <w:tc>
          <w:tcPr>
            <w:tcW w:w="779" w:type="dxa"/>
            <w:vAlign w:val="center"/>
          </w:tcPr>
          <w:p w14:paraId="58B13214">
            <w:pPr>
              <w:pStyle w:val="179"/>
              <w:widowControl w:val="0"/>
            </w:pPr>
            <w:r>
              <w:t>6.7</w:t>
            </w:r>
          </w:p>
        </w:tc>
        <w:tc>
          <w:tcPr>
            <w:tcW w:w="779" w:type="dxa"/>
            <w:vAlign w:val="center"/>
          </w:tcPr>
          <w:p w14:paraId="1FB7E945">
            <w:pPr>
              <w:pStyle w:val="179"/>
              <w:widowControl w:val="0"/>
            </w:pPr>
            <w:r>
              <w:t>9.6</w:t>
            </w:r>
          </w:p>
        </w:tc>
        <w:tc>
          <w:tcPr>
            <w:tcW w:w="778" w:type="dxa"/>
            <w:vAlign w:val="center"/>
          </w:tcPr>
          <w:p w14:paraId="123593F1">
            <w:pPr>
              <w:pStyle w:val="179"/>
              <w:widowControl w:val="0"/>
            </w:pPr>
            <w:r>
              <w:t>6.4</w:t>
            </w:r>
          </w:p>
        </w:tc>
        <w:tc>
          <w:tcPr>
            <w:tcW w:w="779" w:type="dxa"/>
            <w:vAlign w:val="center"/>
          </w:tcPr>
          <w:p w14:paraId="2EAFB503">
            <w:pPr>
              <w:pStyle w:val="179"/>
              <w:widowControl w:val="0"/>
            </w:pPr>
            <w:r>
              <w:t>3.5</w:t>
            </w:r>
          </w:p>
        </w:tc>
        <w:tc>
          <w:tcPr>
            <w:tcW w:w="779" w:type="dxa"/>
            <w:vAlign w:val="center"/>
          </w:tcPr>
          <w:p w14:paraId="7229DE35">
            <w:pPr>
              <w:pStyle w:val="179"/>
              <w:widowControl w:val="0"/>
            </w:pPr>
            <w:r>
              <w:t>3.8</w:t>
            </w:r>
          </w:p>
        </w:tc>
        <w:tc>
          <w:tcPr>
            <w:tcW w:w="779" w:type="dxa"/>
            <w:vAlign w:val="center"/>
          </w:tcPr>
          <w:p w14:paraId="1BCA2BE6">
            <w:pPr>
              <w:pStyle w:val="179"/>
              <w:widowControl w:val="0"/>
            </w:pPr>
            <w:r>
              <w:t>6.3</w:t>
            </w:r>
          </w:p>
        </w:tc>
        <w:tc>
          <w:tcPr>
            <w:tcW w:w="778" w:type="dxa"/>
            <w:vAlign w:val="center"/>
          </w:tcPr>
          <w:p w14:paraId="3C593D57">
            <w:pPr>
              <w:pStyle w:val="179"/>
              <w:widowControl w:val="0"/>
            </w:pPr>
            <w:r>
              <w:t>6.8</w:t>
            </w:r>
          </w:p>
        </w:tc>
        <w:tc>
          <w:tcPr>
            <w:tcW w:w="779" w:type="dxa"/>
            <w:vAlign w:val="center"/>
          </w:tcPr>
          <w:p w14:paraId="3E0589F5">
            <w:pPr>
              <w:pStyle w:val="179"/>
              <w:widowControl w:val="0"/>
            </w:pPr>
            <w:r>
              <w:t>5.8</w:t>
            </w:r>
          </w:p>
        </w:tc>
        <w:tc>
          <w:tcPr>
            <w:tcW w:w="779" w:type="dxa"/>
            <w:vAlign w:val="center"/>
          </w:tcPr>
          <w:p w14:paraId="3BC38264">
            <w:pPr>
              <w:pStyle w:val="179"/>
              <w:widowControl w:val="0"/>
            </w:pPr>
            <w:r>
              <w:t>8.3</w:t>
            </w:r>
          </w:p>
        </w:tc>
        <w:tc>
          <w:tcPr>
            <w:tcW w:w="778" w:type="dxa"/>
            <w:vAlign w:val="center"/>
          </w:tcPr>
          <w:p w14:paraId="52ABDF73">
            <w:pPr>
              <w:pStyle w:val="179"/>
              <w:widowControl w:val="0"/>
            </w:pPr>
            <w:r>
              <w:t>9.7</w:t>
            </w:r>
          </w:p>
        </w:tc>
        <w:tc>
          <w:tcPr>
            <w:tcW w:w="779" w:type="dxa"/>
            <w:vAlign w:val="center"/>
          </w:tcPr>
          <w:p w14:paraId="77E6150F">
            <w:pPr>
              <w:pStyle w:val="179"/>
              <w:widowControl w:val="0"/>
            </w:pPr>
            <w:r>
              <w:t>8.3</w:t>
            </w:r>
          </w:p>
        </w:tc>
        <w:tc>
          <w:tcPr>
            <w:tcW w:w="779" w:type="dxa"/>
            <w:vAlign w:val="center"/>
          </w:tcPr>
          <w:p w14:paraId="5B1CEF21">
            <w:pPr>
              <w:pStyle w:val="179"/>
              <w:widowControl w:val="0"/>
            </w:pPr>
            <w:r>
              <w:t>5.4</w:t>
            </w:r>
          </w:p>
        </w:tc>
        <w:tc>
          <w:tcPr>
            <w:tcW w:w="779" w:type="dxa"/>
            <w:vAlign w:val="center"/>
          </w:tcPr>
          <w:p w14:paraId="68199F46">
            <w:pPr>
              <w:pStyle w:val="179"/>
              <w:widowControl w:val="0"/>
            </w:pPr>
            <w:r>
              <w:t>5.1</w:t>
            </w:r>
          </w:p>
        </w:tc>
        <w:tc>
          <w:tcPr>
            <w:tcW w:w="778" w:type="dxa"/>
            <w:vAlign w:val="center"/>
          </w:tcPr>
          <w:p w14:paraId="7FF6D63E">
            <w:pPr>
              <w:pStyle w:val="179"/>
              <w:widowControl w:val="0"/>
            </w:pPr>
            <w:r>
              <w:t>3.1</w:t>
            </w:r>
          </w:p>
        </w:tc>
        <w:tc>
          <w:tcPr>
            <w:tcW w:w="779" w:type="dxa"/>
            <w:vAlign w:val="center"/>
          </w:tcPr>
          <w:p w14:paraId="45506AF1">
            <w:pPr>
              <w:pStyle w:val="179"/>
              <w:widowControl w:val="0"/>
            </w:pPr>
            <w:r>
              <w:t>3.9</w:t>
            </w:r>
          </w:p>
        </w:tc>
        <w:tc>
          <w:tcPr>
            <w:tcW w:w="779" w:type="dxa"/>
            <w:vAlign w:val="center"/>
          </w:tcPr>
          <w:p w14:paraId="502B8550">
            <w:pPr>
              <w:pStyle w:val="179"/>
              <w:widowControl w:val="0"/>
            </w:pPr>
            <w:r>
              <w:t>4.1</w:t>
            </w:r>
          </w:p>
        </w:tc>
        <w:tc>
          <w:tcPr>
            <w:tcW w:w="779" w:type="dxa"/>
            <w:vAlign w:val="center"/>
          </w:tcPr>
          <w:p w14:paraId="65E8AC1F">
            <w:pPr>
              <w:pStyle w:val="179"/>
              <w:widowControl w:val="0"/>
            </w:pPr>
            <w:r>
              <w:t>2.6</w:t>
            </w:r>
          </w:p>
        </w:tc>
      </w:tr>
      <w:tr w14:paraId="22565BA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778" w:type="dxa"/>
            <w:vAlign w:val="center"/>
          </w:tcPr>
          <w:p w14:paraId="286DC333">
            <w:pPr>
              <w:pStyle w:val="179"/>
              <w:widowControl w:val="0"/>
            </w:pPr>
            <w:r>
              <w:t>9</w:t>
            </w:r>
          </w:p>
        </w:tc>
        <w:tc>
          <w:tcPr>
            <w:tcW w:w="779" w:type="dxa"/>
            <w:vAlign w:val="center"/>
          </w:tcPr>
          <w:p w14:paraId="79FB6175">
            <w:pPr>
              <w:pStyle w:val="179"/>
              <w:widowControl w:val="0"/>
            </w:pPr>
            <w:r>
              <w:t>6</w:t>
            </w:r>
          </w:p>
        </w:tc>
        <w:tc>
          <w:tcPr>
            <w:tcW w:w="779" w:type="dxa"/>
            <w:vAlign w:val="center"/>
          </w:tcPr>
          <w:p w14:paraId="41CDB50F">
            <w:pPr>
              <w:pStyle w:val="179"/>
              <w:widowControl w:val="0"/>
            </w:pPr>
            <w:r>
              <w:t>8.2</w:t>
            </w:r>
          </w:p>
        </w:tc>
        <w:tc>
          <w:tcPr>
            <w:tcW w:w="778" w:type="dxa"/>
            <w:vAlign w:val="center"/>
          </w:tcPr>
          <w:p w14:paraId="155C3A0E">
            <w:pPr>
              <w:pStyle w:val="179"/>
              <w:widowControl w:val="0"/>
            </w:pPr>
            <w:r>
              <w:t>3.8</w:t>
            </w:r>
          </w:p>
        </w:tc>
        <w:tc>
          <w:tcPr>
            <w:tcW w:w="779" w:type="dxa"/>
            <w:vAlign w:val="center"/>
          </w:tcPr>
          <w:p w14:paraId="2D324F32">
            <w:pPr>
              <w:pStyle w:val="179"/>
              <w:widowControl w:val="0"/>
            </w:pPr>
            <w:r>
              <w:t>2.7</w:t>
            </w:r>
          </w:p>
        </w:tc>
        <w:tc>
          <w:tcPr>
            <w:tcW w:w="779" w:type="dxa"/>
            <w:vAlign w:val="center"/>
          </w:tcPr>
          <w:p w14:paraId="6437FF32">
            <w:pPr>
              <w:pStyle w:val="179"/>
              <w:widowControl w:val="0"/>
            </w:pPr>
            <w:r>
              <w:t>3.3</w:t>
            </w:r>
          </w:p>
        </w:tc>
        <w:tc>
          <w:tcPr>
            <w:tcW w:w="779" w:type="dxa"/>
            <w:vAlign w:val="center"/>
          </w:tcPr>
          <w:p w14:paraId="6732ED83">
            <w:pPr>
              <w:pStyle w:val="179"/>
              <w:widowControl w:val="0"/>
            </w:pPr>
            <w:r>
              <w:t>5.1</w:t>
            </w:r>
          </w:p>
        </w:tc>
        <w:tc>
          <w:tcPr>
            <w:tcW w:w="778" w:type="dxa"/>
            <w:vAlign w:val="center"/>
          </w:tcPr>
          <w:p w14:paraId="22A447DE">
            <w:pPr>
              <w:pStyle w:val="179"/>
              <w:widowControl w:val="0"/>
            </w:pPr>
            <w:r>
              <w:t>5.4</w:t>
            </w:r>
          </w:p>
        </w:tc>
        <w:tc>
          <w:tcPr>
            <w:tcW w:w="779" w:type="dxa"/>
            <w:vAlign w:val="center"/>
          </w:tcPr>
          <w:p w14:paraId="27842F94">
            <w:pPr>
              <w:pStyle w:val="179"/>
              <w:widowControl w:val="0"/>
            </w:pPr>
            <w:r>
              <w:t>4.8</w:t>
            </w:r>
          </w:p>
        </w:tc>
        <w:tc>
          <w:tcPr>
            <w:tcW w:w="779" w:type="dxa"/>
            <w:vAlign w:val="center"/>
          </w:tcPr>
          <w:p w14:paraId="57463672">
            <w:pPr>
              <w:pStyle w:val="179"/>
              <w:widowControl w:val="0"/>
            </w:pPr>
            <w:r>
              <w:t>9</w:t>
            </w:r>
          </w:p>
        </w:tc>
        <w:tc>
          <w:tcPr>
            <w:tcW w:w="778" w:type="dxa"/>
            <w:vAlign w:val="center"/>
          </w:tcPr>
          <w:p w14:paraId="62F663F4">
            <w:pPr>
              <w:pStyle w:val="179"/>
              <w:widowControl w:val="0"/>
            </w:pPr>
            <w:r>
              <w:t>11.9</w:t>
            </w:r>
          </w:p>
        </w:tc>
        <w:tc>
          <w:tcPr>
            <w:tcW w:w="779" w:type="dxa"/>
            <w:vAlign w:val="center"/>
          </w:tcPr>
          <w:p w14:paraId="7F61FB90">
            <w:pPr>
              <w:pStyle w:val="179"/>
              <w:widowControl w:val="0"/>
            </w:pPr>
            <w:r>
              <w:t>9.4</w:t>
            </w:r>
          </w:p>
        </w:tc>
        <w:tc>
          <w:tcPr>
            <w:tcW w:w="779" w:type="dxa"/>
            <w:vAlign w:val="center"/>
          </w:tcPr>
          <w:p w14:paraId="50523E06">
            <w:pPr>
              <w:pStyle w:val="179"/>
              <w:widowControl w:val="0"/>
            </w:pPr>
            <w:r>
              <w:t>7.4</w:t>
            </w:r>
          </w:p>
        </w:tc>
        <w:tc>
          <w:tcPr>
            <w:tcW w:w="779" w:type="dxa"/>
            <w:vAlign w:val="center"/>
          </w:tcPr>
          <w:p w14:paraId="1E4C1567">
            <w:pPr>
              <w:pStyle w:val="179"/>
              <w:widowControl w:val="0"/>
            </w:pPr>
            <w:r>
              <w:t>6.7</w:t>
            </w:r>
          </w:p>
        </w:tc>
        <w:tc>
          <w:tcPr>
            <w:tcW w:w="778" w:type="dxa"/>
            <w:vAlign w:val="center"/>
          </w:tcPr>
          <w:p w14:paraId="245FCDA7">
            <w:pPr>
              <w:pStyle w:val="179"/>
              <w:widowControl w:val="0"/>
            </w:pPr>
            <w:r>
              <w:t>4.7</w:t>
            </w:r>
          </w:p>
        </w:tc>
        <w:tc>
          <w:tcPr>
            <w:tcW w:w="779" w:type="dxa"/>
            <w:vAlign w:val="center"/>
          </w:tcPr>
          <w:p w14:paraId="39B9E59B">
            <w:pPr>
              <w:pStyle w:val="179"/>
              <w:widowControl w:val="0"/>
            </w:pPr>
            <w:r>
              <w:t>4.4</w:t>
            </w:r>
          </w:p>
        </w:tc>
        <w:tc>
          <w:tcPr>
            <w:tcW w:w="779" w:type="dxa"/>
            <w:vAlign w:val="center"/>
          </w:tcPr>
          <w:p w14:paraId="70943DDD">
            <w:pPr>
              <w:pStyle w:val="179"/>
              <w:widowControl w:val="0"/>
            </w:pPr>
            <w:r>
              <w:t>4.8</w:t>
            </w:r>
          </w:p>
        </w:tc>
        <w:tc>
          <w:tcPr>
            <w:tcW w:w="779" w:type="dxa"/>
            <w:vAlign w:val="center"/>
          </w:tcPr>
          <w:p w14:paraId="4C331032">
            <w:pPr>
              <w:pStyle w:val="179"/>
              <w:widowControl w:val="0"/>
            </w:pPr>
            <w:r>
              <w:t>2.7</w:t>
            </w:r>
          </w:p>
        </w:tc>
      </w:tr>
      <w:tr w14:paraId="3149C33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778" w:type="dxa"/>
            <w:vAlign w:val="center"/>
          </w:tcPr>
          <w:p w14:paraId="475ADC75">
            <w:pPr>
              <w:pStyle w:val="179"/>
              <w:widowControl w:val="0"/>
            </w:pPr>
            <w:r>
              <w:t>10</w:t>
            </w:r>
          </w:p>
        </w:tc>
        <w:tc>
          <w:tcPr>
            <w:tcW w:w="779" w:type="dxa"/>
            <w:vAlign w:val="center"/>
          </w:tcPr>
          <w:p w14:paraId="1F7881D5">
            <w:pPr>
              <w:pStyle w:val="179"/>
              <w:widowControl w:val="0"/>
            </w:pPr>
            <w:r>
              <w:t>5.7</w:t>
            </w:r>
          </w:p>
        </w:tc>
        <w:tc>
          <w:tcPr>
            <w:tcW w:w="779" w:type="dxa"/>
            <w:vAlign w:val="center"/>
          </w:tcPr>
          <w:p w14:paraId="4F1ED0A8">
            <w:pPr>
              <w:pStyle w:val="179"/>
              <w:widowControl w:val="0"/>
            </w:pPr>
            <w:r>
              <w:t>6.4</w:t>
            </w:r>
          </w:p>
        </w:tc>
        <w:tc>
          <w:tcPr>
            <w:tcW w:w="778" w:type="dxa"/>
            <w:vAlign w:val="center"/>
          </w:tcPr>
          <w:p w14:paraId="148C4D33">
            <w:pPr>
              <w:pStyle w:val="179"/>
              <w:widowControl w:val="0"/>
            </w:pPr>
            <w:r>
              <w:t>3.3</w:t>
            </w:r>
          </w:p>
        </w:tc>
        <w:tc>
          <w:tcPr>
            <w:tcW w:w="779" w:type="dxa"/>
            <w:vAlign w:val="center"/>
          </w:tcPr>
          <w:p w14:paraId="3CC3AE6C">
            <w:pPr>
              <w:pStyle w:val="179"/>
              <w:widowControl w:val="0"/>
            </w:pPr>
            <w:r>
              <w:t>1.9</w:t>
            </w:r>
          </w:p>
        </w:tc>
        <w:tc>
          <w:tcPr>
            <w:tcW w:w="779" w:type="dxa"/>
            <w:vAlign w:val="center"/>
          </w:tcPr>
          <w:p w14:paraId="137A82BF">
            <w:pPr>
              <w:pStyle w:val="179"/>
              <w:widowControl w:val="0"/>
            </w:pPr>
            <w:r>
              <w:t>2.3</w:t>
            </w:r>
          </w:p>
        </w:tc>
        <w:tc>
          <w:tcPr>
            <w:tcW w:w="779" w:type="dxa"/>
            <w:vAlign w:val="center"/>
          </w:tcPr>
          <w:p w14:paraId="6AFFA056">
            <w:pPr>
              <w:pStyle w:val="179"/>
              <w:widowControl w:val="0"/>
            </w:pPr>
            <w:r>
              <w:t>4.5</w:t>
            </w:r>
          </w:p>
        </w:tc>
        <w:tc>
          <w:tcPr>
            <w:tcW w:w="778" w:type="dxa"/>
            <w:vAlign w:val="center"/>
          </w:tcPr>
          <w:p w14:paraId="508E095C">
            <w:pPr>
              <w:pStyle w:val="179"/>
              <w:widowControl w:val="0"/>
            </w:pPr>
            <w:r>
              <w:t>4.1</w:t>
            </w:r>
          </w:p>
        </w:tc>
        <w:tc>
          <w:tcPr>
            <w:tcW w:w="779" w:type="dxa"/>
            <w:vAlign w:val="center"/>
          </w:tcPr>
          <w:p w14:paraId="056856CE">
            <w:pPr>
              <w:pStyle w:val="179"/>
              <w:widowControl w:val="0"/>
            </w:pPr>
            <w:r>
              <w:t>3.5</w:t>
            </w:r>
          </w:p>
        </w:tc>
        <w:tc>
          <w:tcPr>
            <w:tcW w:w="779" w:type="dxa"/>
            <w:vAlign w:val="center"/>
          </w:tcPr>
          <w:p w14:paraId="68BC4822">
            <w:pPr>
              <w:pStyle w:val="179"/>
              <w:widowControl w:val="0"/>
            </w:pPr>
            <w:r>
              <w:t>6.4</w:t>
            </w:r>
          </w:p>
        </w:tc>
        <w:tc>
          <w:tcPr>
            <w:tcW w:w="778" w:type="dxa"/>
            <w:vAlign w:val="center"/>
          </w:tcPr>
          <w:p w14:paraId="165B8EA3">
            <w:pPr>
              <w:pStyle w:val="179"/>
              <w:widowControl w:val="0"/>
            </w:pPr>
            <w:r>
              <w:t>10.1</w:t>
            </w:r>
          </w:p>
        </w:tc>
        <w:tc>
          <w:tcPr>
            <w:tcW w:w="779" w:type="dxa"/>
            <w:vAlign w:val="center"/>
          </w:tcPr>
          <w:p w14:paraId="47942055">
            <w:pPr>
              <w:pStyle w:val="179"/>
              <w:widowControl w:val="0"/>
            </w:pPr>
            <w:r>
              <w:t>10.1</w:t>
            </w:r>
          </w:p>
        </w:tc>
        <w:tc>
          <w:tcPr>
            <w:tcW w:w="779" w:type="dxa"/>
            <w:vAlign w:val="center"/>
          </w:tcPr>
          <w:p w14:paraId="379D53BB">
            <w:pPr>
              <w:pStyle w:val="179"/>
              <w:widowControl w:val="0"/>
            </w:pPr>
            <w:r>
              <w:t>9.1</w:t>
            </w:r>
          </w:p>
        </w:tc>
        <w:tc>
          <w:tcPr>
            <w:tcW w:w="779" w:type="dxa"/>
            <w:vAlign w:val="center"/>
          </w:tcPr>
          <w:p w14:paraId="082F3D42">
            <w:pPr>
              <w:pStyle w:val="179"/>
              <w:widowControl w:val="0"/>
            </w:pPr>
            <w:r>
              <w:t>7.4</w:t>
            </w:r>
          </w:p>
        </w:tc>
        <w:tc>
          <w:tcPr>
            <w:tcW w:w="778" w:type="dxa"/>
            <w:vAlign w:val="center"/>
          </w:tcPr>
          <w:p w14:paraId="66CB6A73">
            <w:pPr>
              <w:pStyle w:val="179"/>
              <w:widowControl w:val="0"/>
            </w:pPr>
            <w:r>
              <w:t>6.1</w:t>
            </w:r>
          </w:p>
        </w:tc>
        <w:tc>
          <w:tcPr>
            <w:tcW w:w="779" w:type="dxa"/>
            <w:vAlign w:val="center"/>
          </w:tcPr>
          <w:p w14:paraId="25CCACC8">
            <w:pPr>
              <w:pStyle w:val="179"/>
              <w:widowControl w:val="0"/>
            </w:pPr>
            <w:r>
              <w:t>7.6</w:t>
            </w:r>
          </w:p>
        </w:tc>
        <w:tc>
          <w:tcPr>
            <w:tcW w:w="779" w:type="dxa"/>
            <w:vAlign w:val="center"/>
          </w:tcPr>
          <w:p w14:paraId="2BE1F84E">
            <w:pPr>
              <w:pStyle w:val="179"/>
              <w:widowControl w:val="0"/>
            </w:pPr>
            <w:r>
              <w:t>6.8</w:t>
            </w:r>
          </w:p>
        </w:tc>
        <w:tc>
          <w:tcPr>
            <w:tcW w:w="779" w:type="dxa"/>
            <w:vAlign w:val="center"/>
          </w:tcPr>
          <w:p w14:paraId="5DA51369">
            <w:pPr>
              <w:pStyle w:val="179"/>
              <w:widowControl w:val="0"/>
            </w:pPr>
            <w:r>
              <w:t>3.9</w:t>
            </w:r>
          </w:p>
        </w:tc>
      </w:tr>
      <w:tr w14:paraId="1A80B19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778" w:type="dxa"/>
            <w:vAlign w:val="center"/>
          </w:tcPr>
          <w:p w14:paraId="60AA8C4D">
            <w:pPr>
              <w:pStyle w:val="179"/>
              <w:widowControl w:val="0"/>
            </w:pPr>
            <w:r>
              <w:t>11</w:t>
            </w:r>
          </w:p>
        </w:tc>
        <w:tc>
          <w:tcPr>
            <w:tcW w:w="779" w:type="dxa"/>
            <w:vAlign w:val="center"/>
          </w:tcPr>
          <w:p w14:paraId="1C1AD8F1">
            <w:pPr>
              <w:pStyle w:val="179"/>
              <w:widowControl w:val="0"/>
            </w:pPr>
            <w:r>
              <w:t>6</w:t>
            </w:r>
          </w:p>
        </w:tc>
        <w:tc>
          <w:tcPr>
            <w:tcW w:w="779" w:type="dxa"/>
            <w:vAlign w:val="center"/>
          </w:tcPr>
          <w:p w14:paraId="2D142706">
            <w:pPr>
              <w:pStyle w:val="179"/>
              <w:widowControl w:val="0"/>
            </w:pPr>
            <w:r>
              <w:t>6.5</w:t>
            </w:r>
          </w:p>
        </w:tc>
        <w:tc>
          <w:tcPr>
            <w:tcW w:w="778" w:type="dxa"/>
            <w:vAlign w:val="center"/>
          </w:tcPr>
          <w:p w14:paraId="4B2E44EC">
            <w:pPr>
              <w:pStyle w:val="179"/>
              <w:widowControl w:val="0"/>
            </w:pPr>
            <w:r>
              <w:t>4.8</w:t>
            </w:r>
          </w:p>
        </w:tc>
        <w:tc>
          <w:tcPr>
            <w:tcW w:w="779" w:type="dxa"/>
            <w:vAlign w:val="center"/>
          </w:tcPr>
          <w:p w14:paraId="4F607ABB">
            <w:pPr>
              <w:pStyle w:val="179"/>
              <w:widowControl w:val="0"/>
            </w:pPr>
            <w:r>
              <w:t>2.3</w:t>
            </w:r>
          </w:p>
        </w:tc>
        <w:tc>
          <w:tcPr>
            <w:tcW w:w="779" w:type="dxa"/>
            <w:vAlign w:val="center"/>
          </w:tcPr>
          <w:p w14:paraId="688BE440">
            <w:pPr>
              <w:pStyle w:val="179"/>
              <w:widowControl w:val="0"/>
            </w:pPr>
            <w:r>
              <w:t>2.4</w:t>
            </w:r>
          </w:p>
        </w:tc>
        <w:tc>
          <w:tcPr>
            <w:tcW w:w="779" w:type="dxa"/>
            <w:vAlign w:val="center"/>
          </w:tcPr>
          <w:p w14:paraId="3ECE4FE3">
            <w:pPr>
              <w:pStyle w:val="179"/>
              <w:widowControl w:val="0"/>
            </w:pPr>
            <w:r>
              <w:t>4.1</w:t>
            </w:r>
          </w:p>
        </w:tc>
        <w:tc>
          <w:tcPr>
            <w:tcW w:w="778" w:type="dxa"/>
            <w:vAlign w:val="center"/>
          </w:tcPr>
          <w:p w14:paraId="315EF327">
            <w:pPr>
              <w:pStyle w:val="179"/>
              <w:widowControl w:val="0"/>
            </w:pPr>
            <w:r>
              <w:t>4.7</w:t>
            </w:r>
          </w:p>
        </w:tc>
        <w:tc>
          <w:tcPr>
            <w:tcW w:w="779" w:type="dxa"/>
            <w:vAlign w:val="center"/>
          </w:tcPr>
          <w:p w14:paraId="1483C383">
            <w:pPr>
              <w:pStyle w:val="179"/>
              <w:widowControl w:val="0"/>
            </w:pPr>
            <w:r>
              <w:t>4</w:t>
            </w:r>
          </w:p>
        </w:tc>
        <w:tc>
          <w:tcPr>
            <w:tcW w:w="779" w:type="dxa"/>
            <w:vAlign w:val="center"/>
          </w:tcPr>
          <w:p w14:paraId="0DDD7218">
            <w:pPr>
              <w:pStyle w:val="179"/>
              <w:widowControl w:val="0"/>
            </w:pPr>
            <w:r>
              <w:t>6.6</w:t>
            </w:r>
          </w:p>
        </w:tc>
        <w:tc>
          <w:tcPr>
            <w:tcW w:w="778" w:type="dxa"/>
            <w:vAlign w:val="center"/>
          </w:tcPr>
          <w:p w14:paraId="7F93FC6E">
            <w:pPr>
              <w:pStyle w:val="179"/>
              <w:widowControl w:val="0"/>
            </w:pPr>
            <w:r>
              <w:t>9.5</w:t>
            </w:r>
          </w:p>
        </w:tc>
        <w:tc>
          <w:tcPr>
            <w:tcW w:w="779" w:type="dxa"/>
            <w:vAlign w:val="center"/>
          </w:tcPr>
          <w:p w14:paraId="20E5A997">
            <w:pPr>
              <w:pStyle w:val="179"/>
              <w:widowControl w:val="0"/>
            </w:pPr>
            <w:r>
              <w:t>9.9</w:t>
            </w:r>
          </w:p>
        </w:tc>
        <w:tc>
          <w:tcPr>
            <w:tcW w:w="779" w:type="dxa"/>
            <w:vAlign w:val="center"/>
          </w:tcPr>
          <w:p w14:paraId="068A38A6">
            <w:pPr>
              <w:pStyle w:val="179"/>
              <w:widowControl w:val="0"/>
            </w:pPr>
            <w:r>
              <w:t>10.9</w:t>
            </w:r>
          </w:p>
        </w:tc>
        <w:tc>
          <w:tcPr>
            <w:tcW w:w="779" w:type="dxa"/>
            <w:vAlign w:val="center"/>
          </w:tcPr>
          <w:p w14:paraId="01DE9EBD">
            <w:pPr>
              <w:pStyle w:val="179"/>
              <w:widowControl w:val="0"/>
            </w:pPr>
            <w:r>
              <w:t>7.8</w:t>
            </w:r>
          </w:p>
        </w:tc>
        <w:tc>
          <w:tcPr>
            <w:tcW w:w="778" w:type="dxa"/>
            <w:vAlign w:val="center"/>
          </w:tcPr>
          <w:p w14:paraId="2B934BCA">
            <w:pPr>
              <w:pStyle w:val="179"/>
              <w:widowControl w:val="0"/>
            </w:pPr>
            <w:r>
              <w:t>5.4</w:t>
            </w:r>
          </w:p>
        </w:tc>
        <w:tc>
          <w:tcPr>
            <w:tcW w:w="779" w:type="dxa"/>
            <w:vAlign w:val="center"/>
          </w:tcPr>
          <w:p w14:paraId="1BC49FFD">
            <w:pPr>
              <w:pStyle w:val="179"/>
              <w:widowControl w:val="0"/>
            </w:pPr>
            <w:r>
              <w:t>5.3</w:t>
            </w:r>
          </w:p>
        </w:tc>
        <w:tc>
          <w:tcPr>
            <w:tcW w:w="779" w:type="dxa"/>
            <w:vAlign w:val="center"/>
          </w:tcPr>
          <w:p w14:paraId="28C30FE9">
            <w:pPr>
              <w:pStyle w:val="179"/>
              <w:widowControl w:val="0"/>
            </w:pPr>
            <w:r>
              <w:t>5.6</w:t>
            </w:r>
          </w:p>
        </w:tc>
        <w:tc>
          <w:tcPr>
            <w:tcW w:w="779" w:type="dxa"/>
            <w:vAlign w:val="center"/>
          </w:tcPr>
          <w:p w14:paraId="6CED5FE5">
            <w:pPr>
              <w:pStyle w:val="179"/>
              <w:widowControl w:val="0"/>
            </w:pPr>
            <w:r>
              <w:t>5.4</w:t>
            </w:r>
          </w:p>
        </w:tc>
      </w:tr>
      <w:tr w14:paraId="72377C5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778" w:type="dxa"/>
            <w:vAlign w:val="center"/>
          </w:tcPr>
          <w:p w14:paraId="13A85CAF">
            <w:pPr>
              <w:pStyle w:val="179"/>
              <w:widowControl w:val="0"/>
            </w:pPr>
            <w:r>
              <w:t>12</w:t>
            </w:r>
          </w:p>
        </w:tc>
        <w:tc>
          <w:tcPr>
            <w:tcW w:w="779" w:type="dxa"/>
            <w:vAlign w:val="center"/>
          </w:tcPr>
          <w:p w14:paraId="7E28315B">
            <w:pPr>
              <w:pStyle w:val="179"/>
              <w:widowControl w:val="0"/>
            </w:pPr>
            <w:r>
              <w:t>5.2</w:t>
            </w:r>
          </w:p>
        </w:tc>
        <w:tc>
          <w:tcPr>
            <w:tcW w:w="779" w:type="dxa"/>
            <w:vAlign w:val="center"/>
          </w:tcPr>
          <w:p w14:paraId="07E91085">
            <w:pPr>
              <w:pStyle w:val="179"/>
              <w:widowControl w:val="0"/>
            </w:pPr>
            <w:r>
              <w:t>5.7</w:t>
            </w:r>
          </w:p>
        </w:tc>
        <w:tc>
          <w:tcPr>
            <w:tcW w:w="778" w:type="dxa"/>
            <w:vAlign w:val="center"/>
          </w:tcPr>
          <w:p w14:paraId="14AEED1E">
            <w:pPr>
              <w:pStyle w:val="179"/>
              <w:widowControl w:val="0"/>
            </w:pPr>
            <w:r>
              <w:t>4.4</w:t>
            </w:r>
          </w:p>
        </w:tc>
        <w:tc>
          <w:tcPr>
            <w:tcW w:w="779" w:type="dxa"/>
            <w:vAlign w:val="center"/>
          </w:tcPr>
          <w:p w14:paraId="083D8A48">
            <w:pPr>
              <w:pStyle w:val="179"/>
              <w:widowControl w:val="0"/>
            </w:pPr>
            <w:r>
              <w:t>3.2</w:t>
            </w:r>
          </w:p>
        </w:tc>
        <w:tc>
          <w:tcPr>
            <w:tcW w:w="779" w:type="dxa"/>
            <w:vAlign w:val="center"/>
          </w:tcPr>
          <w:p w14:paraId="5D26400B">
            <w:pPr>
              <w:pStyle w:val="179"/>
              <w:widowControl w:val="0"/>
            </w:pPr>
            <w:r>
              <w:t>3.2</w:t>
            </w:r>
          </w:p>
        </w:tc>
        <w:tc>
          <w:tcPr>
            <w:tcW w:w="779" w:type="dxa"/>
            <w:vAlign w:val="center"/>
          </w:tcPr>
          <w:p w14:paraId="25C8680B">
            <w:pPr>
              <w:pStyle w:val="179"/>
              <w:widowControl w:val="0"/>
            </w:pPr>
            <w:r>
              <w:t>4.5</w:t>
            </w:r>
          </w:p>
        </w:tc>
        <w:tc>
          <w:tcPr>
            <w:tcW w:w="778" w:type="dxa"/>
            <w:vAlign w:val="center"/>
          </w:tcPr>
          <w:p w14:paraId="705B3F0D">
            <w:pPr>
              <w:pStyle w:val="179"/>
              <w:widowControl w:val="0"/>
            </w:pPr>
            <w:r>
              <w:t>4.9</w:t>
            </w:r>
          </w:p>
        </w:tc>
        <w:tc>
          <w:tcPr>
            <w:tcW w:w="779" w:type="dxa"/>
            <w:vAlign w:val="center"/>
          </w:tcPr>
          <w:p w14:paraId="41227AAA">
            <w:pPr>
              <w:pStyle w:val="179"/>
              <w:widowControl w:val="0"/>
            </w:pPr>
            <w:r>
              <w:t>4.4</w:t>
            </w:r>
          </w:p>
        </w:tc>
        <w:tc>
          <w:tcPr>
            <w:tcW w:w="779" w:type="dxa"/>
            <w:vAlign w:val="center"/>
          </w:tcPr>
          <w:p w14:paraId="7301EAC4">
            <w:pPr>
              <w:pStyle w:val="179"/>
              <w:widowControl w:val="0"/>
            </w:pPr>
            <w:r>
              <w:t>4.8</w:t>
            </w:r>
          </w:p>
        </w:tc>
        <w:tc>
          <w:tcPr>
            <w:tcW w:w="778" w:type="dxa"/>
            <w:vAlign w:val="center"/>
          </w:tcPr>
          <w:p w14:paraId="73A196E2">
            <w:pPr>
              <w:pStyle w:val="179"/>
              <w:widowControl w:val="0"/>
            </w:pPr>
            <w:r>
              <w:t>6.8</w:t>
            </w:r>
          </w:p>
        </w:tc>
        <w:tc>
          <w:tcPr>
            <w:tcW w:w="779" w:type="dxa"/>
            <w:vAlign w:val="center"/>
          </w:tcPr>
          <w:p w14:paraId="04ED2201">
            <w:pPr>
              <w:pStyle w:val="179"/>
              <w:widowControl w:val="0"/>
            </w:pPr>
            <w:r>
              <w:t>10.2</w:t>
            </w:r>
          </w:p>
        </w:tc>
        <w:tc>
          <w:tcPr>
            <w:tcW w:w="779" w:type="dxa"/>
            <w:vAlign w:val="center"/>
          </w:tcPr>
          <w:p w14:paraId="74BC7541">
            <w:pPr>
              <w:pStyle w:val="179"/>
              <w:widowControl w:val="0"/>
            </w:pPr>
            <w:r>
              <w:t>11.4</w:t>
            </w:r>
          </w:p>
        </w:tc>
        <w:tc>
          <w:tcPr>
            <w:tcW w:w="779" w:type="dxa"/>
            <w:vAlign w:val="center"/>
          </w:tcPr>
          <w:p w14:paraId="08323299">
            <w:pPr>
              <w:pStyle w:val="179"/>
              <w:widowControl w:val="0"/>
            </w:pPr>
            <w:r>
              <w:t>8.2</w:t>
            </w:r>
          </w:p>
        </w:tc>
        <w:tc>
          <w:tcPr>
            <w:tcW w:w="778" w:type="dxa"/>
            <w:vAlign w:val="center"/>
          </w:tcPr>
          <w:p w14:paraId="64CDEAD4">
            <w:pPr>
              <w:pStyle w:val="179"/>
              <w:widowControl w:val="0"/>
            </w:pPr>
            <w:r>
              <w:t>3.7</w:t>
            </w:r>
          </w:p>
        </w:tc>
        <w:tc>
          <w:tcPr>
            <w:tcW w:w="779" w:type="dxa"/>
            <w:vAlign w:val="center"/>
          </w:tcPr>
          <w:p w14:paraId="7E5C9741">
            <w:pPr>
              <w:pStyle w:val="179"/>
              <w:widowControl w:val="0"/>
            </w:pPr>
            <w:r>
              <w:t>5</w:t>
            </w:r>
          </w:p>
        </w:tc>
        <w:tc>
          <w:tcPr>
            <w:tcW w:w="779" w:type="dxa"/>
            <w:vAlign w:val="center"/>
          </w:tcPr>
          <w:p w14:paraId="4DCE977C">
            <w:pPr>
              <w:pStyle w:val="179"/>
              <w:widowControl w:val="0"/>
            </w:pPr>
            <w:r>
              <w:t>5</w:t>
            </w:r>
          </w:p>
        </w:tc>
        <w:tc>
          <w:tcPr>
            <w:tcW w:w="779" w:type="dxa"/>
            <w:vAlign w:val="center"/>
          </w:tcPr>
          <w:p w14:paraId="211FC5D5">
            <w:pPr>
              <w:pStyle w:val="179"/>
              <w:widowControl w:val="0"/>
            </w:pPr>
            <w:r>
              <w:t>9.2</w:t>
            </w:r>
          </w:p>
        </w:tc>
      </w:tr>
      <w:tr w14:paraId="0DAAAE4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778" w:type="dxa"/>
            <w:vAlign w:val="center"/>
          </w:tcPr>
          <w:p w14:paraId="70DE2920">
            <w:pPr>
              <w:pStyle w:val="179"/>
              <w:widowControl w:val="0"/>
            </w:pPr>
            <w:r>
              <w:rPr>
                <w:rFonts w:hint="eastAsia"/>
              </w:rPr>
              <w:t>全年</w:t>
            </w:r>
          </w:p>
        </w:tc>
        <w:tc>
          <w:tcPr>
            <w:tcW w:w="779" w:type="dxa"/>
            <w:vAlign w:val="center"/>
          </w:tcPr>
          <w:p w14:paraId="1C85CC0D">
            <w:pPr>
              <w:pStyle w:val="179"/>
              <w:widowControl w:val="0"/>
            </w:pPr>
            <w:r>
              <w:t>6.36</w:t>
            </w:r>
          </w:p>
        </w:tc>
        <w:tc>
          <w:tcPr>
            <w:tcW w:w="779" w:type="dxa"/>
            <w:vAlign w:val="center"/>
          </w:tcPr>
          <w:p w14:paraId="5C2941D9">
            <w:pPr>
              <w:pStyle w:val="179"/>
              <w:widowControl w:val="0"/>
            </w:pPr>
            <w:r>
              <w:t>7.695</w:t>
            </w:r>
          </w:p>
        </w:tc>
        <w:tc>
          <w:tcPr>
            <w:tcW w:w="778" w:type="dxa"/>
            <w:vAlign w:val="center"/>
          </w:tcPr>
          <w:p w14:paraId="7AC01784">
            <w:pPr>
              <w:pStyle w:val="179"/>
              <w:widowControl w:val="0"/>
            </w:pPr>
            <w:r>
              <w:t>5</w:t>
            </w:r>
          </w:p>
        </w:tc>
        <w:tc>
          <w:tcPr>
            <w:tcW w:w="779" w:type="dxa"/>
            <w:vAlign w:val="center"/>
          </w:tcPr>
          <w:p w14:paraId="7276ED85">
            <w:pPr>
              <w:pStyle w:val="179"/>
              <w:widowControl w:val="0"/>
            </w:pPr>
            <w:r>
              <w:t>3.335</w:t>
            </w:r>
          </w:p>
        </w:tc>
        <w:tc>
          <w:tcPr>
            <w:tcW w:w="779" w:type="dxa"/>
            <w:vAlign w:val="center"/>
          </w:tcPr>
          <w:p w14:paraId="4596B8E5">
            <w:pPr>
              <w:pStyle w:val="179"/>
              <w:widowControl w:val="0"/>
            </w:pPr>
            <w:r>
              <w:t>3.565</w:t>
            </w:r>
          </w:p>
        </w:tc>
        <w:tc>
          <w:tcPr>
            <w:tcW w:w="779" w:type="dxa"/>
            <w:vAlign w:val="center"/>
          </w:tcPr>
          <w:p w14:paraId="6E4EF1B5">
            <w:pPr>
              <w:pStyle w:val="179"/>
              <w:widowControl w:val="0"/>
            </w:pPr>
            <w:r>
              <w:t>5.255</w:t>
            </w:r>
          </w:p>
        </w:tc>
        <w:tc>
          <w:tcPr>
            <w:tcW w:w="778" w:type="dxa"/>
            <w:vAlign w:val="center"/>
          </w:tcPr>
          <w:p w14:paraId="30E8BCBD">
            <w:pPr>
              <w:pStyle w:val="179"/>
              <w:widowControl w:val="0"/>
            </w:pPr>
            <w:r>
              <w:t>5.235</w:t>
            </w:r>
          </w:p>
        </w:tc>
        <w:tc>
          <w:tcPr>
            <w:tcW w:w="779" w:type="dxa"/>
            <w:vAlign w:val="center"/>
          </w:tcPr>
          <w:p w14:paraId="40774536">
            <w:pPr>
              <w:pStyle w:val="179"/>
              <w:widowControl w:val="0"/>
            </w:pPr>
            <w:r>
              <w:t>4.64</w:t>
            </w:r>
          </w:p>
        </w:tc>
        <w:tc>
          <w:tcPr>
            <w:tcW w:w="779" w:type="dxa"/>
            <w:vAlign w:val="center"/>
          </w:tcPr>
          <w:p w14:paraId="6E5F2840">
            <w:pPr>
              <w:pStyle w:val="179"/>
              <w:widowControl w:val="0"/>
            </w:pPr>
            <w:r>
              <w:t>7.175</w:t>
            </w:r>
          </w:p>
        </w:tc>
        <w:tc>
          <w:tcPr>
            <w:tcW w:w="778" w:type="dxa"/>
            <w:vAlign w:val="center"/>
          </w:tcPr>
          <w:p w14:paraId="5893DFDD">
            <w:pPr>
              <w:pStyle w:val="179"/>
              <w:widowControl w:val="0"/>
            </w:pPr>
            <w:r>
              <w:t>8.91</w:t>
            </w:r>
          </w:p>
        </w:tc>
        <w:tc>
          <w:tcPr>
            <w:tcW w:w="779" w:type="dxa"/>
            <w:vAlign w:val="center"/>
          </w:tcPr>
          <w:p w14:paraId="3F2FD665">
            <w:pPr>
              <w:pStyle w:val="179"/>
              <w:widowControl w:val="0"/>
            </w:pPr>
            <w:r>
              <w:t>9.37</w:t>
            </w:r>
          </w:p>
        </w:tc>
        <w:tc>
          <w:tcPr>
            <w:tcW w:w="779" w:type="dxa"/>
            <w:vAlign w:val="center"/>
          </w:tcPr>
          <w:p w14:paraId="763D3369">
            <w:pPr>
              <w:pStyle w:val="179"/>
              <w:widowControl w:val="0"/>
            </w:pPr>
            <w:r>
              <w:t>8.08</w:t>
            </w:r>
          </w:p>
        </w:tc>
        <w:tc>
          <w:tcPr>
            <w:tcW w:w="779" w:type="dxa"/>
            <w:vAlign w:val="center"/>
          </w:tcPr>
          <w:p w14:paraId="38A286E4">
            <w:pPr>
              <w:pStyle w:val="179"/>
              <w:widowControl w:val="0"/>
            </w:pPr>
            <w:r>
              <w:t>6.31</w:t>
            </w:r>
          </w:p>
        </w:tc>
        <w:tc>
          <w:tcPr>
            <w:tcW w:w="778" w:type="dxa"/>
            <w:vAlign w:val="center"/>
          </w:tcPr>
          <w:p w14:paraId="419CCCF0">
            <w:pPr>
              <w:pStyle w:val="179"/>
              <w:widowControl w:val="0"/>
            </w:pPr>
            <w:r>
              <w:t>4.175</w:t>
            </w:r>
          </w:p>
        </w:tc>
        <w:tc>
          <w:tcPr>
            <w:tcW w:w="779" w:type="dxa"/>
            <w:vAlign w:val="center"/>
          </w:tcPr>
          <w:p w14:paraId="6D878182">
            <w:pPr>
              <w:pStyle w:val="179"/>
              <w:widowControl w:val="0"/>
            </w:pPr>
            <w:r>
              <w:t>4.655</w:t>
            </w:r>
          </w:p>
        </w:tc>
        <w:tc>
          <w:tcPr>
            <w:tcW w:w="779" w:type="dxa"/>
            <w:vAlign w:val="center"/>
          </w:tcPr>
          <w:p w14:paraId="05DAA4EC">
            <w:pPr>
              <w:pStyle w:val="179"/>
              <w:widowControl w:val="0"/>
            </w:pPr>
            <w:r>
              <w:t>5.36</w:t>
            </w:r>
          </w:p>
        </w:tc>
        <w:tc>
          <w:tcPr>
            <w:tcW w:w="779" w:type="dxa"/>
            <w:vAlign w:val="center"/>
          </w:tcPr>
          <w:p w14:paraId="2E576E65">
            <w:pPr>
              <w:pStyle w:val="179"/>
              <w:widowControl w:val="0"/>
            </w:pPr>
            <w:r>
              <w:t>4.695</w:t>
            </w:r>
          </w:p>
        </w:tc>
      </w:tr>
    </w:tbl>
    <w:p w14:paraId="7A1762AD">
      <w:pPr>
        <w:pStyle w:val="179"/>
        <w:sectPr>
          <w:pgSz w:w="16783" w:h="11850" w:orient="landscape"/>
          <w:pgMar w:top="1797" w:right="1440" w:bottom="1797" w:left="1440" w:header="851" w:footer="992" w:gutter="0"/>
          <w:cols w:space="720" w:num="1"/>
          <w:docGrid w:linePitch="326" w:charSpace="0"/>
        </w:sectPr>
      </w:pPr>
    </w:p>
    <w:p w14:paraId="7396DDC8">
      <w:pPr>
        <w:pStyle w:val="179"/>
      </w:pPr>
      <w:r>
        <w:rPr>
          <w:rFonts w:hint="eastAsia"/>
        </w:rPr>
        <w:drawing>
          <wp:inline distT="0" distB="0" distL="0" distR="0">
            <wp:extent cx="5143500" cy="7973060"/>
            <wp:effectExtent l="19050" t="19050" r="18704" b="27709"/>
            <wp:docPr id="4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32"/>
                    <pic:cNvPicPr>
                      <a:picLocks noChangeAspect="1" noChangeArrowheads="1"/>
                    </pic:cNvPicPr>
                  </pic:nvPicPr>
                  <pic:blipFill>
                    <a:blip r:embed="rId62"/>
                    <a:srcRect l="588" t="518" r="1271" b="1005"/>
                    <a:stretch>
                      <a:fillRect/>
                    </a:stretch>
                  </pic:blipFill>
                  <pic:spPr>
                    <a:xfrm>
                      <a:off x="0" y="0"/>
                      <a:ext cx="5143846" cy="7973291"/>
                    </a:xfrm>
                    <a:prstGeom prst="rect">
                      <a:avLst/>
                    </a:prstGeom>
                    <a:noFill/>
                    <a:ln w="9525">
                      <a:solidFill>
                        <a:schemeClr val="tx1"/>
                      </a:solidFill>
                      <a:miter lim="800000"/>
                      <a:headEnd/>
                      <a:tailEnd/>
                    </a:ln>
                  </pic:spPr>
                </pic:pic>
              </a:graphicData>
            </a:graphic>
          </wp:inline>
        </w:drawing>
      </w:r>
      <w:r>
        <w:rPr>
          <w:rFonts w:hint="eastAsia"/>
        </w:rPr>
        <w:drawing>
          <wp:inline distT="0" distB="0" distL="0" distR="0">
            <wp:extent cx="5240020" cy="8096250"/>
            <wp:effectExtent l="19050" t="19050" r="17665" b="18704"/>
            <wp:docPr id="5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33"/>
                    <pic:cNvPicPr>
                      <a:picLocks noChangeAspect="1" noChangeArrowheads="1"/>
                    </pic:cNvPicPr>
                  </pic:nvPicPr>
                  <pic:blipFill>
                    <a:blip r:embed="rId63"/>
                    <a:srcRect t="340" b="372"/>
                    <a:stretch>
                      <a:fillRect/>
                    </a:stretch>
                  </pic:blipFill>
                  <pic:spPr>
                    <a:xfrm>
                      <a:off x="0" y="0"/>
                      <a:ext cx="5240135" cy="8096596"/>
                    </a:xfrm>
                    <a:prstGeom prst="rect">
                      <a:avLst/>
                    </a:prstGeom>
                    <a:noFill/>
                    <a:ln w="9525">
                      <a:solidFill>
                        <a:schemeClr val="tx1"/>
                      </a:solidFill>
                      <a:miter lim="800000"/>
                      <a:headEnd/>
                      <a:tailEnd/>
                    </a:ln>
                  </pic:spPr>
                </pic:pic>
              </a:graphicData>
            </a:graphic>
          </wp:inline>
        </w:drawing>
      </w:r>
    </w:p>
    <w:p w14:paraId="79ADD26F">
      <w:pPr>
        <w:pStyle w:val="179"/>
      </w:pPr>
      <w:r>
        <w:drawing>
          <wp:inline distT="0" distB="0" distL="0" distR="0">
            <wp:extent cx="2477135" cy="2266315"/>
            <wp:effectExtent l="19050" t="19050" r="18415" b="19685"/>
            <wp:docPr id="58"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34"/>
                    <pic:cNvPicPr>
                      <a:picLocks noChangeAspect="1" noChangeArrowheads="1"/>
                    </pic:cNvPicPr>
                  </pic:nvPicPr>
                  <pic:blipFill>
                    <a:blip r:embed="rId57"/>
                    <a:srcRect/>
                    <a:stretch>
                      <a:fillRect/>
                    </a:stretch>
                  </pic:blipFill>
                  <pic:spPr>
                    <a:xfrm>
                      <a:off x="0" y="0"/>
                      <a:ext cx="2477135" cy="2266315"/>
                    </a:xfrm>
                    <a:prstGeom prst="rect">
                      <a:avLst/>
                    </a:prstGeom>
                    <a:noFill/>
                    <a:ln w="9525">
                      <a:solidFill>
                        <a:schemeClr val="tx1"/>
                      </a:solidFill>
                      <a:miter lim="800000"/>
                      <a:headEnd/>
                      <a:tailEnd/>
                    </a:ln>
                  </pic:spPr>
                </pic:pic>
              </a:graphicData>
            </a:graphic>
          </wp:inline>
        </w:drawing>
      </w:r>
    </w:p>
    <w:p w14:paraId="3E236115">
      <w:pPr>
        <w:pStyle w:val="178"/>
        <w:rPr>
          <w:rFonts w:ascii="Times New Roman"/>
        </w:rPr>
      </w:pPr>
      <w:r>
        <w:rPr>
          <w:rFonts w:ascii="Times New Roman"/>
        </w:rPr>
        <w:t>图4.1-</w:t>
      </w:r>
      <w:r>
        <w:rPr>
          <w:rFonts w:hint="eastAsia" w:ascii="Times New Roman"/>
        </w:rPr>
        <w:t>5</w:t>
      </w:r>
      <w:r>
        <w:rPr>
          <w:rFonts w:ascii="Times New Roman"/>
        </w:rPr>
        <w:t xml:space="preserve">  风向玫瑰图</w:t>
      </w:r>
    </w:p>
    <w:p w14:paraId="52B0CE9C">
      <w:pPr>
        <w:pStyle w:val="4"/>
        <w:spacing w:before="180" w:after="120"/>
        <w:rPr>
          <w:rFonts w:hAnsi="Times New Roman" w:cs="Times New Roman"/>
        </w:rPr>
      </w:pPr>
      <w:r>
        <w:rPr>
          <w:rFonts w:hAnsi="Times New Roman" w:cs="Times New Roman"/>
        </w:rPr>
        <w:t>自然资源</w:t>
      </w:r>
    </w:p>
    <w:p w14:paraId="215CA7AE">
      <w:pPr>
        <w:ind w:firstLine="482"/>
        <w:rPr>
          <w:b/>
        </w:rPr>
      </w:pPr>
      <w:r>
        <w:rPr>
          <w:b/>
        </w:rPr>
        <w:t>1、水利资源</w:t>
      </w:r>
    </w:p>
    <w:p w14:paraId="5322CD9A">
      <w:pPr>
        <w:ind w:firstLine="480"/>
      </w:pPr>
      <w:r>
        <w:t>根据黑河市嫩江市地下水资源开发利用规划成果，拟建场地内地下水类型为松散岩类孔隙潜水。含水层上部多由厚薄不一的亚粘土、亚砂土所覆盖，下部为砂石层，含水层厚度一般在7-10m之间，单井涌水量500-1000m</w:t>
      </w:r>
      <w:r>
        <w:rPr>
          <w:vertAlign w:val="superscript"/>
        </w:rPr>
        <w:t>3</w:t>
      </w:r>
      <w:r>
        <w:t>/h，水位埋深在3-6m之间。地下水补给水源主要为大气降水及侧向径流补给，拟建场地黑河市区段（AⅡ-2）多年平均地下水开采量259×10</w:t>
      </w:r>
      <w:r>
        <w:rPr>
          <w:vertAlign w:val="superscript"/>
        </w:rPr>
        <w:t>4</w:t>
      </w:r>
      <w:r>
        <w:t>m</w:t>
      </w:r>
      <w:r>
        <w:rPr>
          <w:vertAlign w:val="superscript"/>
        </w:rPr>
        <w:t>3</w:t>
      </w:r>
      <w:r>
        <w:t>/a。可开采量仅为171×10</w:t>
      </w:r>
      <w:r>
        <w:rPr>
          <w:vertAlign w:val="superscript"/>
        </w:rPr>
        <w:t>4</w:t>
      </w:r>
      <w:r>
        <w:t>m</w:t>
      </w:r>
      <w:r>
        <w:rPr>
          <w:vertAlign w:val="superscript"/>
        </w:rPr>
        <w:t>3</w:t>
      </w:r>
      <w:r>
        <w:t>/a，现状水平年黑河市地下水开采量为130×10</w:t>
      </w:r>
      <w:r>
        <w:rPr>
          <w:vertAlign w:val="superscript"/>
        </w:rPr>
        <w:t>4</w:t>
      </w:r>
      <w:r>
        <w:t>m</w:t>
      </w:r>
      <w:r>
        <w:rPr>
          <w:vertAlign w:val="superscript"/>
        </w:rPr>
        <w:t>3</w:t>
      </w:r>
      <w:r>
        <w:t>/a。</w:t>
      </w:r>
    </w:p>
    <w:p w14:paraId="3BD2B5A5">
      <w:pPr>
        <w:ind w:firstLine="482"/>
        <w:rPr>
          <w:b/>
        </w:rPr>
      </w:pPr>
      <w:r>
        <w:rPr>
          <w:rFonts w:hint="eastAsia"/>
          <w:b/>
        </w:rPr>
        <w:t>2</w:t>
      </w:r>
      <w:r>
        <w:rPr>
          <w:b/>
        </w:rPr>
        <w:t>、矿产资源</w:t>
      </w:r>
    </w:p>
    <w:p w14:paraId="12460FBC">
      <w:pPr>
        <w:ind w:firstLine="480"/>
      </w:pPr>
      <w:r>
        <w:rPr>
          <w:rFonts w:hint="eastAsia"/>
        </w:rPr>
        <w:t>嫩江市已发现矿产</w:t>
      </w:r>
      <w:r>
        <w:t xml:space="preserve">62 </w:t>
      </w:r>
      <w:r>
        <w:rPr>
          <w:rFonts w:hint="eastAsia"/>
        </w:rPr>
        <w:t>种，有矿床</w:t>
      </w:r>
      <w:r>
        <w:t xml:space="preserve">58 </w:t>
      </w:r>
      <w:r>
        <w:rPr>
          <w:rFonts w:hint="eastAsia"/>
        </w:rPr>
        <w:t>处，矿点</w:t>
      </w:r>
      <w:r>
        <w:t xml:space="preserve">80 </w:t>
      </w:r>
      <w:r>
        <w:rPr>
          <w:rFonts w:hint="eastAsia"/>
        </w:rPr>
        <w:t>处，矿化点</w:t>
      </w:r>
      <w:r>
        <w:t xml:space="preserve">78 </w:t>
      </w:r>
      <w:r>
        <w:rPr>
          <w:rFonts w:hint="eastAsia"/>
        </w:rPr>
        <w:t>处。能源矿产有煤矿。金属矿产有铜、金、钼、钨、铁、锌、铅、银等</w:t>
      </w:r>
      <w:r>
        <w:t xml:space="preserve">18 </w:t>
      </w:r>
      <w:r>
        <w:rPr>
          <w:rFonts w:hint="eastAsia"/>
        </w:rPr>
        <w:t>种，探明储量的</w:t>
      </w:r>
      <w:r>
        <w:t xml:space="preserve">7 </w:t>
      </w:r>
      <w:r>
        <w:rPr>
          <w:rFonts w:hint="eastAsia"/>
        </w:rPr>
        <w:t>种，铜的储量居黑龙江省之首，全国第三。非金属矿产有沸石、珍珠岩、大理岩、石英砂、瓷土、膨润土、石灰石等</w:t>
      </w:r>
      <w:r>
        <w:t xml:space="preserve">30 </w:t>
      </w:r>
      <w:r>
        <w:rPr>
          <w:rFonts w:hint="eastAsia"/>
        </w:rPr>
        <w:t>多种</w:t>
      </w:r>
      <w:r>
        <w:t>。</w:t>
      </w:r>
    </w:p>
    <w:p w14:paraId="39C482F4">
      <w:pPr>
        <w:ind w:firstLine="482"/>
        <w:rPr>
          <w:b/>
        </w:rPr>
      </w:pPr>
      <w:r>
        <w:rPr>
          <w:rFonts w:hint="eastAsia"/>
          <w:b/>
        </w:rPr>
        <w:t>3</w:t>
      </w:r>
      <w:r>
        <w:rPr>
          <w:b/>
        </w:rPr>
        <w:t>、</w:t>
      </w:r>
      <w:r>
        <w:rPr>
          <w:rFonts w:hint="eastAsia"/>
          <w:b/>
        </w:rPr>
        <w:t>植被及野生动物</w:t>
      </w:r>
    </w:p>
    <w:p w14:paraId="30F154F2">
      <w:pPr>
        <w:ind w:firstLine="480"/>
      </w:pPr>
      <w:r>
        <w:rPr>
          <w:rFonts w:hint="eastAsia"/>
        </w:rPr>
        <w:t>嫩江市植被资源丰富，以落叶阔叶林为主。主要树种有蒙古栎、白桦林、落叶松、复叶槭、柳树、臭椿、榆树等。次生灌丛主要有榛子、胡枝子等。有刺五加、平贝、黄芪、五味子等药材</w:t>
      </w:r>
      <w:r>
        <w:t xml:space="preserve">80 </w:t>
      </w:r>
      <w:r>
        <w:rPr>
          <w:rFonts w:hint="eastAsia"/>
        </w:rPr>
        <w:t>余种，蕨菜、黄花菜、茼蒿、老山芹等山野菜</w:t>
      </w:r>
      <w:r>
        <w:t xml:space="preserve">100 </w:t>
      </w:r>
      <w:r>
        <w:rPr>
          <w:rFonts w:hint="eastAsia"/>
        </w:rPr>
        <w:t>多种。黑加仑、桦树汁等野生浆果</w:t>
      </w:r>
      <w:r>
        <w:t xml:space="preserve">100 </w:t>
      </w:r>
      <w:r>
        <w:rPr>
          <w:rFonts w:hint="eastAsia"/>
        </w:rPr>
        <w:t>多种，松子、榛子、山核桃等野生坚果</w:t>
      </w:r>
      <w:r>
        <w:t xml:space="preserve">50 </w:t>
      </w:r>
      <w:r>
        <w:rPr>
          <w:rFonts w:hint="eastAsia"/>
        </w:rPr>
        <w:t>多种，黑木耳、猴头、蘑菇等野生食用菌</w:t>
      </w:r>
      <w:r>
        <w:t xml:space="preserve">60 </w:t>
      </w:r>
      <w:r>
        <w:rPr>
          <w:rFonts w:hint="eastAsia"/>
        </w:rPr>
        <w:t>多种。</w:t>
      </w:r>
    </w:p>
    <w:p w14:paraId="0CC3A466">
      <w:pPr>
        <w:ind w:firstLine="480"/>
      </w:pPr>
      <w:r>
        <w:rPr>
          <w:rFonts w:hint="eastAsia"/>
        </w:rPr>
        <w:t>嫩江市野生兽类尚存</w:t>
      </w:r>
      <w:r>
        <w:t xml:space="preserve">28 </w:t>
      </w:r>
      <w:r>
        <w:rPr>
          <w:rFonts w:hint="eastAsia"/>
        </w:rPr>
        <w:t>种，分属</w:t>
      </w:r>
      <w:r>
        <w:t xml:space="preserve">6 </w:t>
      </w:r>
      <w:r>
        <w:rPr>
          <w:rFonts w:hint="eastAsia"/>
        </w:rPr>
        <w:t>目</w:t>
      </w:r>
      <w:r>
        <w:t xml:space="preserve">13 </w:t>
      </w:r>
      <w:r>
        <w:rPr>
          <w:rFonts w:hint="eastAsia"/>
        </w:rPr>
        <w:t>科。属国家二级的有黑熊、棕熊、紫貂、驼鹿、雪兔。数量较多的动物有野猪、狍、黄鼬、狼。野生鸟类尚存</w:t>
      </w:r>
      <w:r>
        <w:t>216</w:t>
      </w:r>
      <w:r>
        <w:rPr>
          <w:rFonts w:hint="eastAsia"/>
        </w:rPr>
        <w:t>种，分属</w:t>
      </w:r>
      <w:r>
        <w:t xml:space="preserve">15 </w:t>
      </w:r>
      <w:r>
        <w:rPr>
          <w:rFonts w:hint="eastAsia"/>
        </w:rPr>
        <w:t>目</w:t>
      </w:r>
      <w:r>
        <w:t xml:space="preserve">44 </w:t>
      </w:r>
      <w:r>
        <w:rPr>
          <w:rFonts w:hint="eastAsia"/>
        </w:rPr>
        <w:t>科。属国家一级的有黑鹳、金雕、黑嘴松鸡、白鹤、丹顶鹤；属国家二级的有大天鹅、鸳鸯、黑琴鸡、花尾榛鸡（飞龙）、白枕鹤、灰鹤、鹰类、</w:t>
      </w:r>
      <w:r>
        <w:rPr>
          <w:rFonts w:hint="eastAsia" w:ascii="宋体" w:hAnsi="宋体" w:eastAsia="宋体"/>
        </w:rPr>
        <w:t>鸮</w:t>
      </w:r>
      <w:r>
        <w:rPr>
          <w:rFonts w:hint="eastAsia" w:ascii="仿宋_GB2312" w:cs="仿宋_GB2312"/>
        </w:rPr>
        <w:t>类。野生鱼类尚存</w:t>
      </w:r>
      <w:r>
        <w:t xml:space="preserve">46 </w:t>
      </w:r>
      <w:r>
        <w:rPr>
          <w:rFonts w:hint="eastAsia"/>
        </w:rPr>
        <w:t>种，分属</w:t>
      </w:r>
      <w:r>
        <w:t xml:space="preserve">13 </w:t>
      </w:r>
      <w:r>
        <w:rPr>
          <w:rFonts w:hint="eastAsia"/>
        </w:rPr>
        <w:t>科。属珍稀鱼类有哲罗鱼、雅罗鱼、鳜鱼、细鳞鱼等，产量较高的有银鲴、马口鱼等</w:t>
      </w:r>
      <w:r>
        <w:t>。</w:t>
      </w:r>
    </w:p>
    <w:p w14:paraId="1F3D27AD">
      <w:pPr>
        <w:pStyle w:val="3"/>
        <w:spacing w:before="180" w:after="120"/>
        <w:rPr>
          <w:bCs/>
        </w:rPr>
      </w:pPr>
      <w:bookmarkStart w:id="156" w:name="_Toc234927698"/>
      <w:r>
        <w:rPr>
          <w:rFonts w:hint="eastAsia"/>
          <w:bCs/>
        </w:rPr>
        <w:t>环境质量现状评价</w:t>
      </w:r>
      <w:bookmarkEnd w:id="156"/>
    </w:p>
    <w:p w14:paraId="52659728">
      <w:pPr>
        <w:pStyle w:val="4"/>
        <w:spacing w:before="180" w:after="120"/>
        <w:rPr>
          <w:bCs/>
        </w:rPr>
      </w:pPr>
      <w:r>
        <w:t>环境空气现状评价</w:t>
      </w:r>
    </w:p>
    <w:p w14:paraId="3759AA91">
      <w:pPr>
        <w:pStyle w:val="5"/>
        <w:spacing w:before="120" w:after="120"/>
      </w:pPr>
      <w:r>
        <w:rPr>
          <w:rFonts w:hint="eastAsia"/>
        </w:rPr>
        <w:t>空气质量达标区判定</w:t>
      </w:r>
    </w:p>
    <w:p w14:paraId="349DFAB4">
      <w:pPr>
        <w:ind w:firstLine="480"/>
        <w:rPr>
          <w:rFonts w:hAnsi="Times New Roman" w:cs="Times New Roman"/>
        </w:rPr>
      </w:pPr>
      <w:r>
        <w:t>根据已发布的《202</w:t>
      </w:r>
      <w:r>
        <w:rPr>
          <w:rFonts w:hint="eastAsia"/>
        </w:rPr>
        <w:t>5</w:t>
      </w:r>
      <w:r>
        <w:t>年黑龙江省生态环境质量状况》可知，黑河市空气质量级别达二级标准，</w:t>
      </w:r>
      <w:r>
        <w:rPr>
          <w:rFonts w:hint="eastAsia"/>
        </w:rPr>
        <w:t>达标天数为</w:t>
      </w:r>
      <w:r>
        <w:t xml:space="preserve">362 </w:t>
      </w:r>
      <w:r>
        <w:rPr>
          <w:rFonts w:hint="eastAsia"/>
        </w:rPr>
        <w:t>天</w:t>
      </w:r>
      <w:r>
        <w:t>(99.2%)</w:t>
      </w:r>
      <w:r>
        <w:rPr>
          <w:rFonts w:hint="eastAsia"/>
        </w:rPr>
        <w:t>。</w:t>
      </w:r>
      <w:r>
        <w:t>PM</w:t>
      </w:r>
      <w:r>
        <w:rPr>
          <w:vertAlign w:val="subscript"/>
        </w:rPr>
        <w:t>2.5</w:t>
      </w:r>
      <w:r>
        <w:t>、PM</w:t>
      </w:r>
      <w:r>
        <w:rPr>
          <w:vertAlign w:val="subscript"/>
        </w:rPr>
        <w:t>10</w:t>
      </w:r>
      <w:r>
        <w:t>、SO</w:t>
      </w:r>
      <w:r>
        <w:rPr>
          <w:vertAlign w:val="subscript"/>
        </w:rPr>
        <w:t>2</w:t>
      </w:r>
      <w:r>
        <w:t>、NO</w:t>
      </w:r>
      <w:r>
        <w:rPr>
          <w:vertAlign w:val="subscript"/>
        </w:rPr>
        <w:t>2</w:t>
      </w:r>
      <w:r>
        <w:t>、CO-95per和O</w:t>
      </w:r>
      <w:r>
        <w:rPr>
          <w:vertAlign w:val="subscript"/>
        </w:rPr>
        <w:t>3</w:t>
      </w:r>
      <w:r>
        <w:t>-8h-90per</w:t>
      </w:r>
      <w:r>
        <w:rPr>
          <w:rFonts w:hint="eastAsia"/>
        </w:rPr>
        <w:t>年均浓度分别为</w:t>
      </w:r>
      <w:r>
        <w:rPr>
          <w:rFonts w:hAnsi="Times New Roman" w:cs="Times New Roman"/>
        </w:rPr>
        <w:t>18μg/m</w:t>
      </w:r>
      <w:r>
        <w:rPr>
          <w:rFonts w:hAnsi="Times New Roman" w:eastAsia="宋体" w:cs="Times New Roman"/>
        </w:rPr>
        <w:t>³</w:t>
      </w:r>
      <w:r>
        <w:rPr>
          <w:rFonts w:hAnsi="Times New Roman" w:cs="Times New Roman"/>
        </w:rPr>
        <w:t>、28μg/m</w:t>
      </w:r>
      <w:r>
        <w:rPr>
          <w:rFonts w:hAnsi="Times New Roman" w:eastAsia="宋体" w:cs="Times New Roman"/>
        </w:rPr>
        <w:t>³</w:t>
      </w:r>
      <w:r>
        <w:rPr>
          <w:rFonts w:hAnsi="Times New Roman" w:cs="Times New Roman"/>
        </w:rPr>
        <w:t>、6μg/m</w:t>
      </w:r>
      <w:r>
        <w:rPr>
          <w:rFonts w:hAnsi="Times New Roman" w:eastAsia="宋体" w:cs="Times New Roman"/>
        </w:rPr>
        <w:t>³</w:t>
      </w:r>
      <w:r>
        <w:rPr>
          <w:rFonts w:hAnsi="Times New Roman" w:cs="Times New Roman"/>
        </w:rPr>
        <w:t>、12μg/m</w:t>
      </w:r>
      <w:r>
        <w:rPr>
          <w:rFonts w:hAnsi="Times New Roman" w:eastAsia="宋体" w:cs="Times New Roman"/>
        </w:rPr>
        <w:t>³</w:t>
      </w:r>
      <w:r>
        <w:rPr>
          <w:rFonts w:hAnsi="Times New Roman" w:cs="Times New Roman"/>
        </w:rPr>
        <w:t>、0.7mg/m</w:t>
      </w:r>
      <w:r>
        <w:rPr>
          <w:rFonts w:hAnsi="Times New Roman" w:eastAsia="宋体" w:cs="Times New Roman"/>
        </w:rPr>
        <w:t>³</w:t>
      </w:r>
      <w:r>
        <w:rPr>
          <w:rFonts w:hAnsi="Times New Roman" w:cs="Times New Roman"/>
        </w:rPr>
        <w:t xml:space="preserve"> 和93μg/m</w:t>
      </w:r>
      <w:r>
        <w:rPr>
          <w:rFonts w:hAnsi="Times New Roman" w:eastAsia="宋体" w:cs="Times New Roman"/>
        </w:rPr>
        <w:t>³</w:t>
      </w:r>
      <w:r>
        <w:rPr>
          <w:rFonts w:hAnsi="Times New Roman" w:cs="Times New Roman"/>
        </w:rPr>
        <w:t>。区域环境质量现状评价见表4.2-</w:t>
      </w:r>
      <w:r>
        <w:rPr>
          <w:rFonts w:hint="eastAsia" w:hAnsi="Times New Roman" w:cs="Times New Roman"/>
        </w:rPr>
        <w:t>1</w:t>
      </w:r>
      <w:r>
        <w:rPr>
          <w:rFonts w:hAnsi="Times New Roman" w:cs="Times New Roman"/>
        </w:rPr>
        <w:t>。</w:t>
      </w:r>
    </w:p>
    <w:p w14:paraId="63D91758">
      <w:pPr>
        <w:pStyle w:val="178"/>
      </w:pPr>
      <w:r>
        <w:t>表4.2-1  区域空气质量现状评价表</w:t>
      </w:r>
    </w:p>
    <w:tbl>
      <w:tblPr>
        <w:tblStyle w:val="36"/>
        <w:tblW w:w="4998"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897"/>
        <w:gridCol w:w="3156"/>
        <w:gridCol w:w="1222"/>
        <w:gridCol w:w="937"/>
        <w:gridCol w:w="1052"/>
        <w:gridCol w:w="1205"/>
      </w:tblGrid>
      <w:tr w14:paraId="7D6C7C6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30" w:type="pct"/>
            <w:noWrap/>
            <w:vAlign w:val="center"/>
          </w:tcPr>
          <w:p w14:paraId="41863C6B">
            <w:pPr>
              <w:pStyle w:val="179"/>
              <w:rPr>
                <w:rFonts w:cs="Times New Roman"/>
                <w:b/>
              </w:rPr>
            </w:pPr>
            <w:bookmarkStart w:id="157" w:name="_Toc20236"/>
            <w:bookmarkStart w:id="158" w:name="_Toc29740"/>
            <w:bookmarkStart w:id="159" w:name="_Toc3127"/>
            <w:r>
              <w:rPr>
                <w:rFonts w:cs="Times New Roman"/>
                <w:b/>
              </w:rPr>
              <w:t>污染物</w:t>
            </w:r>
            <w:bookmarkEnd w:id="157"/>
            <w:bookmarkEnd w:id="158"/>
            <w:bookmarkEnd w:id="159"/>
          </w:p>
        </w:tc>
        <w:tc>
          <w:tcPr>
            <w:tcW w:w="1863" w:type="pct"/>
            <w:noWrap/>
            <w:vAlign w:val="center"/>
          </w:tcPr>
          <w:p w14:paraId="32B76C4A">
            <w:pPr>
              <w:pStyle w:val="179"/>
              <w:rPr>
                <w:rFonts w:cs="Times New Roman"/>
                <w:b/>
              </w:rPr>
            </w:pPr>
            <w:bookmarkStart w:id="160" w:name="_Toc23380"/>
            <w:bookmarkStart w:id="161" w:name="_Toc14870"/>
            <w:bookmarkStart w:id="162" w:name="_Toc23565"/>
            <w:r>
              <w:rPr>
                <w:rFonts w:cs="Times New Roman"/>
                <w:b/>
              </w:rPr>
              <w:t>年评价指标</w:t>
            </w:r>
            <w:bookmarkEnd w:id="160"/>
            <w:bookmarkEnd w:id="161"/>
            <w:bookmarkEnd w:id="162"/>
          </w:p>
        </w:tc>
        <w:tc>
          <w:tcPr>
            <w:tcW w:w="721" w:type="pct"/>
            <w:noWrap/>
            <w:vAlign w:val="center"/>
          </w:tcPr>
          <w:p w14:paraId="452B233B">
            <w:pPr>
              <w:pStyle w:val="179"/>
              <w:rPr>
                <w:rFonts w:cs="Times New Roman"/>
                <w:b/>
              </w:rPr>
            </w:pPr>
            <w:bookmarkStart w:id="163" w:name="_Toc29060"/>
            <w:bookmarkStart w:id="164" w:name="_Toc26614"/>
            <w:bookmarkStart w:id="165" w:name="_Toc4537"/>
            <w:r>
              <w:rPr>
                <w:rFonts w:cs="Times New Roman"/>
                <w:b/>
              </w:rPr>
              <w:t>现状浓度</w:t>
            </w:r>
            <w:bookmarkEnd w:id="163"/>
            <w:bookmarkEnd w:id="164"/>
            <w:bookmarkEnd w:id="165"/>
          </w:p>
          <w:p w14:paraId="48CD4867">
            <w:pPr>
              <w:pStyle w:val="179"/>
              <w:rPr>
                <w:rFonts w:cs="Times New Roman"/>
                <w:b/>
              </w:rPr>
            </w:pPr>
            <w:bookmarkStart w:id="166" w:name="_Toc1578"/>
            <w:bookmarkStart w:id="167" w:name="_Toc1945"/>
            <w:bookmarkStart w:id="168" w:name="_Toc18444"/>
            <w:r>
              <w:rPr>
                <w:rFonts w:cs="Times New Roman"/>
                <w:b/>
              </w:rPr>
              <w:t>(μg/m</w:t>
            </w:r>
            <w:r>
              <w:rPr>
                <w:rFonts w:cs="Times New Roman"/>
                <w:b/>
                <w:vertAlign w:val="superscript"/>
              </w:rPr>
              <w:t>3</w:t>
            </w:r>
            <w:r>
              <w:rPr>
                <w:rFonts w:cs="Times New Roman"/>
                <w:b/>
              </w:rPr>
              <w:t>)</w:t>
            </w:r>
            <w:bookmarkEnd w:id="166"/>
            <w:bookmarkEnd w:id="167"/>
            <w:bookmarkEnd w:id="168"/>
          </w:p>
        </w:tc>
        <w:tc>
          <w:tcPr>
            <w:tcW w:w="553" w:type="pct"/>
            <w:noWrap/>
            <w:vAlign w:val="center"/>
          </w:tcPr>
          <w:p w14:paraId="5AC49EC7">
            <w:pPr>
              <w:pStyle w:val="179"/>
              <w:rPr>
                <w:rFonts w:cs="Times New Roman"/>
                <w:b/>
              </w:rPr>
            </w:pPr>
            <w:bookmarkStart w:id="169" w:name="_Toc21510"/>
            <w:bookmarkStart w:id="170" w:name="_Toc1688"/>
            <w:bookmarkStart w:id="171" w:name="_Toc3582"/>
            <w:r>
              <w:rPr>
                <w:rFonts w:cs="Times New Roman"/>
                <w:b/>
              </w:rPr>
              <w:t>标准值</w:t>
            </w:r>
            <w:bookmarkEnd w:id="169"/>
            <w:bookmarkEnd w:id="170"/>
            <w:bookmarkEnd w:id="171"/>
          </w:p>
          <w:p w14:paraId="053429AB">
            <w:pPr>
              <w:pStyle w:val="179"/>
              <w:rPr>
                <w:rFonts w:cs="Times New Roman"/>
                <w:b/>
              </w:rPr>
            </w:pPr>
            <w:bookmarkStart w:id="172" w:name="_Toc21173"/>
            <w:bookmarkStart w:id="173" w:name="_Toc6845"/>
            <w:bookmarkStart w:id="174" w:name="_Toc31919"/>
            <w:r>
              <w:rPr>
                <w:rFonts w:cs="Times New Roman"/>
                <w:b/>
              </w:rPr>
              <w:t>(μg/m</w:t>
            </w:r>
            <w:r>
              <w:rPr>
                <w:rFonts w:cs="Times New Roman"/>
                <w:b/>
                <w:vertAlign w:val="superscript"/>
              </w:rPr>
              <w:t>3</w:t>
            </w:r>
            <w:r>
              <w:rPr>
                <w:rFonts w:cs="Times New Roman"/>
                <w:b/>
              </w:rPr>
              <w:t>)</w:t>
            </w:r>
            <w:bookmarkEnd w:id="172"/>
            <w:bookmarkEnd w:id="173"/>
            <w:bookmarkEnd w:id="174"/>
          </w:p>
        </w:tc>
        <w:tc>
          <w:tcPr>
            <w:tcW w:w="621" w:type="pct"/>
            <w:noWrap/>
            <w:vAlign w:val="center"/>
          </w:tcPr>
          <w:p w14:paraId="4FC37533">
            <w:pPr>
              <w:pStyle w:val="179"/>
              <w:rPr>
                <w:rFonts w:cs="Times New Roman"/>
                <w:b/>
              </w:rPr>
            </w:pPr>
            <w:bookmarkStart w:id="175" w:name="_Toc27238"/>
            <w:bookmarkStart w:id="176" w:name="_Toc15057"/>
            <w:bookmarkStart w:id="177" w:name="_Toc15663"/>
            <w:r>
              <w:rPr>
                <w:rFonts w:cs="Times New Roman"/>
                <w:b/>
              </w:rPr>
              <w:t>占标率</w:t>
            </w:r>
            <w:bookmarkEnd w:id="175"/>
            <w:bookmarkEnd w:id="176"/>
            <w:bookmarkEnd w:id="177"/>
          </w:p>
          <w:p w14:paraId="0A1CB420">
            <w:pPr>
              <w:pStyle w:val="179"/>
              <w:rPr>
                <w:rFonts w:cs="Times New Roman"/>
                <w:b/>
              </w:rPr>
            </w:pPr>
            <w:bookmarkStart w:id="178" w:name="_Toc24422"/>
            <w:bookmarkStart w:id="179" w:name="_Toc9428"/>
            <w:bookmarkStart w:id="180" w:name="_Toc16180"/>
            <w:r>
              <w:rPr>
                <w:rFonts w:cs="Times New Roman"/>
                <w:b/>
              </w:rPr>
              <w:t>（%）</w:t>
            </w:r>
            <w:bookmarkEnd w:id="178"/>
            <w:bookmarkEnd w:id="179"/>
            <w:bookmarkEnd w:id="180"/>
          </w:p>
        </w:tc>
        <w:tc>
          <w:tcPr>
            <w:tcW w:w="711" w:type="pct"/>
            <w:noWrap/>
            <w:vAlign w:val="center"/>
          </w:tcPr>
          <w:p w14:paraId="500D022C">
            <w:pPr>
              <w:pStyle w:val="179"/>
              <w:rPr>
                <w:rFonts w:cs="Times New Roman"/>
                <w:b/>
              </w:rPr>
            </w:pPr>
            <w:bookmarkStart w:id="181" w:name="_Toc87"/>
            <w:bookmarkStart w:id="182" w:name="_Toc20542"/>
            <w:r>
              <w:rPr>
                <w:rFonts w:cs="Times New Roman"/>
                <w:b/>
              </w:rPr>
              <w:t>达标情况</w:t>
            </w:r>
            <w:bookmarkEnd w:id="181"/>
            <w:bookmarkEnd w:id="182"/>
          </w:p>
        </w:tc>
      </w:tr>
      <w:tr w14:paraId="73BCAEC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0" w:type="pct"/>
            <w:noWrap/>
            <w:vAlign w:val="center"/>
          </w:tcPr>
          <w:p w14:paraId="55FFE3A0">
            <w:pPr>
              <w:pStyle w:val="179"/>
              <w:rPr>
                <w:rFonts w:cs="Times New Roman"/>
              </w:rPr>
            </w:pPr>
            <w:bookmarkStart w:id="183" w:name="_Toc9937"/>
            <w:bookmarkStart w:id="184" w:name="_Toc30992"/>
            <w:bookmarkStart w:id="185" w:name="_Toc1208"/>
            <w:r>
              <w:rPr>
                <w:rFonts w:cs="Times New Roman"/>
              </w:rPr>
              <w:t>SO</w:t>
            </w:r>
            <w:r>
              <w:rPr>
                <w:rFonts w:cs="Times New Roman"/>
                <w:vertAlign w:val="subscript"/>
              </w:rPr>
              <w:t>2</w:t>
            </w:r>
            <w:bookmarkEnd w:id="183"/>
            <w:bookmarkEnd w:id="184"/>
            <w:bookmarkEnd w:id="185"/>
          </w:p>
        </w:tc>
        <w:tc>
          <w:tcPr>
            <w:tcW w:w="1863" w:type="pct"/>
            <w:noWrap/>
            <w:vAlign w:val="center"/>
          </w:tcPr>
          <w:p w14:paraId="0A74E857">
            <w:pPr>
              <w:pStyle w:val="179"/>
              <w:rPr>
                <w:rFonts w:cs="Times New Roman"/>
              </w:rPr>
            </w:pPr>
            <w:bookmarkStart w:id="186" w:name="_Toc1474"/>
            <w:bookmarkStart w:id="187" w:name="_Toc18472"/>
            <w:bookmarkStart w:id="188" w:name="_Toc3033"/>
            <w:r>
              <w:rPr>
                <w:rFonts w:cs="Times New Roman"/>
              </w:rPr>
              <w:t>年平均质量浓度</w:t>
            </w:r>
            <w:bookmarkEnd w:id="186"/>
            <w:bookmarkEnd w:id="187"/>
            <w:bookmarkEnd w:id="188"/>
          </w:p>
        </w:tc>
        <w:tc>
          <w:tcPr>
            <w:tcW w:w="721" w:type="pct"/>
            <w:noWrap/>
            <w:vAlign w:val="center"/>
          </w:tcPr>
          <w:p w14:paraId="41854769">
            <w:pPr>
              <w:pStyle w:val="179"/>
              <w:rPr>
                <w:rFonts w:cs="Times New Roman"/>
              </w:rPr>
            </w:pPr>
            <w:r>
              <w:rPr>
                <w:rFonts w:cs="Times New Roman"/>
              </w:rPr>
              <w:t>6</w:t>
            </w:r>
          </w:p>
        </w:tc>
        <w:tc>
          <w:tcPr>
            <w:tcW w:w="553" w:type="pct"/>
            <w:noWrap/>
            <w:vAlign w:val="center"/>
          </w:tcPr>
          <w:p w14:paraId="7E3002D4">
            <w:pPr>
              <w:pStyle w:val="179"/>
              <w:rPr>
                <w:rFonts w:cs="Times New Roman"/>
              </w:rPr>
            </w:pPr>
            <w:bookmarkStart w:id="189" w:name="_Toc23976"/>
            <w:bookmarkStart w:id="190" w:name="_Toc5047"/>
            <w:bookmarkStart w:id="191" w:name="_Toc5109"/>
            <w:r>
              <w:rPr>
                <w:rFonts w:cs="Times New Roman"/>
              </w:rPr>
              <w:t>60</w:t>
            </w:r>
            <w:bookmarkEnd w:id="189"/>
            <w:bookmarkEnd w:id="190"/>
            <w:bookmarkEnd w:id="191"/>
          </w:p>
        </w:tc>
        <w:tc>
          <w:tcPr>
            <w:tcW w:w="621" w:type="pct"/>
            <w:noWrap/>
            <w:vAlign w:val="center"/>
          </w:tcPr>
          <w:p w14:paraId="2DC5E723">
            <w:pPr>
              <w:pStyle w:val="179"/>
            </w:pPr>
            <w:r>
              <w:rPr>
                <w:rFonts w:hint="eastAsia"/>
              </w:rPr>
              <w:t>10.00%</w:t>
            </w:r>
          </w:p>
        </w:tc>
        <w:tc>
          <w:tcPr>
            <w:tcW w:w="711" w:type="pct"/>
            <w:noWrap/>
            <w:vAlign w:val="center"/>
          </w:tcPr>
          <w:p w14:paraId="461DFFDF">
            <w:pPr>
              <w:pStyle w:val="179"/>
              <w:rPr>
                <w:rFonts w:cs="Times New Roman"/>
              </w:rPr>
            </w:pPr>
            <w:bookmarkStart w:id="192" w:name="_Toc6000"/>
            <w:bookmarkStart w:id="193" w:name="_Toc25017"/>
            <w:bookmarkStart w:id="194" w:name="_Toc28892"/>
            <w:r>
              <w:rPr>
                <w:rFonts w:cs="Times New Roman"/>
              </w:rPr>
              <w:t>达标</w:t>
            </w:r>
            <w:bookmarkEnd w:id="192"/>
            <w:bookmarkEnd w:id="193"/>
            <w:bookmarkEnd w:id="194"/>
          </w:p>
        </w:tc>
      </w:tr>
      <w:tr w14:paraId="73E09E3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0" w:type="pct"/>
            <w:noWrap/>
            <w:vAlign w:val="center"/>
          </w:tcPr>
          <w:p w14:paraId="4BCCDB22">
            <w:pPr>
              <w:pStyle w:val="179"/>
              <w:rPr>
                <w:rFonts w:cs="Times New Roman"/>
              </w:rPr>
            </w:pPr>
            <w:bookmarkStart w:id="195" w:name="_Toc2803"/>
            <w:bookmarkStart w:id="196" w:name="_Toc29915"/>
            <w:bookmarkStart w:id="197" w:name="_Toc10056"/>
            <w:r>
              <w:rPr>
                <w:rFonts w:cs="Times New Roman"/>
              </w:rPr>
              <w:t>NO</w:t>
            </w:r>
            <w:r>
              <w:rPr>
                <w:rFonts w:cs="Times New Roman"/>
                <w:vertAlign w:val="subscript"/>
              </w:rPr>
              <w:t>2</w:t>
            </w:r>
            <w:bookmarkEnd w:id="195"/>
            <w:bookmarkEnd w:id="196"/>
            <w:bookmarkEnd w:id="197"/>
          </w:p>
        </w:tc>
        <w:tc>
          <w:tcPr>
            <w:tcW w:w="1863" w:type="pct"/>
            <w:noWrap/>
            <w:vAlign w:val="center"/>
          </w:tcPr>
          <w:p w14:paraId="482FB4B8">
            <w:pPr>
              <w:pStyle w:val="179"/>
              <w:rPr>
                <w:rFonts w:cs="Times New Roman"/>
              </w:rPr>
            </w:pPr>
            <w:bookmarkStart w:id="198" w:name="_Toc29753"/>
            <w:bookmarkStart w:id="199" w:name="_Toc9267"/>
            <w:bookmarkStart w:id="200" w:name="_Toc2663"/>
            <w:r>
              <w:rPr>
                <w:rFonts w:cs="Times New Roman"/>
              </w:rPr>
              <w:t>年平均质量浓度</w:t>
            </w:r>
            <w:bookmarkEnd w:id="198"/>
            <w:bookmarkEnd w:id="199"/>
            <w:bookmarkEnd w:id="200"/>
          </w:p>
        </w:tc>
        <w:tc>
          <w:tcPr>
            <w:tcW w:w="721" w:type="pct"/>
            <w:noWrap/>
            <w:vAlign w:val="center"/>
          </w:tcPr>
          <w:p w14:paraId="73A5B272">
            <w:pPr>
              <w:pStyle w:val="179"/>
              <w:rPr>
                <w:rFonts w:cs="Times New Roman"/>
              </w:rPr>
            </w:pPr>
            <w:r>
              <w:rPr>
                <w:rFonts w:cs="Times New Roman"/>
              </w:rPr>
              <w:t>12</w:t>
            </w:r>
          </w:p>
        </w:tc>
        <w:tc>
          <w:tcPr>
            <w:tcW w:w="553" w:type="pct"/>
            <w:noWrap/>
            <w:vAlign w:val="center"/>
          </w:tcPr>
          <w:p w14:paraId="21F66A77">
            <w:pPr>
              <w:pStyle w:val="179"/>
              <w:rPr>
                <w:rFonts w:cs="Times New Roman"/>
              </w:rPr>
            </w:pPr>
            <w:bookmarkStart w:id="201" w:name="_Toc30081"/>
            <w:bookmarkStart w:id="202" w:name="_Toc12299"/>
            <w:bookmarkStart w:id="203" w:name="_Toc31024"/>
            <w:r>
              <w:rPr>
                <w:rFonts w:cs="Times New Roman"/>
              </w:rPr>
              <w:t>40</w:t>
            </w:r>
            <w:bookmarkEnd w:id="201"/>
            <w:bookmarkEnd w:id="202"/>
            <w:bookmarkEnd w:id="203"/>
          </w:p>
        </w:tc>
        <w:tc>
          <w:tcPr>
            <w:tcW w:w="621" w:type="pct"/>
            <w:noWrap/>
            <w:vAlign w:val="center"/>
          </w:tcPr>
          <w:p w14:paraId="5FAAD550">
            <w:pPr>
              <w:pStyle w:val="179"/>
            </w:pPr>
            <w:r>
              <w:rPr>
                <w:rFonts w:hint="eastAsia"/>
              </w:rPr>
              <w:t>30.00%</w:t>
            </w:r>
          </w:p>
        </w:tc>
        <w:tc>
          <w:tcPr>
            <w:tcW w:w="711" w:type="pct"/>
            <w:noWrap/>
            <w:vAlign w:val="center"/>
          </w:tcPr>
          <w:p w14:paraId="2749BF40">
            <w:pPr>
              <w:pStyle w:val="179"/>
              <w:rPr>
                <w:rFonts w:cs="Times New Roman"/>
              </w:rPr>
            </w:pPr>
            <w:bookmarkStart w:id="204" w:name="_Toc6362"/>
            <w:bookmarkStart w:id="205" w:name="_Toc19298"/>
            <w:bookmarkStart w:id="206" w:name="_Toc7559"/>
            <w:r>
              <w:rPr>
                <w:rFonts w:cs="Times New Roman"/>
              </w:rPr>
              <w:t>达标</w:t>
            </w:r>
            <w:bookmarkEnd w:id="204"/>
            <w:bookmarkEnd w:id="205"/>
            <w:bookmarkEnd w:id="206"/>
          </w:p>
        </w:tc>
      </w:tr>
      <w:tr w14:paraId="4AEFED9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0" w:type="pct"/>
            <w:noWrap/>
            <w:vAlign w:val="center"/>
          </w:tcPr>
          <w:p w14:paraId="6D9F1EA6">
            <w:pPr>
              <w:pStyle w:val="179"/>
              <w:rPr>
                <w:rFonts w:cs="Times New Roman"/>
              </w:rPr>
            </w:pPr>
            <w:bookmarkStart w:id="207" w:name="_Toc14645"/>
            <w:bookmarkStart w:id="208" w:name="_Toc14493"/>
            <w:bookmarkStart w:id="209" w:name="_Toc26457"/>
            <w:r>
              <w:rPr>
                <w:rFonts w:cs="Times New Roman"/>
              </w:rPr>
              <w:t>PM</w:t>
            </w:r>
            <w:r>
              <w:rPr>
                <w:rFonts w:cs="Times New Roman"/>
                <w:vertAlign w:val="subscript"/>
              </w:rPr>
              <w:t>10</w:t>
            </w:r>
            <w:bookmarkEnd w:id="207"/>
            <w:bookmarkEnd w:id="208"/>
            <w:bookmarkEnd w:id="209"/>
          </w:p>
        </w:tc>
        <w:tc>
          <w:tcPr>
            <w:tcW w:w="1863" w:type="pct"/>
            <w:noWrap/>
            <w:vAlign w:val="center"/>
          </w:tcPr>
          <w:p w14:paraId="0AED0B12">
            <w:pPr>
              <w:pStyle w:val="179"/>
              <w:rPr>
                <w:rFonts w:cs="Times New Roman"/>
              </w:rPr>
            </w:pPr>
            <w:bookmarkStart w:id="210" w:name="_Toc15003"/>
            <w:bookmarkStart w:id="211" w:name="_Toc22113"/>
            <w:bookmarkStart w:id="212" w:name="_Toc971"/>
            <w:r>
              <w:rPr>
                <w:rFonts w:cs="Times New Roman"/>
              </w:rPr>
              <w:t>年平均质量浓度</w:t>
            </w:r>
            <w:bookmarkEnd w:id="210"/>
            <w:bookmarkEnd w:id="211"/>
            <w:bookmarkEnd w:id="212"/>
          </w:p>
        </w:tc>
        <w:tc>
          <w:tcPr>
            <w:tcW w:w="721" w:type="pct"/>
            <w:noWrap/>
            <w:vAlign w:val="center"/>
          </w:tcPr>
          <w:p w14:paraId="07A84CFA">
            <w:pPr>
              <w:pStyle w:val="179"/>
              <w:rPr>
                <w:rFonts w:cs="Times New Roman"/>
              </w:rPr>
            </w:pPr>
            <w:r>
              <w:rPr>
                <w:rFonts w:hint="eastAsia" w:cs="Times New Roman"/>
              </w:rPr>
              <w:t>28</w:t>
            </w:r>
          </w:p>
        </w:tc>
        <w:tc>
          <w:tcPr>
            <w:tcW w:w="553" w:type="pct"/>
            <w:noWrap/>
            <w:vAlign w:val="center"/>
          </w:tcPr>
          <w:p w14:paraId="4D2169E4">
            <w:pPr>
              <w:pStyle w:val="179"/>
              <w:rPr>
                <w:rFonts w:cs="Times New Roman"/>
              </w:rPr>
            </w:pPr>
            <w:r>
              <w:rPr>
                <w:rFonts w:hint="eastAsia" w:cs="Times New Roman"/>
              </w:rPr>
              <w:t>60</w:t>
            </w:r>
          </w:p>
        </w:tc>
        <w:tc>
          <w:tcPr>
            <w:tcW w:w="621" w:type="pct"/>
            <w:noWrap/>
            <w:vAlign w:val="center"/>
          </w:tcPr>
          <w:p w14:paraId="60C16F33">
            <w:pPr>
              <w:pStyle w:val="179"/>
            </w:pPr>
            <w:r>
              <w:rPr>
                <w:rFonts w:hint="eastAsia"/>
              </w:rPr>
              <w:t>46.67%</w:t>
            </w:r>
          </w:p>
        </w:tc>
        <w:tc>
          <w:tcPr>
            <w:tcW w:w="711" w:type="pct"/>
            <w:noWrap/>
            <w:vAlign w:val="center"/>
          </w:tcPr>
          <w:p w14:paraId="657BF575">
            <w:pPr>
              <w:pStyle w:val="179"/>
              <w:rPr>
                <w:rFonts w:cs="Times New Roman"/>
              </w:rPr>
            </w:pPr>
            <w:bookmarkStart w:id="213" w:name="_Toc13344"/>
            <w:bookmarkStart w:id="214" w:name="_Toc14790"/>
            <w:bookmarkStart w:id="215" w:name="_Toc29099"/>
            <w:r>
              <w:rPr>
                <w:rFonts w:cs="Times New Roman"/>
              </w:rPr>
              <w:t>达标</w:t>
            </w:r>
            <w:bookmarkEnd w:id="213"/>
            <w:bookmarkEnd w:id="214"/>
            <w:bookmarkEnd w:id="215"/>
          </w:p>
        </w:tc>
      </w:tr>
      <w:tr w14:paraId="1921236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0" w:type="pct"/>
            <w:noWrap/>
            <w:vAlign w:val="center"/>
          </w:tcPr>
          <w:p w14:paraId="050AFC23">
            <w:pPr>
              <w:pStyle w:val="179"/>
              <w:rPr>
                <w:rFonts w:cs="Times New Roman"/>
              </w:rPr>
            </w:pPr>
            <w:bookmarkStart w:id="216" w:name="_Toc24443"/>
            <w:bookmarkStart w:id="217" w:name="_Toc18622"/>
            <w:bookmarkStart w:id="218" w:name="_Toc10732"/>
            <w:r>
              <w:rPr>
                <w:rFonts w:cs="Times New Roman"/>
              </w:rPr>
              <w:t>PM</w:t>
            </w:r>
            <w:r>
              <w:rPr>
                <w:rFonts w:cs="Times New Roman"/>
                <w:vertAlign w:val="subscript"/>
              </w:rPr>
              <w:t>2.5</w:t>
            </w:r>
            <w:bookmarkEnd w:id="216"/>
            <w:bookmarkEnd w:id="217"/>
            <w:bookmarkEnd w:id="218"/>
          </w:p>
        </w:tc>
        <w:tc>
          <w:tcPr>
            <w:tcW w:w="1863" w:type="pct"/>
            <w:noWrap/>
            <w:vAlign w:val="center"/>
          </w:tcPr>
          <w:p w14:paraId="37EC9A9F">
            <w:pPr>
              <w:pStyle w:val="179"/>
              <w:rPr>
                <w:rFonts w:cs="Times New Roman"/>
              </w:rPr>
            </w:pPr>
            <w:bookmarkStart w:id="219" w:name="_Toc17583"/>
            <w:bookmarkStart w:id="220" w:name="_Toc21172"/>
            <w:bookmarkStart w:id="221" w:name="_Toc2675"/>
            <w:r>
              <w:rPr>
                <w:rFonts w:cs="Times New Roman"/>
              </w:rPr>
              <w:t>年平均质量浓度</w:t>
            </w:r>
            <w:bookmarkEnd w:id="219"/>
            <w:bookmarkEnd w:id="220"/>
            <w:bookmarkEnd w:id="221"/>
          </w:p>
        </w:tc>
        <w:tc>
          <w:tcPr>
            <w:tcW w:w="721" w:type="pct"/>
            <w:noWrap/>
            <w:vAlign w:val="center"/>
          </w:tcPr>
          <w:p w14:paraId="0D779E49">
            <w:pPr>
              <w:pStyle w:val="179"/>
              <w:rPr>
                <w:rFonts w:cs="Times New Roman"/>
              </w:rPr>
            </w:pPr>
            <w:r>
              <w:rPr>
                <w:rFonts w:hint="eastAsia" w:cs="Times New Roman"/>
              </w:rPr>
              <w:t>18</w:t>
            </w:r>
          </w:p>
        </w:tc>
        <w:tc>
          <w:tcPr>
            <w:tcW w:w="553" w:type="pct"/>
            <w:noWrap/>
            <w:vAlign w:val="center"/>
          </w:tcPr>
          <w:p w14:paraId="4F97A1F7">
            <w:pPr>
              <w:pStyle w:val="179"/>
              <w:rPr>
                <w:rFonts w:cs="Times New Roman"/>
              </w:rPr>
            </w:pPr>
            <w:r>
              <w:rPr>
                <w:rFonts w:hint="eastAsia" w:cs="Times New Roman"/>
              </w:rPr>
              <w:t>30</w:t>
            </w:r>
          </w:p>
        </w:tc>
        <w:tc>
          <w:tcPr>
            <w:tcW w:w="621" w:type="pct"/>
            <w:noWrap/>
            <w:vAlign w:val="center"/>
          </w:tcPr>
          <w:p w14:paraId="238A92FC">
            <w:pPr>
              <w:pStyle w:val="179"/>
            </w:pPr>
            <w:r>
              <w:rPr>
                <w:rFonts w:hint="eastAsia"/>
              </w:rPr>
              <w:t>60.00%</w:t>
            </w:r>
          </w:p>
        </w:tc>
        <w:tc>
          <w:tcPr>
            <w:tcW w:w="711" w:type="pct"/>
            <w:noWrap/>
            <w:vAlign w:val="center"/>
          </w:tcPr>
          <w:p w14:paraId="671C3B5F">
            <w:pPr>
              <w:pStyle w:val="179"/>
              <w:rPr>
                <w:rFonts w:cs="Times New Roman"/>
              </w:rPr>
            </w:pPr>
            <w:bookmarkStart w:id="222" w:name="_Toc17844"/>
            <w:bookmarkStart w:id="223" w:name="_Toc23697"/>
            <w:bookmarkStart w:id="224" w:name="_Toc21982"/>
            <w:r>
              <w:rPr>
                <w:rFonts w:cs="Times New Roman"/>
              </w:rPr>
              <w:t>达标</w:t>
            </w:r>
            <w:bookmarkEnd w:id="222"/>
            <w:bookmarkEnd w:id="223"/>
            <w:bookmarkEnd w:id="224"/>
          </w:p>
        </w:tc>
      </w:tr>
      <w:tr w14:paraId="4E1253E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0" w:type="pct"/>
            <w:noWrap/>
            <w:vAlign w:val="center"/>
          </w:tcPr>
          <w:p w14:paraId="2E4AE2AA">
            <w:pPr>
              <w:pStyle w:val="179"/>
              <w:rPr>
                <w:rFonts w:cs="Times New Roman"/>
              </w:rPr>
            </w:pPr>
            <w:bookmarkStart w:id="225" w:name="_Toc24498"/>
            <w:bookmarkStart w:id="226" w:name="_Toc22810"/>
            <w:bookmarkStart w:id="227" w:name="_Toc16999"/>
            <w:r>
              <w:rPr>
                <w:rFonts w:cs="Times New Roman"/>
              </w:rPr>
              <w:t>CO</w:t>
            </w:r>
            <w:bookmarkEnd w:id="225"/>
            <w:bookmarkEnd w:id="226"/>
            <w:bookmarkEnd w:id="227"/>
          </w:p>
        </w:tc>
        <w:tc>
          <w:tcPr>
            <w:tcW w:w="1863" w:type="pct"/>
            <w:noWrap/>
            <w:vAlign w:val="center"/>
          </w:tcPr>
          <w:p w14:paraId="7DB16CDB">
            <w:pPr>
              <w:pStyle w:val="179"/>
              <w:rPr>
                <w:rFonts w:cs="Times New Roman"/>
              </w:rPr>
            </w:pPr>
            <w:bookmarkStart w:id="228" w:name="_Toc4148"/>
            <w:bookmarkStart w:id="229" w:name="_Toc32198"/>
            <w:bookmarkStart w:id="230" w:name="_Toc29313"/>
            <w:r>
              <w:rPr>
                <w:rFonts w:cs="Times New Roman"/>
              </w:rPr>
              <w:t>第95百分位数日平均质量浓度</w:t>
            </w:r>
            <w:bookmarkEnd w:id="228"/>
            <w:bookmarkEnd w:id="229"/>
            <w:bookmarkEnd w:id="230"/>
          </w:p>
        </w:tc>
        <w:tc>
          <w:tcPr>
            <w:tcW w:w="721" w:type="pct"/>
            <w:noWrap/>
            <w:vAlign w:val="center"/>
          </w:tcPr>
          <w:p w14:paraId="2A06932B">
            <w:pPr>
              <w:pStyle w:val="179"/>
              <w:rPr>
                <w:rFonts w:cs="Times New Roman"/>
              </w:rPr>
            </w:pPr>
            <w:r>
              <w:rPr>
                <w:rFonts w:hint="eastAsia" w:cs="Times New Roman"/>
              </w:rPr>
              <w:t>7</w:t>
            </w:r>
            <w:r>
              <w:rPr>
                <w:rFonts w:cs="Times New Roman"/>
              </w:rPr>
              <w:t>00</w:t>
            </w:r>
          </w:p>
        </w:tc>
        <w:tc>
          <w:tcPr>
            <w:tcW w:w="553" w:type="pct"/>
            <w:noWrap/>
            <w:vAlign w:val="center"/>
          </w:tcPr>
          <w:p w14:paraId="3461E94E">
            <w:pPr>
              <w:pStyle w:val="179"/>
              <w:rPr>
                <w:rFonts w:cs="Times New Roman"/>
              </w:rPr>
            </w:pPr>
            <w:bookmarkStart w:id="231" w:name="_Toc25613"/>
            <w:bookmarkStart w:id="232" w:name="_Toc10731"/>
            <w:bookmarkStart w:id="233" w:name="_Toc12467"/>
            <w:r>
              <w:rPr>
                <w:rFonts w:cs="Times New Roman"/>
              </w:rPr>
              <w:t>4000</w:t>
            </w:r>
            <w:bookmarkEnd w:id="231"/>
            <w:bookmarkEnd w:id="232"/>
            <w:bookmarkEnd w:id="233"/>
          </w:p>
        </w:tc>
        <w:tc>
          <w:tcPr>
            <w:tcW w:w="621" w:type="pct"/>
            <w:noWrap/>
            <w:vAlign w:val="center"/>
          </w:tcPr>
          <w:p w14:paraId="70F4B536">
            <w:pPr>
              <w:pStyle w:val="179"/>
            </w:pPr>
            <w:r>
              <w:rPr>
                <w:rFonts w:hint="eastAsia"/>
              </w:rPr>
              <w:t>17.50%</w:t>
            </w:r>
          </w:p>
        </w:tc>
        <w:tc>
          <w:tcPr>
            <w:tcW w:w="711" w:type="pct"/>
            <w:noWrap/>
            <w:vAlign w:val="center"/>
          </w:tcPr>
          <w:p w14:paraId="08101D03">
            <w:pPr>
              <w:pStyle w:val="179"/>
              <w:rPr>
                <w:rFonts w:cs="Times New Roman"/>
              </w:rPr>
            </w:pPr>
            <w:bookmarkStart w:id="234" w:name="_Toc9769"/>
            <w:bookmarkStart w:id="235" w:name="_Toc11966"/>
            <w:bookmarkStart w:id="236" w:name="_Toc22248"/>
            <w:r>
              <w:rPr>
                <w:rFonts w:cs="Times New Roman"/>
              </w:rPr>
              <w:t>达标</w:t>
            </w:r>
            <w:bookmarkEnd w:id="234"/>
            <w:bookmarkEnd w:id="235"/>
            <w:bookmarkEnd w:id="236"/>
          </w:p>
        </w:tc>
      </w:tr>
      <w:tr w14:paraId="35F4CCC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0" w:type="pct"/>
            <w:noWrap/>
            <w:vAlign w:val="center"/>
          </w:tcPr>
          <w:p w14:paraId="5AEBF69C">
            <w:pPr>
              <w:pStyle w:val="179"/>
              <w:rPr>
                <w:rFonts w:cs="Times New Roman"/>
              </w:rPr>
            </w:pPr>
            <w:bookmarkStart w:id="237" w:name="_Toc1520"/>
            <w:bookmarkStart w:id="238" w:name="_Toc15939"/>
            <w:bookmarkStart w:id="239" w:name="_Toc30632"/>
            <w:r>
              <w:rPr>
                <w:rFonts w:cs="Times New Roman"/>
              </w:rPr>
              <w:t>O</w:t>
            </w:r>
            <w:r>
              <w:rPr>
                <w:rFonts w:cs="Times New Roman"/>
                <w:vertAlign w:val="subscript"/>
              </w:rPr>
              <w:t>3</w:t>
            </w:r>
            <w:bookmarkEnd w:id="237"/>
            <w:bookmarkEnd w:id="238"/>
            <w:bookmarkEnd w:id="239"/>
          </w:p>
        </w:tc>
        <w:tc>
          <w:tcPr>
            <w:tcW w:w="1863" w:type="pct"/>
            <w:noWrap/>
            <w:vAlign w:val="center"/>
          </w:tcPr>
          <w:p w14:paraId="0545E7F1">
            <w:pPr>
              <w:pStyle w:val="179"/>
              <w:rPr>
                <w:rFonts w:cs="Times New Roman"/>
              </w:rPr>
            </w:pPr>
            <w:bookmarkStart w:id="240" w:name="_Toc21055"/>
            <w:bookmarkStart w:id="241" w:name="_Toc21629"/>
            <w:bookmarkStart w:id="242" w:name="_Toc16864"/>
            <w:r>
              <w:rPr>
                <w:rFonts w:cs="Times New Roman"/>
              </w:rPr>
              <w:t>第90百分位数8h平均质量浓度</w:t>
            </w:r>
            <w:bookmarkEnd w:id="240"/>
            <w:bookmarkEnd w:id="241"/>
            <w:bookmarkEnd w:id="242"/>
          </w:p>
        </w:tc>
        <w:tc>
          <w:tcPr>
            <w:tcW w:w="721" w:type="pct"/>
            <w:noWrap/>
            <w:vAlign w:val="center"/>
          </w:tcPr>
          <w:p w14:paraId="357411DC">
            <w:pPr>
              <w:pStyle w:val="179"/>
              <w:rPr>
                <w:rFonts w:cs="Times New Roman"/>
              </w:rPr>
            </w:pPr>
            <w:r>
              <w:rPr>
                <w:rFonts w:hint="eastAsia" w:cs="Times New Roman"/>
              </w:rPr>
              <w:t>93</w:t>
            </w:r>
          </w:p>
        </w:tc>
        <w:tc>
          <w:tcPr>
            <w:tcW w:w="553" w:type="pct"/>
            <w:noWrap/>
            <w:vAlign w:val="center"/>
          </w:tcPr>
          <w:p w14:paraId="1088E505">
            <w:pPr>
              <w:pStyle w:val="179"/>
              <w:rPr>
                <w:rFonts w:cs="Times New Roman"/>
              </w:rPr>
            </w:pPr>
            <w:bookmarkStart w:id="243" w:name="_Toc23256"/>
            <w:bookmarkStart w:id="244" w:name="_Toc13516"/>
            <w:bookmarkStart w:id="245" w:name="_Toc16479"/>
            <w:r>
              <w:rPr>
                <w:rFonts w:cs="Times New Roman"/>
              </w:rPr>
              <w:t>160</w:t>
            </w:r>
            <w:bookmarkEnd w:id="243"/>
            <w:bookmarkEnd w:id="244"/>
            <w:bookmarkEnd w:id="245"/>
          </w:p>
        </w:tc>
        <w:tc>
          <w:tcPr>
            <w:tcW w:w="621" w:type="pct"/>
            <w:noWrap/>
            <w:vAlign w:val="center"/>
          </w:tcPr>
          <w:p w14:paraId="7862DC87">
            <w:pPr>
              <w:pStyle w:val="179"/>
            </w:pPr>
            <w:r>
              <w:rPr>
                <w:rFonts w:hint="eastAsia"/>
              </w:rPr>
              <w:t>58.13%</w:t>
            </w:r>
          </w:p>
        </w:tc>
        <w:tc>
          <w:tcPr>
            <w:tcW w:w="711" w:type="pct"/>
            <w:noWrap/>
            <w:vAlign w:val="center"/>
          </w:tcPr>
          <w:p w14:paraId="730BB18A">
            <w:pPr>
              <w:pStyle w:val="179"/>
              <w:rPr>
                <w:rFonts w:cs="Times New Roman"/>
              </w:rPr>
            </w:pPr>
            <w:bookmarkStart w:id="246" w:name="_Toc19387"/>
            <w:bookmarkStart w:id="247" w:name="_Toc32531"/>
            <w:bookmarkStart w:id="248" w:name="_Toc824"/>
            <w:r>
              <w:rPr>
                <w:rFonts w:cs="Times New Roman"/>
              </w:rPr>
              <w:t>达标</w:t>
            </w:r>
            <w:bookmarkEnd w:id="246"/>
            <w:bookmarkEnd w:id="247"/>
            <w:bookmarkEnd w:id="248"/>
          </w:p>
        </w:tc>
      </w:tr>
    </w:tbl>
    <w:p w14:paraId="17027CB4">
      <w:pPr>
        <w:ind w:firstLine="480"/>
        <w:rPr>
          <w:rFonts w:hAnsi="Times New Roman" w:cs="Times New Roman"/>
        </w:rPr>
      </w:pPr>
      <w:r>
        <w:rPr>
          <w:rFonts w:hAnsi="Times New Roman" w:cs="Times New Roman"/>
        </w:rPr>
        <w:t>根据上表，本项目所在区域202</w:t>
      </w:r>
      <w:r>
        <w:rPr>
          <w:rFonts w:hint="eastAsia" w:hAnsi="Times New Roman" w:cs="Times New Roman"/>
        </w:rPr>
        <w:t>5</w:t>
      </w:r>
      <w:r>
        <w:rPr>
          <w:rFonts w:hAnsi="Times New Roman" w:cs="Times New Roman"/>
        </w:rPr>
        <w:t>年</w:t>
      </w:r>
      <w:r>
        <w:rPr>
          <w:rFonts w:hint="eastAsia" w:hAnsi="Times New Roman" w:cs="Times New Roman"/>
        </w:rPr>
        <w:t>基本</w:t>
      </w:r>
      <w:r>
        <w:rPr>
          <w:rFonts w:hAnsi="Times New Roman" w:cs="Times New Roman"/>
        </w:rPr>
        <w:t>污染物（SO</w:t>
      </w:r>
      <w:r>
        <w:rPr>
          <w:rFonts w:hAnsi="Times New Roman" w:cs="Times New Roman"/>
          <w:vertAlign w:val="subscript"/>
        </w:rPr>
        <w:t>2</w:t>
      </w:r>
      <w:r>
        <w:rPr>
          <w:rFonts w:hAnsi="Times New Roman" w:cs="Times New Roman"/>
        </w:rPr>
        <w:t>、NO</w:t>
      </w:r>
      <w:r>
        <w:rPr>
          <w:rFonts w:hAnsi="Times New Roman" w:cs="Times New Roman"/>
          <w:vertAlign w:val="subscript"/>
        </w:rPr>
        <w:t>2</w:t>
      </w:r>
      <w:r>
        <w:rPr>
          <w:rFonts w:hAnsi="Times New Roman" w:cs="Times New Roman"/>
        </w:rPr>
        <w:t>、PM</w:t>
      </w:r>
      <w:r>
        <w:rPr>
          <w:rFonts w:hAnsi="Times New Roman" w:cs="Times New Roman"/>
          <w:vertAlign w:val="subscript"/>
        </w:rPr>
        <w:t>10</w:t>
      </w:r>
      <w:r>
        <w:rPr>
          <w:rFonts w:hAnsi="Times New Roman" w:cs="Times New Roman"/>
        </w:rPr>
        <w:t>、PM</w:t>
      </w:r>
      <w:r>
        <w:rPr>
          <w:rFonts w:hAnsi="Times New Roman" w:cs="Times New Roman"/>
          <w:vertAlign w:val="subscript"/>
        </w:rPr>
        <w:t>2.5</w:t>
      </w:r>
      <w:r>
        <w:rPr>
          <w:rFonts w:hAnsi="Times New Roman" w:cs="Times New Roman"/>
        </w:rPr>
        <w:t>、O</w:t>
      </w:r>
      <w:r>
        <w:rPr>
          <w:rFonts w:hAnsi="Times New Roman" w:cs="Times New Roman"/>
          <w:vertAlign w:val="subscript"/>
        </w:rPr>
        <w:t>3</w:t>
      </w:r>
      <w:r>
        <w:rPr>
          <w:rFonts w:hAnsi="Times New Roman" w:cs="Times New Roman"/>
        </w:rPr>
        <w:t>、CO）浓度满足《环境空气质量标准》（GB3095-2026）中</w:t>
      </w:r>
      <w:r>
        <w:rPr>
          <w:rFonts w:hint="eastAsia" w:hAnsi="Times New Roman" w:cs="Times New Roman"/>
        </w:rPr>
        <w:t>过渡阶段</w:t>
      </w:r>
      <w:r>
        <w:rPr>
          <w:rFonts w:hAnsi="Times New Roman" w:cs="Times New Roman"/>
        </w:rPr>
        <w:t>二级标准要求，</w:t>
      </w:r>
      <w:r>
        <w:rPr>
          <w:rFonts w:hint="eastAsia" w:hAnsi="Times New Roman" w:cs="Times New Roman"/>
        </w:rPr>
        <w:t>属于</w:t>
      </w:r>
      <w:r>
        <w:rPr>
          <w:rFonts w:hAnsi="Times New Roman" w:cs="Times New Roman"/>
        </w:rPr>
        <w:t>达标区。</w:t>
      </w:r>
    </w:p>
    <w:p w14:paraId="6E6F0648">
      <w:pPr>
        <w:pStyle w:val="5"/>
        <w:spacing w:before="120" w:after="120"/>
      </w:pPr>
      <w:bookmarkStart w:id="249" w:name="_Toc61013082"/>
      <w:bookmarkStart w:id="250" w:name="_Toc12649346"/>
      <w:bookmarkStart w:id="251" w:name="_Toc61012606"/>
      <w:bookmarkStart w:id="252" w:name="_Toc61013492"/>
      <w:bookmarkStart w:id="253" w:name="_Toc61013902"/>
      <w:bookmarkStart w:id="254" w:name="_Toc61013287"/>
      <w:bookmarkStart w:id="255" w:name="_Toc61013697"/>
      <w:r>
        <w:t>其他污染物环境质量现状补充监测</w:t>
      </w:r>
      <w:bookmarkEnd w:id="249"/>
      <w:bookmarkEnd w:id="250"/>
      <w:bookmarkEnd w:id="251"/>
      <w:bookmarkEnd w:id="252"/>
      <w:bookmarkEnd w:id="253"/>
      <w:bookmarkEnd w:id="254"/>
      <w:bookmarkEnd w:id="255"/>
    </w:p>
    <w:p w14:paraId="13CDE15D">
      <w:pPr>
        <w:ind w:firstLine="480"/>
      </w:pPr>
      <w:r>
        <w:t>根据本项目工程分析，确定本项目其他污染物为TSP，本项目环境空气现状</w:t>
      </w:r>
      <w:r>
        <w:rPr>
          <w:rFonts w:hint="eastAsia"/>
        </w:rPr>
        <w:t>委托黑龙江克巽检测技术有限公司进行了现状监测，</w:t>
      </w:r>
      <w:r>
        <w:t>共布设</w:t>
      </w:r>
      <w:r>
        <w:rPr>
          <w:rFonts w:hint="eastAsia"/>
        </w:rPr>
        <w:t>2</w:t>
      </w:r>
      <w:r>
        <w:t>个监测点</w:t>
      </w:r>
      <w:r>
        <w:rPr>
          <w:rFonts w:hint="eastAsia"/>
        </w:rPr>
        <w:t>，</w:t>
      </w:r>
      <w:r>
        <w:t>连续监测7天。具体情况如下。</w:t>
      </w:r>
    </w:p>
    <w:p w14:paraId="0016BE12">
      <w:pPr>
        <w:ind w:firstLine="482"/>
        <w:rPr>
          <w:b/>
        </w:rPr>
      </w:pPr>
      <w:bookmarkStart w:id="256" w:name="_Toc388619413"/>
      <w:bookmarkStart w:id="257" w:name="_Toc198039473"/>
      <w:bookmarkStart w:id="258" w:name="_Toc489258608"/>
      <w:bookmarkStart w:id="259" w:name="_Toc487242824"/>
      <w:bookmarkStart w:id="260" w:name="_Toc490640052"/>
      <w:bookmarkStart w:id="261" w:name="_Toc203379359"/>
      <w:bookmarkStart w:id="262" w:name="_Toc312936617"/>
      <w:bookmarkStart w:id="263" w:name="_Toc489967647"/>
      <w:bookmarkStart w:id="264" w:name="_Toc200521841"/>
      <w:r>
        <w:rPr>
          <w:rFonts w:hint="eastAsia"/>
          <w:b/>
        </w:rPr>
        <w:t>1、</w:t>
      </w:r>
      <w:r>
        <w:rPr>
          <w:b/>
        </w:rPr>
        <w:t>监测点位</w:t>
      </w:r>
    </w:p>
    <w:p w14:paraId="5112A7B6">
      <w:pPr>
        <w:ind w:firstLine="480"/>
      </w:pPr>
      <w:r>
        <w:t>根据工程污染特征、当地气象条件、地形分布及评价区域环境功能区划要求等，自行监测在矿山</w:t>
      </w:r>
      <w:r>
        <w:rPr>
          <w:rFonts w:hint="eastAsia"/>
        </w:rPr>
        <w:t>开采区内和</w:t>
      </w:r>
      <w:r>
        <w:t>下风向各设置1个TSP监测点位，点位分布情况见表4.2-2和图4.2-1。</w:t>
      </w:r>
    </w:p>
    <w:p w14:paraId="6D5CCC13">
      <w:pPr>
        <w:pStyle w:val="178"/>
      </w:pPr>
      <w:r>
        <w:t>表4.2-2环境空气现状补充监测点一览表</w:t>
      </w:r>
    </w:p>
    <w:tbl>
      <w:tblPr>
        <w:tblStyle w:val="36"/>
        <w:tblW w:w="8522"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215"/>
        <w:gridCol w:w="2615"/>
        <w:gridCol w:w="2115"/>
        <w:gridCol w:w="2577"/>
      </w:tblGrid>
      <w:tr w14:paraId="232C1FA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1215" w:type="dxa"/>
            <w:noWrap/>
            <w:vAlign w:val="center"/>
          </w:tcPr>
          <w:p w14:paraId="2A85C038">
            <w:pPr>
              <w:pStyle w:val="179"/>
              <w:rPr>
                <w:rFonts w:cs="Times New Roman"/>
                <w:b/>
              </w:rPr>
            </w:pPr>
            <w:r>
              <w:rPr>
                <w:rFonts w:cs="Times New Roman"/>
                <w:b/>
              </w:rPr>
              <w:t>检测点位</w:t>
            </w:r>
          </w:p>
        </w:tc>
        <w:tc>
          <w:tcPr>
            <w:tcW w:w="2615" w:type="dxa"/>
            <w:noWrap/>
            <w:vAlign w:val="center"/>
          </w:tcPr>
          <w:p w14:paraId="3DCC6A0D">
            <w:pPr>
              <w:pStyle w:val="179"/>
              <w:rPr>
                <w:rFonts w:cs="Times New Roman"/>
                <w:b/>
              </w:rPr>
            </w:pPr>
            <w:r>
              <w:rPr>
                <w:rFonts w:cs="Times New Roman"/>
                <w:b/>
              </w:rPr>
              <w:t>检测点位</w:t>
            </w:r>
          </w:p>
        </w:tc>
        <w:tc>
          <w:tcPr>
            <w:tcW w:w="2115" w:type="dxa"/>
            <w:noWrap/>
            <w:vAlign w:val="center"/>
          </w:tcPr>
          <w:p w14:paraId="2AF73CC2">
            <w:pPr>
              <w:pStyle w:val="179"/>
              <w:rPr>
                <w:rFonts w:cs="Times New Roman"/>
                <w:b/>
              </w:rPr>
            </w:pPr>
            <w:r>
              <w:rPr>
                <w:rFonts w:cs="Times New Roman"/>
                <w:b/>
              </w:rPr>
              <w:t>检测项目</w:t>
            </w:r>
          </w:p>
        </w:tc>
        <w:tc>
          <w:tcPr>
            <w:tcW w:w="2577" w:type="dxa"/>
            <w:noWrap/>
            <w:vAlign w:val="center"/>
          </w:tcPr>
          <w:p w14:paraId="72D6EFF6">
            <w:pPr>
              <w:pStyle w:val="179"/>
              <w:rPr>
                <w:rFonts w:cs="Times New Roman"/>
                <w:b/>
              </w:rPr>
            </w:pPr>
            <w:r>
              <w:rPr>
                <w:rFonts w:cs="Times New Roman"/>
                <w:b/>
              </w:rPr>
              <w:t>检测频次</w:t>
            </w:r>
          </w:p>
        </w:tc>
      </w:tr>
      <w:tr w14:paraId="564B20E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1215" w:type="dxa"/>
            <w:noWrap/>
            <w:vAlign w:val="center"/>
          </w:tcPr>
          <w:p w14:paraId="56F04124">
            <w:pPr>
              <w:pStyle w:val="179"/>
              <w:rPr>
                <w:rFonts w:cs="Times New Roman"/>
              </w:rPr>
            </w:pPr>
            <w:r>
              <w:rPr>
                <w:rFonts w:cs="Times New Roman"/>
              </w:rPr>
              <w:t>1#</w:t>
            </w:r>
          </w:p>
        </w:tc>
        <w:tc>
          <w:tcPr>
            <w:tcW w:w="2615" w:type="dxa"/>
            <w:noWrap/>
            <w:vAlign w:val="center"/>
          </w:tcPr>
          <w:p w14:paraId="1B6A1883">
            <w:pPr>
              <w:pStyle w:val="179"/>
              <w:rPr>
                <w:rFonts w:cs="Times New Roman"/>
              </w:rPr>
            </w:pPr>
            <w:r>
              <w:rPr>
                <w:rFonts w:cs="Times New Roman"/>
              </w:rPr>
              <w:t>项目矿区</w:t>
            </w:r>
          </w:p>
        </w:tc>
        <w:tc>
          <w:tcPr>
            <w:tcW w:w="2115" w:type="dxa"/>
            <w:vMerge w:val="restart"/>
            <w:noWrap/>
            <w:vAlign w:val="center"/>
          </w:tcPr>
          <w:p w14:paraId="7D3C9E96">
            <w:pPr>
              <w:pStyle w:val="179"/>
              <w:rPr>
                <w:rFonts w:cs="Times New Roman"/>
              </w:rPr>
            </w:pPr>
            <w:r>
              <w:rPr>
                <w:rFonts w:cs="Times New Roman"/>
              </w:rPr>
              <w:t>TSP</w:t>
            </w:r>
          </w:p>
        </w:tc>
        <w:tc>
          <w:tcPr>
            <w:tcW w:w="2577" w:type="dxa"/>
            <w:vMerge w:val="restart"/>
            <w:noWrap/>
            <w:vAlign w:val="center"/>
          </w:tcPr>
          <w:p w14:paraId="0D40E835">
            <w:pPr>
              <w:pStyle w:val="179"/>
              <w:rPr>
                <w:rFonts w:cs="Times New Roman"/>
              </w:rPr>
            </w:pPr>
            <w:r>
              <w:rPr>
                <w:rFonts w:cs="Times New Roman"/>
              </w:rPr>
              <w:t>7天，总悬浮颗粒物监测日均值</w:t>
            </w:r>
          </w:p>
        </w:tc>
      </w:tr>
      <w:tr w14:paraId="4A2076E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1215" w:type="dxa"/>
            <w:noWrap/>
            <w:vAlign w:val="center"/>
          </w:tcPr>
          <w:p w14:paraId="26558407">
            <w:pPr>
              <w:pStyle w:val="179"/>
              <w:rPr>
                <w:rFonts w:cs="Times New Roman"/>
              </w:rPr>
            </w:pPr>
            <w:r>
              <w:rPr>
                <w:rFonts w:cs="Times New Roman"/>
              </w:rPr>
              <w:t>2#</w:t>
            </w:r>
          </w:p>
        </w:tc>
        <w:tc>
          <w:tcPr>
            <w:tcW w:w="2615" w:type="dxa"/>
            <w:noWrap/>
            <w:vAlign w:val="center"/>
          </w:tcPr>
          <w:p w14:paraId="5575344D">
            <w:pPr>
              <w:pStyle w:val="179"/>
              <w:rPr>
                <w:rFonts w:cs="Times New Roman"/>
              </w:rPr>
            </w:pPr>
            <w:r>
              <w:rPr>
                <w:rFonts w:cs="Times New Roman"/>
              </w:rPr>
              <w:t>矿区下风向</w:t>
            </w:r>
            <w:r>
              <w:rPr>
                <w:rFonts w:hint="eastAsia" w:cs="Times New Roman"/>
              </w:rPr>
              <w:t>200m</w:t>
            </w:r>
            <w:r>
              <w:rPr>
                <w:rFonts w:cs="Times New Roman"/>
              </w:rPr>
              <w:t>处</w:t>
            </w:r>
          </w:p>
        </w:tc>
        <w:tc>
          <w:tcPr>
            <w:tcW w:w="2115" w:type="dxa"/>
            <w:vMerge w:val="continue"/>
            <w:noWrap/>
            <w:vAlign w:val="center"/>
          </w:tcPr>
          <w:p w14:paraId="5EC10938">
            <w:pPr>
              <w:pStyle w:val="179"/>
              <w:rPr>
                <w:rFonts w:cs="Times New Roman"/>
              </w:rPr>
            </w:pPr>
          </w:p>
        </w:tc>
        <w:tc>
          <w:tcPr>
            <w:tcW w:w="2577" w:type="dxa"/>
            <w:vMerge w:val="continue"/>
            <w:noWrap/>
            <w:vAlign w:val="center"/>
          </w:tcPr>
          <w:p w14:paraId="30CD070F">
            <w:pPr>
              <w:pStyle w:val="179"/>
              <w:rPr>
                <w:rFonts w:cs="Times New Roman"/>
              </w:rPr>
            </w:pPr>
          </w:p>
        </w:tc>
      </w:tr>
    </w:tbl>
    <w:p w14:paraId="3DA7AC78">
      <w:pPr>
        <w:pStyle w:val="178"/>
        <w:rPr>
          <w:rFonts w:ascii="Times New Roman" w:hAnsi="Times New Roman"/>
        </w:rPr>
      </w:pPr>
      <w:r>
        <w:rPr>
          <w:rFonts w:ascii="Times New Roman" w:hAnsi="Times New Roman"/>
        </w:rPr>
        <w:drawing>
          <wp:inline distT="0" distB="0" distL="114300" distR="114300">
            <wp:extent cx="5006975" cy="3107690"/>
            <wp:effectExtent l="19050" t="0" r="2722" b="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64" cstate="print"/>
                    <a:srcRect l="1609" r="2906"/>
                    <a:stretch>
                      <a:fillRect/>
                    </a:stretch>
                  </pic:blipFill>
                  <pic:spPr>
                    <a:xfrm>
                      <a:off x="0" y="0"/>
                      <a:ext cx="5007428" cy="3107872"/>
                    </a:xfrm>
                    <a:prstGeom prst="rect">
                      <a:avLst/>
                    </a:prstGeom>
                    <a:noFill/>
                    <a:ln>
                      <a:noFill/>
                    </a:ln>
                  </pic:spPr>
                </pic:pic>
              </a:graphicData>
            </a:graphic>
          </wp:inline>
        </w:drawing>
      </w:r>
    </w:p>
    <w:p w14:paraId="12CCF7D4">
      <w:pPr>
        <w:pStyle w:val="178"/>
        <w:rPr>
          <w:rFonts w:ascii="Times New Roman" w:hAnsi="Times New Roman"/>
        </w:rPr>
      </w:pPr>
      <w:r>
        <w:rPr>
          <w:rFonts w:ascii="Times New Roman" w:hAnsi="Times New Roman"/>
        </w:rPr>
        <w:t>图4.2-1  环境空气现状监测布点图</w:t>
      </w:r>
    </w:p>
    <w:p w14:paraId="1FF1ED60">
      <w:pPr>
        <w:ind w:firstLine="482"/>
        <w:rPr>
          <w:b/>
        </w:rPr>
      </w:pPr>
      <w:r>
        <w:rPr>
          <w:rFonts w:hint="eastAsia"/>
          <w:b/>
        </w:rPr>
        <w:t>2、</w:t>
      </w:r>
      <w:r>
        <w:rPr>
          <w:b/>
        </w:rPr>
        <w:t>监测方法</w:t>
      </w:r>
    </w:p>
    <w:p w14:paraId="0681566F">
      <w:pPr>
        <w:ind w:firstLine="480"/>
      </w:pPr>
      <w:r>
        <w:t>环境空气质量现状监测方法详见表4.</w:t>
      </w:r>
      <w:r>
        <w:rPr>
          <w:rFonts w:hint="eastAsia"/>
        </w:rPr>
        <w:t>2</w:t>
      </w:r>
      <w:r>
        <w:t>-3。</w:t>
      </w:r>
    </w:p>
    <w:p w14:paraId="2F95A4CE">
      <w:pPr>
        <w:pStyle w:val="178"/>
      </w:pPr>
      <w:r>
        <w:t>表4.</w:t>
      </w:r>
      <w:r>
        <w:rPr>
          <w:rFonts w:hint="eastAsia"/>
        </w:rPr>
        <w:t>2</w:t>
      </w:r>
      <w:r>
        <w:t>-3  分析方法及来源</w:t>
      </w:r>
    </w:p>
    <w:tbl>
      <w:tblPr>
        <w:tblStyle w:val="36"/>
        <w:tblW w:w="8505"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2300"/>
        <w:gridCol w:w="6205"/>
      </w:tblGrid>
      <w:tr w14:paraId="6E0BD50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352" w:type="pct"/>
            <w:vAlign w:val="center"/>
          </w:tcPr>
          <w:p w14:paraId="32C6F13E">
            <w:pPr>
              <w:pStyle w:val="179"/>
              <w:rPr>
                <w:b/>
              </w:rPr>
            </w:pPr>
            <w:r>
              <w:rPr>
                <w:b/>
              </w:rPr>
              <w:t>监测项目</w:t>
            </w:r>
          </w:p>
        </w:tc>
        <w:tc>
          <w:tcPr>
            <w:tcW w:w="3648" w:type="pct"/>
            <w:vAlign w:val="center"/>
          </w:tcPr>
          <w:p w14:paraId="5D6C5B13">
            <w:pPr>
              <w:pStyle w:val="179"/>
              <w:rPr>
                <w:b/>
              </w:rPr>
            </w:pPr>
            <w:r>
              <w:rPr>
                <w:b/>
              </w:rPr>
              <w:t>监测方法</w:t>
            </w:r>
          </w:p>
        </w:tc>
      </w:tr>
      <w:tr w14:paraId="04ABEF0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352" w:type="pct"/>
            <w:vAlign w:val="center"/>
          </w:tcPr>
          <w:p w14:paraId="2D74F138">
            <w:pPr>
              <w:pStyle w:val="179"/>
            </w:pPr>
            <w:r>
              <w:t>TSP</w:t>
            </w:r>
          </w:p>
        </w:tc>
        <w:tc>
          <w:tcPr>
            <w:tcW w:w="3648" w:type="pct"/>
            <w:vAlign w:val="center"/>
          </w:tcPr>
          <w:p w14:paraId="18F9FF50">
            <w:pPr>
              <w:pStyle w:val="179"/>
            </w:pPr>
            <w:r>
              <w:t>环境空气 总悬浮颗粒物的测定 重量法HJ 1263-2022</w:t>
            </w:r>
          </w:p>
        </w:tc>
      </w:tr>
    </w:tbl>
    <w:p w14:paraId="3689D032">
      <w:pPr>
        <w:ind w:firstLine="482"/>
        <w:rPr>
          <w:b/>
        </w:rPr>
      </w:pPr>
      <w:r>
        <w:rPr>
          <w:rFonts w:hint="eastAsia"/>
          <w:b/>
        </w:rPr>
        <w:t>3、</w:t>
      </w:r>
      <w:r>
        <w:rPr>
          <w:b/>
        </w:rPr>
        <w:t>监测时间与频次</w:t>
      </w:r>
    </w:p>
    <w:p w14:paraId="7CBE788E">
      <w:pPr>
        <w:ind w:firstLine="480"/>
      </w:pPr>
      <w:r>
        <w:t>监测时间：202</w:t>
      </w:r>
      <w:r>
        <w:rPr>
          <w:rFonts w:hint="eastAsia"/>
        </w:rPr>
        <w:t>6</w:t>
      </w:r>
      <w:r>
        <w:t>年</w:t>
      </w:r>
      <w:r>
        <w:rPr>
          <w:rFonts w:hint="eastAsia"/>
        </w:rPr>
        <w:t>1</w:t>
      </w:r>
      <w:r>
        <w:t>月1日~202</w:t>
      </w:r>
      <w:r>
        <w:rPr>
          <w:rFonts w:hint="eastAsia"/>
        </w:rPr>
        <w:t>6</w:t>
      </w:r>
      <w:r>
        <w:t>年</w:t>
      </w:r>
      <w:r>
        <w:rPr>
          <w:rFonts w:hint="eastAsia"/>
        </w:rPr>
        <w:t>1</w:t>
      </w:r>
      <w:r>
        <w:t>月</w:t>
      </w:r>
      <w:r>
        <w:rPr>
          <w:rFonts w:hint="eastAsia"/>
        </w:rPr>
        <w:t>7</w:t>
      </w:r>
      <w:r>
        <w:t>日。</w:t>
      </w:r>
    </w:p>
    <w:p w14:paraId="7DBB66D6">
      <w:pPr>
        <w:ind w:firstLine="480"/>
      </w:pPr>
      <w:r>
        <w:t>监测频率：TSP日均浓度，共监测7d，每天1次。</w:t>
      </w:r>
    </w:p>
    <w:p w14:paraId="4E492C0D">
      <w:pPr>
        <w:ind w:firstLine="482"/>
        <w:rPr>
          <w:b/>
        </w:rPr>
      </w:pPr>
      <w:r>
        <w:rPr>
          <w:rFonts w:hint="eastAsia"/>
          <w:b/>
        </w:rPr>
        <w:t>4、</w:t>
      </w:r>
      <w:r>
        <w:rPr>
          <w:b/>
        </w:rPr>
        <w:t>监测结果</w:t>
      </w:r>
    </w:p>
    <w:p w14:paraId="10878D2F">
      <w:pPr>
        <w:ind w:firstLine="480"/>
      </w:pPr>
      <w:r>
        <w:t>本项目特征污染物TSP监测结果见表4.</w:t>
      </w:r>
      <w:r>
        <w:rPr>
          <w:rFonts w:hint="eastAsia"/>
        </w:rPr>
        <w:t>2</w:t>
      </w:r>
      <w:r>
        <w:t>-4。</w:t>
      </w:r>
    </w:p>
    <w:p w14:paraId="28B84BE4">
      <w:pPr>
        <w:pStyle w:val="178"/>
        <w:rPr>
          <w:rFonts w:ascii="Times New Roman" w:hAnsi="Times New Roman"/>
        </w:rPr>
      </w:pPr>
      <w:r>
        <w:rPr>
          <w:rFonts w:ascii="Times New Roman" w:hAnsi="Times New Roman"/>
        </w:rPr>
        <w:t>表4.</w:t>
      </w:r>
      <w:r>
        <w:rPr>
          <w:rFonts w:hint="eastAsia" w:ascii="Times New Roman" w:hAnsi="Times New Roman"/>
        </w:rPr>
        <w:t>2</w:t>
      </w:r>
      <w:r>
        <w:rPr>
          <w:rFonts w:ascii="Times New Roman" w:hAnsi="Times New Roman"/>
        </w:rPr>
        <w:t>-4  环境质量现状监测结果统计表（</w:t>
      </w:r>
      <w:r>
        <w:rPr>
          <w:rFonts w:hint="eastAsia" w:ascii="Times New Roman" w:hAnsi="Times New Roman"/>
        </w:rPr>
        <w:t>TSP</w:t>
      </w:r>
      <w:r>
        <w:rPr>
          <w:rFonts w:ascii="Times New Roman" w:hAnsi="Times New Roman"/>
        </w:rPr>
        <w:t>）</w:t>
      </w:r>
    </w:p>
    <w:tbl>
      <w:tblPr>
        <w:tblStyle w:val="36"/>
        <w:tblW w:w="8505"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401"/>
        <w:gridCol w:w="1191"/>
        <w:gridCol w:w="2957"/>
        <w:gridCol w:w="2956"/>
      </w:tblGrid>
      <w:tr w14:paraId="0A3A4F3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401" w:type="dxa"/>
            <w:vMerge w:val="restart"/>
            <w:noWrap/>
            <w:vAlign w:val="center"/>
          </w:tcPr>
          <w:p w14:paraId="6DB50B4B">
            <w:pPr>
              <w:pStyle w:val="179"/>
              <w:rPr>
                <w:rFonts w:cs="Times New Roman"/>
                <w:b/>
              </w:rPr>
            </w:pPr>
            <w:r>
              <w:rPr>
                <w:rFonts w:cs="Times New Roman"/>
                <w:b/>
              </w:rPr>
              <w:t>采样日期</w:t>
            </w:r>
          </w:p>
        </w:tc>
        <w:tc>
          <w:tcPr>
            <w:tcW w:w="1191" w:type="dxa"/>
            <w:vMerge w:val="restart"/>
            <w:noWrap/>
            <w:vAlign w:val="center"/>
          </w:tcPr>
          <w:p w14:paraId="65CFE7AC">
            <w:pPr>
              <w:pStyle w:val="179"/>
              <w:rPr>
                <w:rFonts w:cs="Times New Roman"/>
                <w:b/>
              </w:rPr>
            </w:pPr>
            <w:r>
              <w:rPr>
                <w:rFonts w:cs="Times New Roman"/>
                <w:b/>
              </w:rPr>
              <w:t>采样频次</w:t>
            </w:r>
          </w:p>
        </w:tc>
        <w:tc>
          <w:tcPr>
            <w:tcW w:w="5913" w:type="dxa"/>
            <w:gridSpan w:val="2"/>
            <w:noWrap/>
            <w:vAlign w:val="center"/>
          </w:tcPr>
          <w:p w14:paraId="78ADC532">
            <w:pPr>
              <w:pStyle w:val="179"/>
              <w:rPr>
                <w:rFonts w:cs="Times New Roman"/>
                <w:b/>
              </w:rPr>
            </w:pPr>
            <w:r>
              <w:rPr>
                <w:rFonts w:cs="Times New Roman"/>
                <w:b/>
              </w:rPr>
              <w:t>检测结果</w:t>
            </w:r>
            <w:r>
              <w:rPr>
                <w:rFonts w:hint="eastAsia" w:cs="Times New Roman"/>
                <w:b/>
              </w:rPr>
              <w:t>（单位：mg/m</w:t>
            </w:r>
            <w:r>
              <w:rPr>
                <w:rFonts w:hint="eastAsia" w:cs="Times New Roman"/>
                <w:b/>
                <w:vertAlign w:val="superscript"/>
              </w:rPr>
              <w:t>3</w:t>
            </w:r>
            <w:r>
              <w:rPr>
                <w:rFonts w:hint="eastAsia" w:cs="Times New Roman"/>
                <w:b/>
              </w:rPr>
              <w:t>）</w:t>
            </w:r>
          </w:p>
        </w:tc>
      </w:tr>
      <w:tr w14:paraId="31845C0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401" w:type="dxa"/>
            <w:vMerge w:val="continue"/>
            <w:noWrap/>
            <w:vAlign w:val="center"/>
          </w:tcPr>
          <w:p w14:paraId="053D6662">
            <w:pPr>
              <w:pStyle w:val="179"/>
              <w:rPr>
                <w:rFonts w:cs="Times New Roman"/>
                <w:b/>
              </w:rPr>
            </w:pPr>
          </w:p>
        </w:tc>
        <w:tc>
          <w:tcPr>
            <w:tcW w:w="1191" w:type="dxa"/>
            <w:vMerge w:val="continue"/>
            <w:noWrap/>
            <w:vAlign w:val="center"/>
          </w:tcPr>
          <w:p w14:paraId="1AB8BCAF">
            <w:pPr>
              <w:pStyle w:val="179"/>
              <w:rPr>
                <w:rFonts w:cs="Times New Roman"/>
                <w:b/>
              </w:rPr>
            </w:pPr>
          </w:p>
        </w:tc>
        <w:tc>
          <w:tcPr>
            <w:tcW w:w="2957" w:type="dxa"/>
            <w:shd w:val="clear" w:color="auto" w:fill="auto"/>
            <w:noWrap/>
            <w:vAlign w:val="center"/>
          </w:tcPr>
          <w:p w14:paraId="1A35B798">
            <w:pPr>
              <w:pStyle w:val="179"/>
              <w:rPr>
                <w:rFonts w:cs="Times New Roman"/>
                <w:b/>
              </w:rPr>
            </w:pPr>
            <w:r>
              <w:rPr>
                <w:rFonts w:cs="Times New Roman"/>
                <w:b/>
              </w:rPr>
              <w:t>1#项目矿区</w:t>
            </w:r>
          </w:p>
        </w:tc>
        <w:tc>
          <w:tcPr>
            <w:tcW w:w="2956" w:type="dxa"/>
            <w:shd w:val="clear" w:color="auto" w:fill="auto"/>
            <w:noWrap/>
            <w:vAlign w:val="center"/>
          </w:tcPr>
          <w:p w14:paraId="16DDD2A7">
            <w:pPr>
              <w:pStyle w:val="179"/>
              <w:rPr>
                <w:rFonts w:cs="Times New Roman"/>
                <w:b/>
              </w:rPr>
            </w:pPr>
            <w:r>
              <w:rPr>
                <w:rFonts w:cs="Times New Roman"/>
                <w:b/>
              </w:rPr>
              <w:t>2#</w:t>
            </w:r>
            <w:r>
              <w:rPr>
                <w:rFonts w:hint="eastAsia" w:cs="Times New Roman"/>
                <w:b/>
              </w:rPr>
              <w:t>矿区</w:t>
            </w:r>
            <w:r>
              <w:rPr>
                <w:rFonts w:hint="eastAsia" w:cs="Times New Roman"/>
                <w:b/>
                <w:lang w:val="de-DE"/>
              </w:rPr>
              <w:t>下风向</w:t>
            </w:r>
            <w:r>
              <w:rPr>
                <w:rFonts w:hint="eastAsia" w:cs="Times New Roman"/>
                <w:b/>
              </w:rPr>
              <w:t>20</w:t>
            </w:r>
            <w:r>
              <w:rPr>
                <w:rFonts w:hint="eastAsia" w:cs="Times New Roman"/>
                <w:b/>
                <w:lang w:val="de-DE"/>
              </w:rPr>
              <w:t>0m处</w:t>
            </w:r>
          </w:p>
        </w:tc>
      </w:tr>
      <w:tr w14:paraId="3A8B5CC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01" w:type="dxa"/>
            <w:noWrap/>
            <w:vAlign w:val="center"/>
          </w:tcPr>
          <w:p w14:paraId="553FED13">
            <w:pPr>
              <w:pStyle w:val="179"/>
            </w:pPr>
            <w:r>
              <w:rPr>
                <w:rFonts w:hint="eastAsia"/>
              </w:rPr>
              <w:t>2026.01.01</w:t>
            </w:r>
          </w:p>
        </w:tc>
        <w:tc>
          <w:tcPr>
            <w:tcW w:w="1191" w:type="dxa"/>
            <w:noWrap/>
            <w:vAlign w:val="center"/>
          </w:tcPr>
          <w:p w14:paraId="0BE16E21">
            <w:pPr>
              <w:pStyle w:val="179"/>
              <w:rPr>
                <w:rFonts w:cs="Times New Roman"/>
              </w:rPr>
            </w:pPr>
            <w:r>
              <w:rPr>
                <w:rFonts w:cs="Times New Roman"/>
              </w:rPr>
              <w:t>日均值</w:t>
            </w:r>
          </w:p>
        </w:tc>
        <w:tc>
          <w:tcPr>
            <w:tcW w:w="2957" w:type="dxa"/>
            <w:shd w:val="clear" w:color="auto" w:fill="auto"/>
            <w:noWrap/>
            <w:vAlign w:val="center"/>
          </w:tcPr>
          <w:p w14:paraId="6F82ABA0">
            <w:pPr>
              <w:pStyle w:val="179"/>
            </w:pPr>
            <w:r>
              <w:rPr>
                <w:rFonts w:hint="eastAsia" w:cs="Times New Roman"/>
              </w:rPr>
              <w:t>0.225</w:t>
            </w:r>
          </w:p>
        </w:tc>
        <w:tc>
          <w:tcPr>
            <w:tcW w:w="2956" w:type="dxa"/>
            <w:shd w:val="clear" w:color="auto" w:fill="auto"/>
            <w:noWrap/>
            <w:vAlign w:val="center"/>
          </w:tcPr>
          <w:p w14:paraId="11C208D1">
            <w:pPr>
              <w:pStyle w:val="179"/>
            </w:pPr>
            <w:r>
              <w:rPr>
                <w:rFonts w:hint="eastAsia" w:cs="Times New Roman"/>
              </w:rPr>
              <w:t>0.235</w:t>
            </w:r>
          </w:p>
        </w:tc>
      </w:tr>
      <w:tr w14:paraId="2D38658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01" w:type="dxa"/>
            <w:noWrap/>
            <w:vAlign w:val="center"/>
          </w:tcPr>
          <w:p w14:paraId="004BA93E">
            <w:pPr>
              <w:pStyle w:val="179"/>
            </w:pPr>
            <w:r>
              <w:rPr>
                <w:rFonts w:hint="eastAsia"/>
              </w:rPr>
              <w:t>2026.01.02</w:t>
            </w:r>
          </w:p>
        </w:tc>
        <w:tc>
          <w:tcPr>
            <w:tcW w:w="1191" w:type="dxa"/>
            <w:noWrap/>
            <w:vAlign w:val="center"/>
          </w:tcPr>
          <w:p w14:paraId="03CCD236">
            <w:pPr>
              <w:pStyle w:val="179"/>
              <w:rPr>
                <w:rFonts w:cs="Times New Roman"/>
              </w:rPr>
            </w:pPr>
            <w:r>
              <w:rPr>
                <w:rFonts w:cs="Times New Roman"/>
              </w:rPr>
              <w:t>日均值</w:t>
            </w:r>
          </w:p>
        </w:tc>
        <w:tc>
          <w:tcPr>
            <w:tcW w:w="2957" w:type="dxa"/>
            <w:noWrap/>
            <w:vAlign w:val="center"/>
          </w:tcPr>
          <w:p w14:paraId="55008029">
            <w:pPr>
              <w:pStyle w:val="179"/>
            </w:pPr>
            <w:r>
              <w:rPr>
                <w:rFonts w:hint="eastAsia"/>
              </w:rPr>
              <w:t>0.216</w:t>
            </w:r>
          </w:p>
        </w:tc>
        <w:tc>
          <w:tcPr>
            <w:tcW w:w="2956" w:type="dxa"/>
            <w:noWrap/>
            <w:vAlign w:val="center"/>
          </w:tcPr>
          <w:p w14:paraId="670B4C9A">
            <w:pPr>
              <w:pStyle w:val="179"/>
            </w:pPr>
            <w:r>
              <w:rPr>
                <w:rFonts w:hint="eastAsia" w:cs="Times New Roman"/>
              </w:rPr>
              <w:t>0.247</w:t>
            </w:r>
          </w:p>
        </w:tc>
      </w:tr>
      <w:tr w14:paraId="391D9DA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01" w:type="dxa"/>
            <w:noWrap/>
            <w:vAlign w:val="center"/>
          </w:tcPr>
          <w:p w14:paraId="248D5625">
            <w:pPr>
              <w:pStyle w:val="179"/>
            </w:pPr>
            <w:r>
              <w:rPr>
                <w:rFonts w:hint="eastAsia"/>
              </w:rPr>
              <w:t>2026.01.03</w:t>
            </w:r>
          </w:p>
        </w:tc>
        <w:tc>
          <w:tcPr>
            <w:tcW w:w="1191" w:type="dxa"/>
            <w:noWrap/>
            <w:vAlign w:val="center"/>
          </w:tcPr>
          <w:p w14:paraId="7057C2DF">
            <w:pPr>
              <w:pStyle w:val="179"/>
              <w:rPr>
                <w:rFonts w:cs="Times New Roman"/>
              </w:rPr>
            </w:pPr>
            <w:r>
              <w:rPr>
                <w:rFonts w:cs="Times New Roman"/>
              </w:rPr>
              <w:t>日均值</w:t>
            </w:r>
          </w:p>
        </w:tc>
        <w:tc>
          <w:tcPr>
            <w:tcW w:w="2957" w:type="dxa"/>
            <w:noWrap/>
            <w:vAlign w:val="center"/>
          </w:tcPr>
          <w:p w14:paraId="252B2C02">
            <w:pPr>
              <w:pStyle w:val="179"/>
            </w:pPr>
            <w:r>
              <w:rPr>
                <w:rFonts w:hint="eastAsia"/>
              </w:rPr>
              <w:t>0.224</w:t>
            </w:r>
          </w:p>
        </w:tc>
        <w:tc>
          <w:tcPr>
            <w:tcW w:w="2956" w:type="dxa"/>
            <w:noWrap/>
            <w:vAlign w:val="center"/>
          </w:tcPr>
          <w:p w14:paraId="232F05AF">
            <w:pPr>
              <w:pStyle w:val="179"/>
            </w:pPr>
            <w:r>
              <w:rPr>
                <w:rFonts w:hint="eastAsia" w:cs="Times New Roman"/>
              </w:rPr>
              <w:t>0.234</w:t>
            </w:r>
          </w:p>
        </w:tc>
      </w:tr>
      <w:tr w14:paraId="24C2AD4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01" w:type="dxa"/>
            <w:noWrap/>
            <w:vAlign w:val="center"/>
          </w:tcPr>
          <w:p w14:paraId="20BC8DD4">
            <w:pPr>
              <w:pStyle w:val="179"/>
            </w:pPr>
            <w:r>
              <w:rPr>
                <w:rFonts w:hint="eastAsia"/>
              </w:rPr>
              <w:t>2026.01.04</w:t>
            </w:r>
          </w:p>
        </w:tc>
        <w:tc>
          <w:tcPr>
            <w:tcW w:w="1191" w:type="dxa"/>
            <w:noWrap/>
            <w:vAlign w:val="center"/>
          </w:tcPr>
          <w:p w14:paraId="63A05097">
            <w:pPr>
              <w:pStyle w:val="179"/>
              <w:rPr>
                <w:rFonts w:cs="Times New Roman"/>
              </w:rPr>
            </w:pPr>
            <w:r>
              <w:rPr>
                <w:rFonts w:cs="Times New Roman"/>
              </w:rPr>
              <w:t>日均值</w:t>
            </w:r>
          </w:p>
        </w:tc>
        <w:tc>
          <w:tcPr>
            <w:tcW w:w="2957" w:type="dxa"/>
            <w:noWrap/>
            <w:vAlign w:val="center"/>
          </w:tcPr>
          <w:p w14:paraId="62A73CC0">
            <w:pPr>
              <w:pStyle w:val="179"/>
            </w:pPr>
            <w:r>
              <w:rPr>
                <w:rFonts w:hint="eastAsia"/>
              </w:rPr>
              <w:t>0.228</w:t>
            </w:r>
          </w:p>
        </w:tc>
        <w:tc>
          <w:tcPr>
            <w:tcW w:w="2956" w:type="dxa"/>
            <w:noWrap/>
            <w:vAlign w:val="center"/>
          </w:tcPr>
          <w:p w14:paraId="717CD6B1">
            <w:pPr>
              <w:pStyle w:val="179"/>
            </w:pPr>
            <w:r>
              <w:rPr>
                <w:rFonts w:hint="eastAsia" w:cs="Times New Roman"/>
              </w:rPr>
              <w:t>0.252</w:t>
            </w:r>
          </w:p>
        </w:tc>
      </w:tr>
      <w:tr w14:paraId="1DC34F1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01" w:type="dxa"/>
            <w:noWrap/>
            <w:vAlign w:val="center"/>
          </w:tcPr>
          <w:p w14:paraId="1BAD5DD6">
            <w:pPr>
              <w:pStyle w:val="179"/>
            </w:pPr>
            <w:r>
              <w:rPr>
                <w:rFonts w:hint="eastAsia"/>
              </w:rPr>
              <w:t>2026.01.05</w:t>
            </w:r>
          </w:p>
        </w:tc>
        <w:tc>
          <w:tcPr>
            <w:tcW w:w="1191" w:type="dxa"/>
            <w:noWrap/>
            <w:vAlign w:val="center"/>
          </w:tcPr>
          <w:p w14:paraId="35D9FD82">
            <w:pPr>
              <w:pStyle w:val="179"/>
              <w:rPr>
                <w:rFonts w:cs="Times New Roman"/>
              </w:rPr>
            </w:pPr>
            <w:r>
              <w:rPr>
                <w:rFonts w:cs="Times New Roman"/>
              </w:rPr>
              <w:t>日均值</w:t>
            </w:r>
          </w:p>
        </w:tc>
        <w:tc>
          <w:tcPr>
            <w:tcW w:w="2957" w:type="dxa"/>
            <w:noWrap/>
            <w:vAlign w:val="center"/>
          </w:tcPr>
          <w:p w14:paraId="7E31BA7A">
            <w:pPr>
              <w:pStyle w:val="179"/>
            </w:pPr>
            <w:r>
              <w:rPr>
                <w:rFonts w:hint="eastAsia"/>
              </w:rPr>
              <w:t>0.217</w:t>
            </w:r>
          </w:p>
        </w:tc>
        <w:tc>
          <w:tcPr>
            <w:tcW w:w="2956" w:type="dxa"/>
            <w:noWrap/>
            <w:vAlign w:val="center"/>
          </w:tcPr>
          <w:p w14:paraId="26558699">
            <w:pPr>
              <w:pStyle w:val="179"/>
            </w:pPr>
            <w:r>
              <w:rPr>
                <w:rFonts w:hint="eastAsia" w:cs="Times New Roman"/>
              </w:rPr>
              <w:t>0.234</w:t>
            </w:r>
          </w:p>
        </w:tc>
      </w:tr>
      <w:tr w14:paraId="04DFC47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01" w:type="dxa"/>
            <w:noWrap/>
            <w:vAlign w:val="center"/>
          </w:tcPr>
          <w:p w14:paraId="0B476816">
            <w:pPr>
              <w:pStyle w:val="179"/>
            </w:pPr>
            <w:r>
              <w:rPr>
                <w:rFonts w:hint="eastAsia"/>
              </w:rPr>
              <w:t>2026.01.06</w:t>
            </w:r>
          </w:p>
        </w:tc>
        <w:tc>
          <w:tcPr>
            <w:tcW w:w="1191" w:type="dxa"/>
            <w:noWrap/>
            <w:vAlign w:val="center"/>
          </w:tcPr>
          <w:p w14:paraId="3322DCC7">
            <w:pPr>
              <w:pStyle w:val="179"/>
              <w:rPr>
                <w:rFonts w:cs="Times New Roman"/>
              </w:rPr>
            </w:pPr>
            <w:r>
              <w:rPr>
                <w:rFonts w:cs="Times New Roman"/>
              </w:rPr>
              <w:t>日均值</w:t>
            </w:r>
          </w:p>
        </w:tc>
        <w:tc>
          <w:tcPr>
            <w:tcW w:w="2957" w:type="dxa"/>
            <w:noWrap/>
            <w:vAlign w:val="center"/>
          </w:tcPr>
          <w:p w14:paraId="1AD2A8F7">
            <w:pPr>
              <w:pStyle w:val="179"/>
            </w:pPr>
            <w:r>
              <w:rPr>
                <w:rFonts w:hint="eastAsia"/>
              </w:rPr>
              <w:t>0.223</w:t>
            </w:r>
          </w:p>
        </w:tc>
        <w:tc>
          <w:tcPr>
            <w:tcW w:w="2956" w:type="dxa"/>
            <w:noWrap/>
            <w:vAlign w:val="center"/>
          </w:tcPr>
          <w:p w14:paraId="00165BCC">
            <w:pPr>
              <w:pStyle w:val="179"/>
            </w:pPr>
            <w:r>
              <w:rPr>
                <w:rFonts w:hint="eastAsia" w:cs="Times New Roman"/>
              </w:rPr>
              <w:t>0.246</w:t>
            </w:r>
          </w:p>
        </w:tc>
      </w:tr>
      <w:tr w14:paraId="324E6F1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01" w:type="dxa"/>
            <w:noWrap/>
            <w:vAlign w:val="center"/>
          </w:tcPr>
          <w:p w14:paraId="7754E74F">
            <w:pPr>
              <w:pStyle w:val="179"/>
            </w:pPr>
            <w:r>
              <w:rPr>
                <w:rFonts w:hint="eastAsia"/>
              </w:rPr>
              <w:t>2026.01.07</w:t>
            </w:r>
          </w:p>
        </w:tc>
        <w:tc>
          <w:tcPr>
            <w:tcW w:w="1191" w:type="dxa"/>
            <w:noWrap/>
            <w:vAlign w:val="center"/>
          </w:tcPr>
          <w:p w14:paraId="49B670E5">
            <w:pPr>
              <w:pStyle w:val="179"/>
              <w:rPr>
                <w:rFonts w:cs="Times New Roman"/>
              </w:rPr>
            </w:pPr>
            <w:r>
              <w:rPr>
                <w:rFonts w:cs="Times New Roman"/>
              </w:rPr>
              <w:t>日均值</w:t>
            </w:r>
          </w:p>
        </w:tc>
        <w:tc>
          <w:tcPr>
            <w:tcW w:w="2957" w:type="dxa"/>
            <w:noWrap/>
            <w:vAlign w:val="center"/>
          </w:tcPr>
          <w:p w14:paraId="6868BB55">
            <w:pPr>
              <w:pStyle w:val="179"/>
            </w:pPr>
            <w:r>
              <w:rPr>
                <w:rFonts w:hint="eastAsia"/>
              </w:rPr>
              <w:t>0.220</w:t>
            </w:r>
          </w:p>
        </w:tc>
        <w:tc>
          <w:tcPr>
            <w:tcW w:w="2956" w:type="dxa"/>
            <w:noWrap/>
            <w:vAlign w:val="center"/>
          </w:tcPr>
          <w:p w14:paraId="48A28296">
            <w:pPr>
              <w:pStyle w:val="179"/>
            </w:pPr>
            <w:r>
              <w:rPr>
                <w:rFonts w:hint="eastAsia" w:cs="Times New Roman"/>
              </w:rPr>
              <w:t>0.240</w:t>
            </w:r>
          </w:p>
        </w:tc>
      </w:tr>
    </w:tbl>
    <w:p w14:paraId="5BD1D42C">
      <w:pPr>
        <w:ind w:firstLine="482"/>
        <w:rPr>
          <w:b/>
        </w:rPr>
      </w:pPr>
      <w:r>
        <w:rPr>
          <w:rFonts w:hint="eastAsia"/>
          <w:b/>
        </w:rPr>
        <w:t>5、</w:t>
      </w:r>
      <w:r>
        <w:rPr>
          <w:b/>
        </w:rPr>
        <w:t>评价标准</w:t>
      </w:r>
    </w:p>
    <w:p w14:paraId="405CFACF">
      <w:pPr>
        <w:ind w:firstLine="480"/>
      </w:pPr>
      <w:r>
        <w:t>TSP采用《环境空气质量标准》（GB3095</w:t>
      </w:r>
      <w:r>
        <w:rPr>
          <w:rFonts w:hint="eastAsia"/>
        </w:rPr>
        <w:t>-</w:t>
      </w:r>
      <w:r>
        <w:t>20</w:t>
      </w:r>
      <w:r>
        <w:rPr>
          <w:rFonts w:hint="eastAsia"/>
        </w:rPr>
        <w:t>26</w:t>
      </w:r>
      <w:r>
        <w:t>）中表2浓度限值。</w:t>
      </w:r>
    </w:p>
    <w:p w14:paraId="20044461">
      <w:pPr>
        <w:ind w:firstLine="482"/>
        <w:rPr>
          <w:b/>
        </w:rPr>
      </w:pPr>
      <w:r>
        <w:rPr>
          <w:rFonts w:hint="eastAsia"/>
          <w:b/>
        </w:rPr>
        <w:t>6、</w:t>
      </w:r>
      <w:r>
        <w:rPr>
          <w:b/>
        </w:rPr>
        <w:t>评价方法</w:t>
      </w:r>
    </w:p>
    <w:p w14:paraId="2B444381">
      <w:pPr>
        <w:ind w:firstLine="480"/>
        <w:textAlignment w:val="center"/>
      </w:pPr>
      <w:r>
        <w:t>根据《环境影响评价技术导则大气环境》（HJ2.2-2018），各监测点的最大质量浓度值占相应标准质量浓度限值的百分比，计算公式为：</w:t>
      </w:r>
    </w:p>
    <w:p w14:paraId="228B6F1D">
      <w:pPr>
        <w:pStyle w:val="178"/>
        <w:spacing w:line="360" w:lineRule="auto"/>
        <w:textAlignment w:val="center"/>
        <w:rPr>
          <w:rFonts w:ascii="Times New Roman" w:hAnsi="Times New Roman"/>
        </w:rPr>
      </w:pPr>
      <w:r>
        <w:rPr>
          <w:rFonts w:ascii="Times New Roman" w:hAnsi="Times New Roman"/>
        </w:rPr>
        <w:t>Pi=C</w:t>
      </w:r>
      <w:r>
        <w:rPr>
          <w:rFonts w:ascii="Times New Roman" w:hAnsi="Times New Roman"/>
          <w:vertAlign w:val="subscript"/>
        </w:rPr>
        <w:t>i</w:t>
      </w:r>
      <w:r>
        <w:rPr>
          <w:rFonts w:ascii="Times New Roman" w:hAnsi="Times New Roman"/>
        </w:rPr>
        <w:t>/C</w:t>
      </w:r>
      <w:r>
        <w:rPr>
          <w:rFonts w:ascii="Times New Roman" w:hAnsi="Times New Roman"/>
          <w:vertAlign w:val="subscript"/>
        </w:rPr>
        <w:t>io</w:t>
      </w:r>
      <w:r>
        <w:rPr>
          <w:rFonts w:ascii="Times New Roman" w:hAnsi="Times New Roman"/>
        </w:rPr>
        <w:t>×100%</w:t>
      </w:r>
    </w:p>
    <w:p w14:paraId="0690EAF0">
      <w:pPr>
        <w:ind w:firstLine="480"/>
        <w:textAlignment w:val="center"/>
      </w:pPr>
      <w:r>
        <w:t>式中：P</w:t>
      </w:r>
      <w:r>
        <w:rPr>
          <w:vertAlign w:val="subscript"/>
        </w:rPr>
        <w:t>i</w:t>
      </w:r>
      <w:r>
        <w:rPr>
          <w:rFonts w:hint="eastAsia" w:ascii="宋体" w:hAnsi="宋体" w:eastAsia="宋体"/>
        </w:rPr>
        <w:t>―</w:t>
      </w:r>
      <w:r>
        <w:t>第 i 个污染物的最大地面浓度占标百分比；</w:t>
      </w:r>
    </w:p>
    <w:p w14:paraId="514E57BB">
      <w:pPr>
        <w:ind w:left="1680" w:leftChars="500" w:hanging="480" w:hangingChars="200"/>
        <w:textAlignment w:val="center"/>
      </w:pPr>
      <w:r>
        <w:t>C</w:t>
      </w:r>
      <w:r>
        <w:rPr>
          <w:vertAlign w:val="subscript"/>
        </w:rPr>
        <w:t>i</w:t>
      </w:r>
      <w:r>
        <w:rPr>
          <w:rFonts w:hint="eastAsia" w:ascii="宋体" w:hAnsi="宋体" w:eastAsia="宋体"/>
        </w:rPr>
        <w:t>―</w:t>
      </w:r>
      <w:r>
        <w:t>各监测点第 i 个污染物的最大质量浓度，mg/m</w:t>
      </w:r>
      <w:r>
        <w:rPr>
          <w:vertAlign w:val="superscript"/>
        </w:rPr>
        <w:t>3</w:t>
      </w:r>
      <w:r>
        <w:t>；</w:t>
      </w:r>
    </w:p>
    <w:p w14:paraId="57DF2638">
      <w:pPr>
        <w:ind w:left="1680" w:leftChars="500" w:hanging="480" w:hangingChars="200"/>
        <w:textAlignment w:val="center"/>
      </w:pPr>
      <w:r>
        <w:t>C</w:t>
      </w:r>
      <w:r>
        <w:rPr>
          <w:vertAlign w:val="subscript"/>
        </w:rPr>
        <w:t>i0</w:t>
      </w:r>
      <w:r>
        <w:rPr>
          <w:rFonts w:hint="eastAsia" w:ascii="宋体" w:hAnsi="宋体" w:eastAsia="宋体"/>
        </w:rPr>
        <w:t>―</w:t>
      </w:r>
      <w:r>
        <w:t>第 i 个污染物的环境空气质量标准，mg/m</w:t>
      </w:r>
      <w:r>
        <w:rPr>
          <w:vertAlign w:val="superscript"/>
        </w:rPr>
        <w:t>3</w:t>
      </w:r>
      <w:r>
        <w:t>。</w:t>
      </w:r>
    </w:p>
    <w:p w14:paraId="19841AAB">
      <w:pPr>
        <w:ind w:firstLine="482"/>
        <w:rPr>
          <w:b/>
        </w:rPr>
      </w:pPr>
      <w:r>
        <w:rPr>
          <w:rFonts w:hint="eastAsia"/>
          <w:b/>
        </w:rPr>
        <w:t>7、</w:t>
      </w:r>
      <w:r>
        <w:rPr>
          <w:b/>
        </w:rPr>
        <w:t>评价结果</w:t>
      </w:r>
    </w:p>
    <w:p w14:paraId="076EA329">
      <w:pPr>
        <w:ind w:firstLine="480"/>
      </w:pPr>
      <w:r>
        <w:t>环境空气质量监测结果见表4.</w:t>
      </w:r>
      <w:r>
        <w:rPr>
          <w:rFonts w:hint="eastAsia"/>
        </w:rPr>
        <w:t>2</w:t>
      </w:r>
      <w:r>
        <w:t>-</w:t>
      </w:r>
      <w:r>
        <w:rPr>
          <w:rFonts w:hint="eastAsia"/>
        </w:rPr>
        <w:t>5</w:t>
      </w:r>
      <w:r>
        <w:t>。</w:t>
      </w:r>
    </w:p>
    <w:p w14:paraId="384DB6F7">
      <w:pPr>
        <w:pStyle w:val="178"/>
      </w:pPr>
      <w:r>
        <w:t>表4.</w:t>
      </w:r>
      <w:r>
        <w:rPr>
          <w:rFonts w:hint="eastAsia"/>
        </w:rPr>
        <w:t>2</w:t>
      </w:r>
      <w:r>
        <w:t>-</w:t>
      </w:r>
      <w:r>
        <w:rPr>
          <w:rFonts w:hint="eastAsia"/>
        </w:rPr>
        <w:t>5</w:t>
      </w:r>
      <w:r>
        <w:t xml:space="preserve">  大气污染物平均浓度现状</w:t>
      </w:r>
      <w:r>
        <w:rPr>
          <w:rFonts w:ascii="Times New Roman"/>
        </w:rPr>
        <w:t>监测结果统计评价表（单位：</w:t>
      </w:r>
      <w:r>
        <w:rPr>
          <w:rFonts w:ascii="Times New Roman" w:hAnsi="Times New Roman"/>
        </w:rPr>
        <w:t>μg/m</w:t>
      </w:r>
      <w:r>
        <w:rPr>
          <w:rFonts w:ascii="Times New Roman" w:hAnsi="Times New Roman"/>
          <w:vertAlign w:val="superscript"/>
        </w:rPr>
        <w:t>3</w:t>
      </w:r>
      <w:r>
        <w:rPr>
          <w:rFonts w:ascii="Times New Roman"/>
        </w:rPr>
        <w:t>）</w:t>
      </w:r>
    </w:p>
    <w:tbl>
      <w:tblPr>
        <w:tblStyle w:val="37"/>
        <w:tblW w:w="8505"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57" w:type="dxa"/>
          <w:bottom w:w="0" w:type="dxa"/>
          <w:right w:w="57" w:type="dxa"/>
        </w:tblCellMar>
      </w:tblPr>
      <w:tblGrid>
        <w:gridCol w:w="1207"/>
        <w:gridCol w:w="1265"/>
        <w:gridCol w:w="1207"/>
        <w:gridCol w:w="1248"/>
        <w:gridCol w:w="868"/>
        <w:gridCol w:w="1236"/>
        <w:gridCol w:w="771"/>
        <w:gridCol w:w="703"/>
      </w:tblGrid>
      <w:tr w14:paraId="74ACBF2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1207" w:type="dxa"/>
            <w:vAlign w:val="center"/>
          </w:tcPr>
          <w:p w14:paraId="576056C7">
            <w:pPr>
              <w:pStyle w:val="179"/>
              <w:widowControl w:val="0"/>
              <w:rPr>
                <w:b/>
                <w:lang w:val="de-DE"/>
              </w:rPr>
            </w:pPr>
            <w:r>
              <w:rPr>
                <w:b/>
                <w:lang w:val="de-DE"/>
              </w:rPr>
              <w:t>监测点位</w:t>
            </w:r>
          </w:p>
        </w:tc>
        <w:tc>
          <w:tcPr>
            <w:tcW w:w="1265" w:type="dxa"/>
            <w:vAlign w:val="center"/>
          </w:tcPr>
          <w:p w14:paraId="5B5C7672">
            <w:pPr>
              <w:pStyle w:val="179"/>
              <w:widowControl w:val="0"/>
              <w:rPr>
                <w:b/>
                <w:lang w:val="de-DE"/>
              </w:rPr>
            </w:pPr>
            <w:r>
              <w:rPr>
                <w:b/>
                <w:lang w:val="de-DE"/>
              </w:rPr>
              <w:t>污染物</w:t>
            </w:r>
          </w:p>
        </w:tc>
        <w:tc>
          <w:tcPr>
            <w:tcW w:w="1207" w:type="dxa"/>
            <w:vAlign w:val="center"/>
          </w:tcPr>
          <w:p w14:paraId="483C2448">
            <w:pPr>
              <w:pStyle w:val="179"/>
              <w:widowControl w:val="0"/>
              <w:rPr>
                <w:b/>
                <w:lang w:val="de-DE"/>
              </w:rPr>
            </w:pPr>
            <w:r>
              <w:rPr>
                <w:b/>
                <w:lang w:val="de-DE"/>
              </w:rPr>
              <w:t>平均时间</w:t>
            </w:r>
          </w:p>
        </w:tc>
        <w:tc>
          <w:tcPr>
            <w:tcW w:w="1248" w:type="dxa"/>
            <w:vAlign w:val="center"/>
          </w:tcPr>
          <w:p w14:paraId="70D3614C">
            <w:pPr>
              <w:pStyle w:val="179"/>
              <w:widowControl w:val="0"/>
              <w:rPr>
                <w:b/>
                <w:lang w:val="de-DE"/>
              </w:rPr>
            </w:pPr>
            <w:r>
              <w:rPr>
                <w:b/>
                <w:lang w:val="de-DE"/>
              </w:rPr>
              <w:t>评价标准</w:t>
            </w:r>
          </w:p>
        </w:tc>
        <w:tc>
          <w:tcPr>
            <w:tcW w:w="868" w:type="dxa"/>
            <w:vAlign w:val="center"/>
          </w:tcPr>
          <w:p w14:paraId="0FA73E23">
            <w:pPr>
              <w:pStyle w:val="179"/>
              <w:widowControl w:val="0"/>
              <w:rPr>
                <w:b/>
                <w:lang w:val="de-DE"/>
              </w:rPr>
            </w:pPr>
            <w:r>
              <w:rPr>
                <w:b/>
                <w:lang w:val="de-DE"/>
              </w:rPr>
              <w:t>监测浓度范围</w:t>
            </w:r>
          </w:p>
        </w:tc>
        <w:tc>
          <w:tcPr>
            <w:tcW w:w="1236" w:type="dxa"/>
            <w:vAlign w:val="center"/>
          </w:tcPr>
          <w:p w14:paraId="3A33435E">
            <w:pPr>
              <w:pStyle w:val="179"/>
              <w:widowControl w:val="0"/>
              <w:rPr>
                <w:b/>
                <w:lang w:val="de-DE"/>
              </w:rPr>
            </w:pPr>
            <w:r>
              <w:rPr>
                <w:b/>
                <w:lang w:val="de-DE"/>
              </w:rPr>
              <w:t>最大浓度占标率%</w:t>
            </w:r>
          </w:p>
        </w:tc>
        <w:tc>
          <w:tcPr>
            <w:tcW w:w="771" w:type="dxa"/>
            <w:vAlign w:val="center"/>
          </w:tcPr>
          <w:p w14:paraId="4CA08F9A">
            <w:pPr>
              <w:pStyle w:val="179"/>
              <w:widowControl w:val="0"/>
              <w:rPr>
                <w:b/>
                <w:lang w:val="de-DE"/>
              </w:rPr>
            </w:pPr>
            <w:r>
              <w:rPr>
                <w:b/>
                <w:lang w:val="de-DE"/>
              </w:rPr>
              <w:t>超标率%</w:t>
            </w:r>
          </w:p>
        </w:tc>
        <w:tc>
          <w:tcPr>
            <w:tcW w:w="703" w:type="dxa"/>
            <w:vAlign w:val="center"/>
          </w:tcPr>
          <w:p w14:paraId="2E3309EC">
            <w:pPr>
              <w:pStyle w:val="179"/>
              <w:widowControl w:val="0"/>
              <w:rPr>
                <w:b/>
                <w:lang w:val="de-DE"/>
              </w:rPr>
            </w:pPr>
            <w:r>
              <w:rPr>
                <w:b/>
                <w:lang w:val="de-DE"/>
              </w:rPr>
              <w:t>达标情况</w:t>
            </w:r>
          </w:p>
        </w:tc>
      </w:tr>
      <w:tr w14:paraId="6B276F4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1207" w:type="dxa"/>
            <w:vAlign w:val="center"/>
          </w:tcPr>
          <w:p w14:paraId="59A709DB">
            <w:pPr>
              <w:pStyle w:val="179"/>
              <w:widowControl w:val="0"/>
            </w:pPr>
            <w:r>
              <w:t>1#项目矿区</w:t>
            </w:r>
          </w:p>
        </w:tc>
        <w:tc>
          <w:tcPr>
            <w:tcW w:w="1265" w:type="dxa"/>
            <w:vAlign w:val="center"/>
          </w:tcPr>
          <w:p w14:paraId="20976603">
            <w:pPr>
              <w:pStyle w:val="179"/>
              <w:widowControl w:val="0"/>
            </w:pPr>
            <w:r>
              <w:t>TSP</w:t>
            </w:r>
          </w:p>
        </w:tc>
        <w:tc>
          <w:tcPr>
            <w:tcW w:w="1207" w:type="dxa"/>
            <w:vAlign w:val="center"/>
          </w:tcPr>
          <w:p w14:paraId="1948F432">
            <w:pPr>
              <w:pStyle w:val="179"/>
              <w:widowControl w:val="0"/>
            </w:pPr>
            <w:r>
              <w:t>24小时平均</w:t>
            </w:r>
          </w:p>
        </w:tc>
        <w:tc>
          <w:tcPr>
            <w:tcW w:w="1248" w:type="dxa"/>
            <w:vAlign w:val="center"/>
          </w:tcPr>
          <w:p w14:paraId="4971DB6C">
            <w:pPr>
              <w:pStyle w:val="179"/>
              <w:widowControl w:val="0"/>
            </w:pPr>
            <w:r>
              <w:t>300</w:t>
            </w:r>
          </w:p>
        </w:tc>
        <w:tc>
          <w:tcPr>
            <w:tcW w:w="868" w:type="dxa"/>
            <w:vAlign w:val="center"/>
          </w:tcPr>
          <w:p w14:paraId="32B8DC5D">
            <w:pPr>
              <w:pStyle w:val="179"/>
              <w:widowControl w:val="0"/>
            </w:pPr>
            <w:r>
              <w:rPr>
                <w:rFonts w:hint="eastAsia"/>
              </w:rPr>
              <w:t xml:space="preserve">216~228  </w:t>
            </w:r>
          </w:p>
        </w:tc>
        <w:tc>
          <w:tcPr>
            <w:tcW w:w="1236" w:type="dxa"/>
            <w:vAlign w:val="center"/>
          </w:tcPr>
          <w:p w14:paraId="6298E1B7">
            <w:pPr>
              <w:pStyle w:val="179"/>
              <w:widowControl w:val="0"/>
            </w:pPr>
            <w:r>
              <w:rPr>
                <w:rFonts w:hint="eastAsia"/>
              </w:rPr>
              <w:t>76</w:t>
            </w:r>
            <w:r>
              <w:t>.0</w:t>
            </w:r>
          </w:p>
        </w:tc>
        <w:tc>
          <w:tcPr>
            <w:tcW w:w="771" w:type="dxa"/>
            <w:vAlign w:val="center"/>
          </w:tcPr>
          <w:p w14:paraId="27DFDE09">
            <w:pPr>
              <w:pStyle w:val="179"/>
              <w:widowControl w:val="0"/>
            </w:pPr>
            <w:r>
              <w:t>0</w:t>
            </w:r>
          </w:p>
        </w:tc>
        <w:tc>
          <w:tcPr>
            <w:tcW w:w="703" w:type="dxa"/>
            <w:vAlign w:val="center"/>
          </w:tcPr>
          <w:p w14:paraId="55C7B712">
            <w:pPr>
              <w:pStyle w:val="179"/>
              <w:widowControl w:val="0"/>
            </w:pPr>
            <w:r>
              <w:t>达标</w:t>
            </w:r>
          </w:p>
        </w:tc>
      </w:tr>
      <w:tr w14:paraId="587AEE7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1207" w:type="dxa"/>
            <w:vAlign w:val="center"/>
          </w:tcPr>
          <w:p w14:paraId="42521714">
            <w:pPr>
              <w:pStyle w:val="179"/>
              <w:widowControl w:val="0"/>
            </w:pPr>
            <w:r>
              <w:t>2#</w:t>
            </w:r>
            <w:r>
              <w:rPr>
                <w:rFonts w:cs="Times New Roman"/>
              </w:rPr>
              <w:t>矿区</w:t>
            </w:r>
            <w:r>
              <w:t>下风向处</w:t>
            </w:r>
          </w:p>
        </w:tc>
        <w:tc>
          <w:tcPr>
            <w:tcW w:w="1265" w:type="dxa"/>
            <w:vAlign w:val="center"/>
          </w:tcPr>
          <w:p w14:paraId="33FB498A">
            <w:pPr>
              <w:pStyle w:val="179"/>
              <w:widowControl w:val="0"/>
            </w:pPr>
            <w:r>
              <w:t>TSP</w:t>
            </w:r>
          </w:p>
        </w:tc>
        <w:tc>
          <w:tcPr>
            <w:tcW w:w="1207" w:type="dxa"/>
            <w:vAlign w:val="center"/>
          </w:tcPr>
          <w:p w14:paraId="20EEBCBD">
            <w:pPr>
              <w:pStyle w:val="179"/>
              <w:widowControl w:val="0"/>
            </w:pPr>
            <w:r>
              <w:t>24小时平均</w:t>
            </w:r>
          </w:p>
        </w:tc>
        <w:tc>
          <w:tcPr>
            <w:tcW w:w="1248" w:type="dxa"/>
            <w:vAlign w:val="center"/>
          </w:tcPr>
          <w:p w14:paraId="0B885A75">
            <w:pPr>
              <w:pStyle w:val="179"/>
              <w:widowControl w:val="0"/>
            </w:pPr>
            <w:r>
              <w:t>300</w:t>
            </w:r>
          </w:p>
        </w:tc>
        <w:tc>
          <w:tcPr>
            <w:tcW w:w="868" w:type="dxa"/>
            <w:vAlign w:val="center"/>
          </w:tcPr>
          <w:p w14:paraId="21C00503">
            <w:pPr>
              <w:pStyle w:val="179"/>
              <w:widowControl w:val="0"/>
            </w:pPr>
            <w:r>
              <w:rPr>
                <w:rFonts w:hint="eastAsia" w:cs="Times New Roman"/>
              </w:rPr>
              <w:t>234~252</w:t>
            </w:r>
          </w:p>
        </w:tc>
        <w:tc>
          <w:tcPr>
            <w:tcW w:w="1236" w:type="dxa"/>
            <w:vAlign w:val="center"/>
          </w:tcPr>
          <w:p w14:paraId="5BB65AEA">
            <w:pPr>
              <w:pStyle w:val="179"/>
              <w:widowControl w:val="0"/>
            </w:pPr>
            <w:r>
              <w:rPr>
                <w:rFonts w:hint="eastAsia"/>
              </w:rPr>
              <w:t>84.0</w:t>
            </w:r>
          </w:p>
        </w:tc>
        <w:tc>
          <w:tcPr>
            <w:tcW w:w="771" w:type="dxa"/>
            <w:vAlign w:val="center"/>
          </w:tcPr>
          <w:p w14:paraId="51D95162">
            <w:pPr>
              <w:pStyle w:val="179"/>
              <w:widowControl w:val="0"/>
            </w:pPr>
            <w:r>
              <w:t>0</w:t>
            </w:r>
          </w:p>
        </w:tc>
        <w:tc>
          <w:tcPr>
            <w:tcW w:w="703" w:type="dxa"/>
            <w:vAlign w:val="center"/>
          </w:tcPr>
          <w:p w14:paraId="57BE5049">
            <w:pPr>
              <w:pStyle w:val="179"/>
              <w:widowControl w:val="0"/>
            </w:pPr>
            <w:r>
              <w:t>达标</w:t>
            </w:r>
          </w:p>
        </w:tc>
      </w:tr>
    </w:tbl>
    <w:p w14:paraId="1990602B">
      <w:pPr>
        <w:ind w:firstLine="480"/>
      </w:pPr>
      <w:r>
        <w:rPr>
          <w:lang w:val="zh-CN"/>
        </w:rPr>
        <w:t>由以上环境空气质量现状监测数据统计分析可知，评价区域内TSP日平均浓度最大占标率为</w:t>
      </w:r>
      <w:r>
        <w:rPr>
          <w:rFonts w:hint="eastAsia"/>
        </w:rPr>
        <w:t>84.0</w:t>
      </w:r>
      <w:r>
        <w:rPr>
          <w:lang w:val="zh-CN"/>
        </w:rPr>
        <w:t>%。评价区域TSP浓度满足《环境空气质量标准》（GB3095-2026）表</w:t>
      </w:r>
      <w:r>
        <w:rPr>
          <w:rFonts w:hint="eastAsia"/>
          <w:lang w:val="zh-CN"/>
        </w:rPr>
        <w:t>2</w:t>
      </w:r>
      <w:r>
        <w:rPr>
          <w:lang w:val="zh-CN"/>
        </w:rPr>
        <w:t>二级标准要求</w:t>
      </w:r>
      <w:r>
        <w:t>。</w:t>
      </w:r>
    </w:p>
    <w:p w14:paraId="36017659">
      <w:pPr>
        <w:pStyle w:val="5"/>
        <w:spacing w:before="120" w:after="120"/>
      </w:pPr>
      <w:bookmarkStart w:id="265" w:name="_Toc61013903"/>
      <w:bookmarkStart w:id="266" w:name="_Toc61013288"/>
      <w:bookmarkStart w:id="267" w:name="_Toc61013493"/>
      <w:bookmarkStart w:id="268" w:name="_Toc12649347"/>
      <w:bookmarkStart w:id="269" w:name="_Toc61013698"/>
      <w:bookmarkStart w:id="270" w:name="_Toc61013083"/>
      <w:bookmarkStart w:id="271" w:name="_Toc61012607"/>
      <w:r>
        <w:t>环境空气质量评价结论</w:t>
      </w:r>
      <w:bookmarkEnd w:id="265"/>
      <w:bookmarkEnd w:id="266"/>
      <w:bookmarkEnd w:id="267"/>
      <w:bookmarkEnd w:id="268"/>
      <w:bookmarkEnd w:id="269"/>
      <w:bookmarkEnd w:id="270"/>
      <w:bookmarkEnd w:id="271"/>
    </w:p>
    <w:p w14:paraId="16EA1129">
      <w:pPr>
        <w:ind w:firstLine="480"/>
      </w:pPr>
      <w:r>
        <w:t>综上所述，本项目所在地为环境控制质量达标区。SO</w:t>
      </w:r>
      <w:r>
        <w:rPr>
          <w:vertAlign w:val="subscript"/>
        </w:rPr>
        <w:t>2</w:t>
      </w:r>
      <w:r>
        <w:t>、NO</w:t>
      </w:r>
      <w:r>
        <w:rPr>
          <w:vertAlign w:val="subscript"/>
        </w:rPr>
        <w:t>2</w:t>
      </w:r>
      <w:r>
        <w:t>、PM</w:t>
      </w:r>
      <w:r>
        <w:rPr>
          <w:vertAlign w:val="subscript"/>
        </w:rPr>
        <w:t>2.5</w:t>
      </w:r>
      <w:r>
        <w:t>、PM</w:t>
      </w:r>
      <w:r>
        <w:rPr>
          <w:vertAlign w:val="subscript"/>
        </w:rPr>
        <w:t>10</w:t>
      </w:r>
      <w:r>
        <w:t>、CO、O</w:t>
      </w:r>
      <w:r>
        <w:rPr>
          <w:vertAlign w:val="subscript"/>
        </w:rPr>
        <w:t>3</w:t>
      </w:r>
      <w:r>
        <w:t>六项指标中，年均浓度和相应百分位数24h平均（O</w:t>
      </w:r>
      <w:r>
        <w:rPr>
          <w:vertAlign w:val="subscript"/>
        </w:rPr>
        <w:t>3</w:t>
      </w:r>
      <w:r>
        <w:t>8小时平均）质量浓度均满足《环境空气质量标准》（GB3095-2026）中过渡阶段二级标准要求。补充监测结果表明，本项目评价区域TSP浓度满足《环境空气质量标准》（GB3095-2026）表</w:t>
      </w:r>
      <w:r>
        <w:rPr>
          <w:rFonts w:hint="eastAsia"/>
        </w:rPr>
        <w:t>2</w:t>
      </w:r>
      <w:r>
        <w:t>二级标准</w:t>
      </w:r>
      <w:r>
        <w:rPr>
          <w:lang w:val="zh-CN"/>
        </w:rPr>
        <w:t>要求</w:t>
      </w:r>
      <w:r>
        <w:t>。</w:t>
      </w:r>
    </w:p>
    <w:p w14:paraId="3B469A68">
      <w:pPr>
        <w:pStyle w:val="4"/>
        <w:spacing w:before="180" w:after="120"/>
        <w:rPr>
          <w:bCs/>
        </w:rPr>
      </w:pPr>
      <w:r>
        <w:rPr>
          <w:rFonts w:hint="eastAsia"/>
        </w:rPr>
        <w:t>地表水</w:t>
      </w:r>
      <w:r>
        <w:t>质量现状评价</w:t>
      </w:r>
    </w:p>
    <w:p w14:paraId="371CF8AB">
      <w:pPr>
        <w:ind w:firstLine="480"/>
        <w:rPr>
          <w:rFonts w:hAnsi="Times New Roman" w:cs="Times New Roman"/>
        </w:rPr>
      </w:pPr>
      <w:r>
        <w:rPr>
          <w:rFonts w:hAnsi="Times New Roman" w:cs="Times New Roman"/>
        </w:rPr>
        <w:t>本项目位于黑河市嫩江市塔溪乡，</w:t>
      </w:r>
      <w:r>
        <w:rPr>
          <w:rFonts w:hint="eastAsia" w:hAnsi="Times New Roman" w:cs="Times New Roman"/>
        </w:rPr>
        <w:t>黑河市参与国家考核计算的断面共</w:t>
      </w:r>
      <w:r>
        <w:rPr>
          <w:rFonts w:hAnsi="Times New Roman" w:cs="Times New Roman"/>
        </w:rPr>
        <w:t xml:space="preserve">14 </w:t>
      </w:r>
      <w:r>
        <w:rPr>
          <w:rFonts w:hint="eastAsia" w:hAnsi="Times New Roman" w:cs="Times New Roman"/>
        </w:rPr>
        <w:t>个，Ⅰ</w:t>
      </w:r>
      <w:r>
        <w:rPr>
          <w:rFonts w:hAnsi="Times New Roman" w:cs="Times New Roman"/>
        </w:rPr>
        <w:t>~</w:t>
      </w:r>
      <w:r>
        <w:rPr>
          <w:rFonts w:hint="eastAsia" w:hAnsi="Times New Roman" w:cs="Times New Roman"/>
        </w:rPr>
        <w:t>Ⅲ类水质比例为</w:t>
      </w:r>
      <w:r>
        <w:rPr>
          <w:rFonts w:hAnsi="Times New Roman" w:cs="Times New Roman"/>
        </w:rPr>
        <w:t>78.6%</w:t>
      </w:r>
      <w:r>
        <w:rPr>
          <w:rFonts w:hint="eastAsia" w:hAnsi="Times New Roman" w:cs="Times New Roman"/>
        </w:rPr>
        <w:t>，无劣</w:t>
      </w:r>
      <w:r>
        <w:rPr>
          <w:rFonts w:hAnsi="Times New Roman" w:cs="Times New Roman"/>
        </w:rPr>
        <w:t>V</w:t>
      </w:r>
      <w:r>
        <w:rPr>
          <w:rFonts w:hint="eastAsia" w:hAnsi="Times New Roman" w:cs="Times New Roman"/>
        </w:rPr>
        <w:t>类水质断面。与上年同期相比，Ⅰ</w:t>
      </w:r>
      <w:r>
        <w:rPr>
          <w:rFonts w:hAnsi="Times New Roman" w:cs="Times New Roman"/>
        </w:rPr>
        <w:t>~</w:t>
      </w:r>
      <w:r>
        <w:rPr>
          <w:rFonts w:hint="eastAsia" w:hAnsi="Times New Roman" w:cs="Times New Roman"/>
        </w:rPr>
        <w:t>Ⅲ类水质比例保持不变，均无劣</w:t>
      </w:r>
      <w:r>
        <w:rPr>
          <w:rFonts w:hAnsi="Times New Roman" w:cs="Times New Roman"/>
        </w:rPr>
        <w:t xml:space="preserve">V </w:t>
      </w:r>
      <w:r>
        <w:rPr>
          <w:rFonts w:hint="eastAsia" w:hAnsi="Times New Roman" w:cs="Times New Roman"/>
        </w:rPr>
        <w:t>类水质断面。</w:t>
      </w:r>
    </w:p>
    <w:p w14:paraId="1F87EADF">
      <w:pPr>
        <w:pStyle w:val="178"/>
        <w:rPr>
          <w:kern w:val="0"/>
        </w:rPr>
      </w:pPr>
      <w:bookmarkStart w:id="272" w:name="_Toc61013284"/>
      <w:bookmarkStart w:id="273" w:name="_Toc521678721"/>
      <w:bookmarkStart w:id="274" w:name="_Toc12649343"/>
      <w:bookmarkStart w:id="275" w:name="_Toc435142926"/>
      <w:bookmarkStart w:id="276" w:name="_Toc61012952"/>
      <w:bookmarkStart w:id="277" w:name="_Toc481153013"/>
      <w:bookmarkStart w:id="278" w:name="_Toc488312012"/>
      <w:bookmarkStart w:id="279" w:name="_Toc61013694"/>
      <w:bookmarkStart w:id="280" w:name="_Toc61013489"/>
      <w:bookmarkStart w:id="281" w:name="_Toc61013899"/>
      <w:bookmarkStart w:id="282" w:name="_Toc61013079"/>
      <w:bookmarkStart w:id="283" w:name="_Toc61012603"/>
      <w:r>
        <w:rPr>
          <w:kern w:val="0"/>
        </w:rPr>
        <w:pict>
          <v:shape id="_x0000_s1214" o:spid="_x0000_s1214" o:spt="61" type="#_x0000_t61" style="position:absolute;left:0pt;margin-left:175.5pt;margin-top:112.8pt;height:20.1pt;width:62.8pt;z-index:251671552;mso-width-relative:page;mso-height-relative:page;" coordsize="21600,21600" adj="-1703,41588">
            <v:path/>
            <v:fill focussize="0,0"/>
            <v:stroke joinstyle="miter"/>
            <v:imagedata o:title=""/>
            <o:lock v:ext="edit"/>
            <v:textbox>
              <w:txbxContent>
                <w:p w14:paraId="54CBB829">
                  <w:pPr>
                    <w:pStyle w:val="179"/>
                  </w:pPr>
                  <w:r>
                    <w:t>本项目</w:t>
                  </w:r>
                </w:p>
              </w:txbxContent>
            </v:textbox>
          </v:shape>
        </w:pict>
      </w:r>
      <w:r>
        <w:rPr>
          <w:kern w:val="0"/>
        </w:rPr>
        <w:pict>
          <v:shape id="_x0000_s1213" o:spid="_x0000_s1213" o:spt="12" type="#_x0000_t12" style="position:absolute;left:0pt;margin-left:163.6pt;margin-top:147.1pt;height:7.15pt;width:7.5pt;z-index:251670528;mso-width-relative:page;mso-height-relative:page;" fillcolor="#FF0000" filled="t" coordsize="21600,21600">
            <v:path/>
            <v:fill on="t" focussize="0,0"/>
            <v:stroke joinstyle="miter"/>
            <v:imagedata o:title=""/>
            <o:lock v:ext="edit"/>
          </v:shape>
        </w:pict>
      </w:r>
      <w:r>
        <w:rPr>
          <w:kern w:val="0"/>
        </w:rPr>
        <w:drawing>
          <wp:inline distT="0" distB="0" distL="0" distR="0">
            <wp:extent cx="5242560" cy="4381500"/>
            <wp:effectExtent l="19050" t="19050" r="15240" b="18959"/>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noChangeArrowheads="1"/>
                    </pic:cNvPicPr>
                  </pic:nvPicPr>
                  <pic:blipFill>
                    <a:blip r:embed="rId65"/>
                    <a:srcRect/>
                    <a:stretch>
                      <a:fillRect/>
                    </a:stretch>
                  </pic:blipFill>
                  <pic:spPr>
                    <a:xfrm>
                      <a:off x="0" y="0"/>
                      <a:ext cx="5242560" cy="4381591"/>
                    </a:xfrm>
                    <a:prstGeom prst="rect">
                      <a:avLst/>
                    </a:prstGeom>
                    <a:noFill/>
                    <a:ln w="9525">
                      <a:solidFill>
                        <a:schemeClr val="tx1"/>
                      </a:solidFill>
                      <a:miter lim="800000"/>
                      <a:headEnd/>
                      <a:tailEnd/>
                    </a:ln>
                  </pic:spPr>
                </pic:pic>
              </a:graphicData>
            </a:graphic>
          </wp:inline>
        </w:drawing>
      </w:r>
    </w:p>
    <w:p w14:paraId="3B966D2C">
      <w:pPr>
        <w:pStyle w:val="178"/>
        <w:rPr>
          <w:kern w:val="0"/>
        </w:rPr>
      </w:pPr>
      <w:r>
        <w:rPr>
          <w:kern w:val="0"/>
        </w:rPr>
        <w:t>图</w:t>
      </w:r>
      <w:r>
        <w:rPr>
          <w:rFonts w:hint="eastAsia"/>
          <w:kern w:val="0"/>
        </w:rPr>
        <w:t>4.2-2  2025</w:t>
      </w:r>
      <w:r>
        <w:rPr>
          <w:kern w:val="0"/>
        </w:rPr>
        <w:t>年全省</w:t>
      </w:r>
      <w:r>
        <w:rPr>
          <w:rFonts w:hint="eastAsia"/>
          <w:kern w:val="0"/>
        </w:rPr>
        <w:t>水质状况</w:t>
      </w:r>
      <w:r>
        <w:rPr>
          <w:kern w:val="0"/>
        </w:rPr>
        <w:t>示意图</w:t>
      </w:r>
    </w:p>
    <w:bookmarkEnd w:id="272"/>
    <w:bookmarkEnd w:id="273"/>
    <w:bookmarkEnd w:id="274"/>
    <w:bookmarkEnd w:id="275"/>
    <w:bookmarkEnd w:id="276"/>
    <w:bookmarkEnd w:id="277"/>
    <w:bookmarkEnd w:id="278"/>
    <w:bookmarkEnd w:id="279"/>
    <w:bookmarkEnd w:id="280"/>
    <w:bookmarkEnd w:id="281"/>
    <w:bookmarkEnd w:id="282"/>
    <w:bookmarkEnd w:id="283"/>
    <w:p w14:paraId="73C8980F">
      <w:pPr>
        <w:ind w:firstLine="480"/>
      </w:pPr>
      <w:r>
        <w:t>项目无污水排放，距离项目最近的国</w:t>
      </w:r>
      <w:r>
        <w:rPr>
          <w:rFonts w:hint="eastAsia"/>
        </w:rPr>
        <w:t>控</w:t>
      </w:r>
      <w:r>
        <w:t>断面为科洛河大桥断面，根据</w:t>
      </w:r>
      <w:r>
        <w:rPr>
          <w:kern w:val="0"/>
        </w:rPr>
        <w:t>全省</w:t>
      </w:r>
      <w:r>
        <w:rPr>
          <w:rFonts w:hint="eastAsia"/>
          <w:kern w:val="0"/>
        </w:rPr>
        <w:t>水质状况</w:t>
      </w:r>
      <w:r>
        <w:rPr>
          <w:kern w:val="0"/>
        </w:rPr>
        <w:t>示意图，</w:t>
      </w:r>
      <w:r>
        <w:rPr>
          <w:rFonts w:hint="eastAsia"/>
        </w:rPr>
        <w:t>2025年，科洛河大桥断面水质类别为</w:t>
      </w:r>
      <w:r>
        <w:rPr>
          <w:rFonts w:hint="eastAsia" w:ascii="仿宋_GB2312"/>
        </w:rPr>
        <w:t>Ⅲ</w:t>
      </w:r>
      <w:r>
        <w:rPr>
          <w:rFonts w:hint="eastAsia"/>
        </w:rPr>
        <w:t>类，符合《黑龙江省生态环境厅黑龙江省财政厅关于印发&lt;黑龙江省水环境生态补偿办法&gt;的通知》中</w:t>
      </w:r>
      <w:r>
        <w:rPr>
          <w:rFonts w:hint="eastAsia" w:ascii="仿宋_GB2312"/>
        </w:rPr>
        <w:t>Ⅳ</w:t>
      </w:r>
      <w:r>
        <w:rPr>
          <w:rFonts w:hint="eastAsia"/>
        </w:rPr>
        <w:t>类水质目标要求。</w:t>
      </w:r>
    </w:p>
    <w:bookmarkEnd w:id="256"/>
    <w:bookmarkEnd w:id="257"/>
    <w:bookmarkEnd w:id="258"/>
    <w:bookmarkEnd w:id="259"/>
    <w:bookmarkEnd w:id="260"/>
    <w:bookmarkEnd w:id="261"/>
    <w:bookmarkEnd w:id="262"/>
    <w:bookmarkEnd w:id="263"/>
    <w:bookmarkEnd w:id="264"/>
    <w:p w14:paraId="2CFA6761">
      <w:pPr>
        <w:pStyle w:val="4"/>
        <w:spacing w:before="180" w:after="120"/>
        <w:rPr>
          <w:bCs/>
        </w:rPr>
      </w:pPr>
      <w:bookmarkStart w:id="284" w:name="_Toc61013699"/>
      <w:bookmarkStart w:id="285" w:name="_Toc61012608"/>
      <w:bookmarkStart w:id="286" w:name="_Toc12649348"/>
      <w:bookmarkStart w:id="287" w:name="_Toc25833"/>
      <w:bookmarkStart w:id="288" w:name="_Toc61013289"/>
      <w:bookmarkStart w:id="289" w:name="_Toc61013084"/>
      <w:bookmarkStart w:id="290" w:name="_Toc61013494"/>
      <w:bookmarkStart w:id="291" w:name="_Toc513545339"/>
      <w:bookmarkStart w:id="292" w:name="_Toc61012953"/>
      <w:bookmarkStart w:id="293" w:name="_Toc25203"/>
      <w:bookmarkStart w:id="294" w:name="_Toc61013904"/>
      <w:r>
        <w:t>声环境质量现状评价</w:t>
      </w:r>
      <w:bookmarkEnd w:id="284"/>
      <w:bookmarkEnd w:id="285"/>
      <w:bookmarkEnd w:id="286"/>
      <w:bookmarkEnd w:id="287"/>
      <w:bookmarkEnd w:id="288"/>
      <w:bookmarkEnd w:id="289"/>
      <w:bookmarkEnd w:id="290"/>
      <w:bookmarkEnd w:id="291"/>
      <w:bookmarkEnd w:id="292"/>
      <w:bookmarkEnd w:id="293"/>
      <w:bookmarkEnd w:id="294"/>
    </w:p>
    <w:p w14:paraId="2253AC45">
      <w:pPr>
        <w:pStyle w:val="5"/>
        <w:spacing w:before="120" w:after="120"/>
      </w:pPr>
      <w:bookmarkStart w:id="295" w:name="_Toc61013704"/>
      <w:bookmarkStart w:id="296" w:name="_Toc12649353"/>
      <w:bookmarkStart w:id="297" w:name="_Toc61013499"/>
      <w:bookmarkStart w:id="298" w:name="_Toc61013294"/>
      <w:bookmarkStart w:id="299" w:name="_Toc61012954"/>
      <w:bookmarkStart w:id="300" w:name="_Toc61012613"/>
      <w:bookmarkStart w:id="301" w:name="_Toc61013909"/>
      <w:bookmarkStart w:id="302" w:name="_Toc61013089"/>
      <w:r>
        <w:t xml:space="preserve">声环境质量现状监测 </w:t>
      </w:r>
    </w:p>
    <w:p w14:paraId="1D9822E5">
      <w:pPr>
        <w:ind w:firstLine="480"/>
      </w:pPr>
      <w:r>
        <w:t>本次评价</w:t>
      </w:r>
      <w:r>
        <w:rPr>
          <w:rFonts w:hint="eastAsia"/>
        </w:rPr>
        <w:t>声环境质量现状</w:t>
      </w:r>
      <w:r>
        <w:t>委托黑龙江克巽检测技术有限公司进行现状监测。</w:t>
      </w:r>
    </w:p>
    <w:p w14:paraId="1C9F15E9">
      <w:pPr>
        <w:ind w:firstLine="482"/>
        <w:rPr>
          <w:b/>
        </w:rPr>
      </w:pPr>
      <w:r>
        <w:rPr>
          <w:rFonts w:hint="eastAsia"/>
          <w:b/>
        </w:rPr>
        <w:t>1、</w:t>
      </w:r>
      <w:r>
        <w:rPr>
          <w:b/>
        </w:rPr>
        <w:t>监测点位</w:t>
      </w:r>
    </w:p>
    <w:p w14:paraId="210DC405">
      <w:pPr>
        <w:ind w:firstLine="480"/>
      </w:pPr>
      <w:r>
        <w:t>本项目声环境质量现状监测点位见表4.2-</w:t>
      </w:r>
      <w:r>
        <w:rPr>
          <w:rFonts w:hint="eastAsia"/>
        </w:rPr>
        <w:t>6</w:t>
      </w:r>
      <w:r>
        <w:t>及图4.2-</w:t>
      </w:r>
      <w:r>
        <w:rPr>
          <w:rFonts w:hint="eastAsia"/>
        </w:rPr>
        <w:t>3</w:t>
      </w:r>
      <w:r>
        <w:t>。</w:t>
      </w:r>
    </w:p>
    <w:p w14:paraId="1611204E">
      <w:pPr>
        <w:pStyle w:val="178"/>
        <w:rPr>
          <w:kern w:val="0"/>
        </w:rPr>
      </w:pPr>
      <w:r>
        <w:rPr>
          <w:kern w:val="0"/>
        </w:rPr>
        <w:t>表4.</w:t>
      </w:r>
      <w:r>
        <w:rPr>
          <w:rFonts w:hint="eastAsia"/>
          <w:kern w:val="0"/>
        </w:rPr>
        <w:t xml:space="preserve">2-6  </w:t>
      </w:r>
      <w:r>
        <w:rPr>
          <w:kern w:val="0"/>
        </w:rPr>
        <w:t>本项目噪声现状监测点位布设情况</w:t>
      </w:r>
    </w:p>
    <w:tbl>
      <w:tblPr>
        <w:tblStyle w:val="36"/>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2313"/>
        <w:gridCol w:w="1733"/>
        <w:gridCol w:w="1060"/>
        <w:gridCol w:w="3366"/>
      </w:tblGrid>
      <w:tr w14:paraId="6AE2301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454" w:type="pct"/>
            <w:noWrap/>
            <w:vAlign w:val="center"/>
          </w:tcPr>
          <w:p w14:paraId="7581D111">
            <w:pPr>
              <w:pStyle w:val="179"/>
              <w:rPr>
                <w:b/>
              </w:rPr>
            </w:pPr>
            <w:r>
              <w:rPr>
                <w:b/>
              </w:rPr>
              <w:t>采样地点</w:t>
            </w:r>
          </w:p>
        </w:tc>
        <w:tc>
          <w:tcPr>
            <w:tcW w:w="999" w:type="pct"/>
            <w:noWrap/>
            <w:vAlign w:val="center"/>
          </w:tcPr>
          <w:p w14:paraId="04BE2A38">
            <w:pPr>
              <w:pStyle w:val="179"/>
              <w:rPr>
                <w:b/>
              </w:rPr>
            </w:pPr>
            <w:r>
              <w:rPr>
                <w:b/>
              </w:rPr>
              <w:t>检测项目</w:t>
            </w:r>
          </w:p>
        </w:tc>
        <w:tc>
          <w:tcPr>
            <w:tcW w:w="610" w:type="pct"/>
            <w:noWrap/>
            <w:vAlign w:val="center"/>
          </w:tcPr>
          <w:p w14:paraId="0CAC1EC9">
            <w:pPr>
              <w:pStyle w:val="179"/>
              <w:rPr>
                <w:b/>
              </w:rPr>
            </w:pPr>
            <w:r>
              <w:rPr>
                <w:b/>
              </w:rPr>
              <w:t>采样天数</w:t>
            </w:r>
          </w:p>
        </w:tc>
        <w:tc>
          <w:tcPr>
            <w:tcW w:w="1937" w:type="pct"/>
            <w:noWrap/>
            <w:vAlign w:val="center"/>
          </w:tcPr>
          <w:p w14:paraId="05AC814E">
            <w:pPr>
              <w:pStyle w:val="179"/>
              <w:rPr>
                <w:b/>
              </w:rPr>
            </w:pPr>
            <w:r>
              <w:rPr>
                <w:b/>
              </w:rPr>
              <w:t>采样频次</w:t>
            </w:r>
          </w:p>
        </w:tc>
      </w:tr>
      <w:tr w14:paraId="714EA23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54" w:type="pct"/>
            <w:noWrap/>
            <w:vAlign w:val="center"/>
          </w:tcPr>
          <w:p w14:paraId="089258C8">
            <w:pPr>
              <w:pStyle w:val="179"/>
            </w:pPr>
            <w:r>
              <w:t>1#</w:t>
            </w:r>
            <w:r>
              <w:rPr>
                <w:rFonts w:hint="eastAsia"/>
              </w:rPr>
              <w:t>厂区东侧</w:t>
            </w:r>
          </w:p>
        </w:tc>
        <w:tc>
          <w:tcPr>
            <w:tcW w:w="999" w:type="pct"/>
            <w:vMerge w:val="restart"/>
            <w:noWrap/>
            <w:vAlign w:val="center"/>
          </w:tcPr>
          <w:p w14:paraId="75AACB0E">
            <w:pPr>
              <w:pStyle w:val="179"/>
            </w:pPr>
            <w:r>
              <w:t>等效连续A声级</w:t>
            </w:r>
          </w:p>
        </w:tc>
        <w:tc>
          <w:tcPr>
            <w:tcW w:w="610" w:type="pct"/>
            <w:vMerge w:val="restart"/>
            <w:noWrap/>
            <w:vAlign w:val="center"/>
          </w:tcPr>
          <w:p w14:paraId="2C37AB91">
            <w:pPr>
              <w:pStyle w:val="179"/>
            </w:pPr>
            <w:r>
              <w:rPr>
                <w:rFonts w:hint="eastAsia"/>
              </w:rPr>
              <w:t>2</w:t>
            </w:r>
            <w:r>
              <w:t>天</w:t>
            </w:r>
          </w:p>
        </w:tc>
        <w:tc>
          <w:tcPr>
            <w:tcW w:w="1937" w:type="pct"/>
            <w:vMerge w:val="restart"/>
            <w:noWrap/>
            <w:vAlign w:val="center"/>
          </w:tcPr>
          <w:p w14:paraId="21473E75">
            <w:pPr>
              <w:pStyle w:val="179"/>
            </w:pPr>
            <w:r>
              <w:t>分别选取昼、夜间的代表性时段。</w:t>
            </w:r>
          </w:p>
        </w:tc>
      </w:tr>
      <w:tr w14:paraId="075793D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54" w:type="pct"/>
            <w:noWrap/>
            <w:vAlign w:val="center"/>
          </w:tcPr>
          <w:p w14:paraId="313EBF9E">
            <w:pPr>
              <w:pStyle w:val="179"/>
            </w:pPr>
            <w:r>
              <w:t>2#</w:t>
            </w:r>
            <w:r>
              <w:rPr>
                <w:rFonts w:hint="eastAsia"/>
              </w:rPr>
              <w:t>厂区南侧</w:t>
            </w:r>
          </w:p>
        </w:tc>
        <w:tc>
          <w:tcPr>
            <w:tcW w:w="999" w:type="pct"/>
            <w:vMerge w:val="continue"/>
            <w:noWrap/>
            <w:vAlign w:val="center"/>
          </w:tcPr>
          <w:p w14:paraId="0833AFA4">
            <w:pPr>
              <w:pStyle w:val="179"/>
            </w:pPr>
          </w:p>
        </w:tc>
        <w:tc>
          <w:tcPr>
            <w:tcW w:w="610" w:type="pct"/>
            <w:vMerge w:val="continue"/>
            <w:noWrap/>
            <w:vAlign w:val="center"/>
          </w:tcPr>
          <w:p w14:paraId="2E85F167">
            <w:pPr>
              <w:pStyle w:val="179"/>
            </w:pPr>
          </w:p>
        </w:tc>
        <w:tc>
          <w:tcPr>
            <w:tcW w:w="1937" w:type="pct"/>
            <w:vMerge w:val="continue"/>
            <w:noWrap/>
            <w:vAlign w:val="center"/>
          </w:tcPr>
          <w:p w14:paraId="2EF6D272">
            <w:pPr>
              <w:pStyle w:val="179"/>
            </w:pPr>
          </w:p>
        </w:tc>
      </w:tr>
      <w:tr w14:paraId="540DD2B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54" w:type="pct"/>
            <w:noWrap/>
            <w:vAlign w:val="center"/>
          </w:tcPr>
          <w:p w14:paraId="6713E187">
            <w:pPr>
              <w:pStyle w:val="179"/>
            </w:pPr>
            <w:r>
              <w:t>3#</w:t>
            </w:r>
            <w:r>
              <w:rPr>
                <w:rFonts w:hint="eastAsia"/>
              </w:rPr>
              <w:t>厂区</w:t>
            </w:r>
            <w:r>
              <w:t>西侧</w:t>
            </w:r>
          </w:p>
        </w:tc>
        <w:tc>
          <w:tcPr>
            <w:tcW w:w="999" w:type="pct"/>
            <w:vMerge w:val="continue"/>
            <w:noWrap/>
            <w:vAlign w:val="center"/>
          </w:tcPr>
          <w:p w14:paraId="4ECE7E15">
            <w:pPr>
              <w:pStyle w:val="179"/>
            </w:pPr>
          </w:p>
        </w:tc>
        <w:tc>
          <w:tcPr>
            <w:tcW w:w="610" w:type="pct"/>
            <w:vMerge w:val="continue"/>
            <w:noWrap/>
            <w:vAlign w:val="center"/>
          </w:tcPr>
          <w:p w14:paraId="5CB2AEDA">
            <w:pPr>
              <w:pStyle w:val="179"/>
            </w:pPr>
          </w:p>
        </w:tc>
        <w:tc>
          <w:tcPr>
            <w:tcW w:w="1937" w:type="pct"/>
            <w:vMerge w:val="continue"/>
            <w:noWrap/>
            <w:vAlign w:val="center"/>
          </w:tcPr>
          <w:p w14:paraId="78B13467">
            <w:pPr>
              <w:pStyle w:val="179"/>
            </w:pPr>
          </w:p>
        </w:tc>
      </w:tr>
      <w:tr w14:paraId="18C6176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54" w:type="pct"/>
            <w:noWrap/>
            <w:vAlign w:val="center"/>
          </w:tcPr>
          <w:p w14:paraId="62F14800">
            <w:pPr>
              <w:pStyle w:val="179"/>
            </w:pPr>
            <w:r>
              <w:t>4#</w:t>
            </w:r>
            <w:r>
              <w:rPr>
                <w:rFonts w:hint="eastAsia"/>
              </w:rPr>
              <w:t>厂区</w:t>
            </w:r>
            <w:r>
              <w:t>北侧</w:t>
            </w:r>
          </w:p>
        </w:tc>
        <w:tc>
          <w:tcPr>
            <w:tcW w:w="999" w:type="pct"/>
            <w:vMerge w:val="continue"/>
            <w:noWrap/>
            <w:vAlign w:val="center"/>
          </w:tcPr>
          <w:p w14:paraId="30D171DF">
            <w:pPr>
              <w:pStyle w:val="179"/>
            </w:pPr>
          </w:p>
        </w:tc>
        <w:tc>
          <w:tcPr>
            <w:tcW w:w="610" w:type="pct"/>
            <w:vMerge w:val="continue"/>
            <w:noWrap/>
            <w:vAlign w:val="center"/>
          </w:tcPr>
          <w:p w14:paraId="6B103504">
            <w:pPr>
              <w:pStyle w:val="179"/>
            </w:pPr>
          </w:p>
        </w:tc>
        <w:tc>
          <w:tcPr>
            <w:tcW w:w="1937" w:type="pct"/>
            <w:vMerge w:val="continue"/>
            <w:noWrap/>
            <w:vAlign w:val="center"/>
          </w:tcPr>
          <w:p w14:paraId="37767174">
            <w:pPr>
              <w:pStyle w:val="179"/>
            </w:pPr>
          </w:p>
        </w:tc>
      </w:tr>
    </w:tbl>
    <w:p w14:paraId="652BE743">
      <w:pPr>
        <w:pStyle w:val="179"/>
        <w:rPr>
          <w:kern w:val="0"/>
        </w:rPr>
      </w:pPr>
      <w:r>
        <w:rPr>
          <w:kern w:val="0"/>
        </w:rPr>
        <w:drawing>
          <wp:inline distT="0" distB="0" distL="114300" distR="114300">
            <wp:extent cx="4762500" cy="2927985"/>
            <wp:effectExtent l="19050" t="0" r="0" b="0"/>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66" cstate="print"/>
                    <a:srcRect l="2647" r="6536"/>
                    <a:stretch>
                      <a:fillRect/>
                    </a:stretch>
                  </pic:blipFill>
                  <pic:spPr>
                    <a:xfrm>
                      <a:off x="0" y="0"/>
                      <a:ext cx="4762500" cy="2928257"/>
                    </a:xfrm>
                    <a:prstGeom prst="rect">
                      <a:avLst/>
                    </a:prstGeom>
                    <a:noFill/>
                    <a:ln>
                      <a:noFill/>
                    </a:ln>
                  </pic:spPr>
                </pic:pic>
              </a:graphicData>
            </a:graphic>
          </wp:inline>
        </w:drawing>
      </w:r>
    </w:p>
    <w:p w14:paraId="60FC32F7">
      <w:pPr>
        <w:pStyle w:val="178"/>
        <w:rPr>
          <w:kern w:val="0"/>
        </w:rPr>
      </w:pPr>
      <w:r>
        <w:rPr>
          <w:kern w:val="0"/>
        </w:rPr>
        <w:t>图4.</w:t>
      </w:r>
      <w:r>
        <w:rPr>
          <w:rFonts w:hint="eastAsia"/>
          <w:kern w:val="0"/>
        </w:rPr>
        <w:t>2</w:t>
      </w:r>
      <w:r>
        <w:rPr>
          <w:kern w:val="0"/>
        </w:rPr>
        <w:t>-</w:t>
      </w:r>
      <w:r>
        <w:rPr>
          <w:rFonts w:hint="eastAsia"/>
          <w:kern w:val="0"/>
        </w:rPr>
        <w:t xml:space="preserve">3  </w:t>
      </w:r>
      <w:r>
        <w:rPr>
          <w:kern w:val="0"/>
        </w:rPr>
        <w:t>噪声现状监测点布置图</w:t>
      </w:r>
    </w:p>
    <w:p w14:paraId="2A7BA191">
      <w:pPr>
        <w:ind w:firstLine="482"/>
        <w:rPr>
          <w:b/>
        </w:rPr>
      </w:pPr>
      <w:r>
        <w:rPr>
          <w:rFonts w:hint="eastAsia"/>
          <w:b/>
        </w:rPr>
        <w:t>2、</w:t>
      </w:r>
      <w:r>
        <w:rPr>
          <w:b/>
        </w:rPr>
        <w:t>监测因子</w:t>
      </w:r>
    </w:p>
    <w:p w14:paraId="18016E76">
      <w:pPr>
        <w:ind w:firstLine="480"/>
      </w:pPr>
      <w:r>
        <w:t>监测因子为Leq[dB(A)]</w:t>
      </w:r>
    </w:p>
    <w:p w14:paraId="4AF2727B">
      <w:pPr>
        <w:ind w:firstLine="482"/>
        <w:rPr>
          <w:b/>
        </w:rPr>
      </w:pPr>
      <w:r>
        <w:rPr>
          <w:rFonts w:hint="eastAsia"/>
          <w:b/>
        </w:rPr>
        <w:t>3、</w:t>
      </w:r>
      <w:r>
        <w:rPr>
          <w:b/>
        </w:rPr>
        <w:t>监测方法</w:t>
      </w:r>
    </w:p>
    <w:p w14:paraId="76D1922B">
      <w:pPr>
        <w:ind w:firstLine="480"/>
      </w:pPr>
      <w:r>
        <w:t>监测方法按照《声环境质量标准》（GB 3096-2008）规定的监测方法。</w:t>
      </w:r>
    </w:p>
    <w:p w14:paraId="1A2C6D3F">
      <w:pPr>
        <w:ind w:firstLine="482"/>
        <w:rPr>
          <w:b/>
        </w:rPr>
      </w:pPr>
      <w:r>
        <w:rPr>
          <w:rFonts w:hint="eastAsia"/>
          <w:b/>
        </w:rPr>
        <w:t>4、</w:t>
      </w:r>
      <w:r>
        <w:rPr>
          <w:b/>
        </w:rPr>
        <w:t>监测时间及频率</w:t>
      </w:r>
    </w:p>
    <w:p w14:paraId="237873D4">
      <w:pPr>
        <w:ind w:firstLine="480"/>
      </w:pPr>
      <w:r>
        <w:t>202</w:t>
      </w:r>
      <w:r>
        <w:rPr>
          <w:rFonts w:hint="eastAsia"/>
        </w:rPr>
        <w:t>6</w:t>
      </w:r>
      <w:r>
        <w:t>年</w:t>
      </w:r>
      <w:r>
        <w:rPr>
          <w:rFonts w:hint="eastAsia"/>
        </w:rPr>
        <w:t>1</w:t>
      </w:r>
      <w:r>
        <w:t>月</w:t>
      </w:r>
      <w:r>
        <w:rPr>
          <w:rFonts w:hint="eastAsia"/>
        </w:rPr>
        <w:t>3</w:t>
      </w:r>
      <w:r>
        <w:t>日</w:t>
      </w:r>
      <w:r>
        <w:rPr>
          <w:rFonts w:hint="eastAsia"/>
        </w:rPr>
        <w:t>~1</w:t>
      </w:r>
      <w:r>
        <w:t>月</w:t>
      </w:r>
      <w:r>
        <w:rPr>
          <w:rFonts w:hint="eastAsia"/>
        </w:rPr>
        <w:t>4</w:t>
      </w:r>
      <w:r>
        <w:t>日，监测</w:t>
      </w:r>
      <w:r>
        <w:rPr>
          <w:rFonts w:hint="eastAsia"/>
        </w:rPr>
        <w:t>2</w:t>
      </w:r>
      <w:r>
        <w:t>天，分别选取昼夜间时段。</w:t>
      </w:r>
    </w:p>
    <w:p w14:paraId="2683A910">
      <w:pPr>
        <w:ind w:firstLine="482"/>
        <w:rPr>
          <w:b/>
        </w:rPr>
      </w:pPr>
      <w:r>
        <w:rPr>
          <w:rFonts w:hint="eastAsia"/>
          <w:b/>
        </w:rPr>
        <w:t>5、</w:t>
      </w:r>
      <w:r>
        <w:rPr>
          <w:b/>
        </w:rPr>
        <w:t>监测结果</w:t>
      </w:r>
    </w:p>
    <w:p w14:paraId="5F693F0C">
      <w:pPr>
        <w:ind w:firstLine="480"/>
      </w:pPr>
      <w:r>
        <w:t>声环境质量现状监测结果见表4.2-</w:t>
      </w:r>
      <w:r>
        <w:rPr>
          <w:rFonts w:hint="eastAsia"/>
        </w:rPr>
        <w:t>7</w:t>
      </w:r>
      <w:r>
        <w:t>。</w:t>
      </w:r>
    </w:p>
    <w:p w14:paraId="228CB697">
      <w:pPr>
        <w:pStyle w:val="178"/>
        <w:jc w:val="right"/>
        <w:rPr>
          <w:kern w:val="0"/>
        </w:rPr>
      </w:pPr>
      <w:r>
        <w:rPr>
          <w:kern w:val="0"/>
        </w:rPr>
        <w:t>表4.2-</w:t>
      </w:r>
      <w:r>
        <w:rPr>
          <w:rFonts w:hint="eastAsia"/>
          <w:kern w:val="0"/>
        </w:rPr>
        <w:t>7</w:t>
      </w:r>
      <w:r>
        <w:rPr>
          <w:kern w:val="0"/>
        </w:rPr>
        <w:t>本项目噪声监测结果    单位</w:t>
      </w:r>
      <w:r>
        <w:rPr>
          <w:rFonts w:hint="eastAsia"/>
          <w:kern w:val="0"/>
        </w:rPr>
        <w:t>：</w:t>
      </w:r>
      <w:r>
        <w:rPr>
          <w:kern w:val="0"/>
        </w:rPr>
        <w:t>dB(A)</w:t>
      </w:r>
    </w:p>
    <w:tbl>
      <w:tblPr>
        <w:tblStyle w:val="36"/>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060"/>
        <w:gridCol w:w="1398"/>
        <w:gridCol w:w="1503"/>
        <w:gridCol w:w="1505"/>
        <w:gridCol w:w="1505"/>
        <w:gridCol w:w="1501"/>
      </w:tblGrid>
      <w:tr w14:paraId="4B112D6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451" w:type="pct"/>
            <w:gridSpan w:val="2"/>
            <w:noWrap/>
            <w:vAlign w:val="center"/>
          </w:tcPr>
          <w:p w14:paraId="7CA74169">
            <w:pPr>
              <w:pStyle w:val="179"/>
              <w:rPr>
                <w:b/>
              </w:rPr>
            </w:pPr>
            <w:r>
              <w:rPr>
                <w:b/>
                <w:szCs w:val="21"/>
              </w:rPr>
              <w:t>监测日期</w:t>
            </w:r>
          </w:p>
        </w:tc>
        <w:tc>
          <w:tcPr>
            <w:tcW w:w="1775" w:type="pct"/>
            <w:gridSpan w:val="2"/>
            <w:noWrap/>
            <w:vAlign w:val="center"/>
          </w:tcPr>
          <w:p w14:paraId="46BD6B2C">
            <w:pPr>
              <w:pStyle w:val="179"/>
              <w:rPr>
                <w:b/>
              </w:rPr>
            </w:pPr>
            <w:r>
              <w:rPr>
                <w:rFonts w:hint="eastAsia"/>
                <w:b/>
              </w:rPr>
              <w:t>2026.01.03</w:t>
            </w:r>
          </w:p>
        </w:tc>
        <w:tc>
          <w:tcPr>
            <w:tcW w:w="1775" w:type="pct"/>
            <w:gridSpan w:val="2"/>
            <w:vAlign w:val="center"/>
          </w:tcPr>
          <w:p w14:paraId="542D1E5A">
            <w:pPr>
              <w:pStyle w:val="179"/>
              <w:rPr>
                <w:b/>
              </w:rPr>
            </w:pPr>
            <w:r>
              <w:rPr>
                <w:rFonts w:hint="eastAsia"/>
                <w:b/>
              </w:rPr>
              <w:t>2026.01.04</w:t>
            </w:r>
          </w:p>
        </w:tc>
      </w:tr>
      <w:tr w14:paraId="53EBA11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626" w:type="pct"/>
            <w:noWrap/>
            <w:vAlign w:val="center"/>
          </w:tcPr>
          <w:p w14:paraId="4028E682">
            <w:pPr>
              <w:pStyle w:val="179"/>
              <w:rPr>
                <w:b/>
              </w:rPr>
            </w:pPr>
            <w:r>
              <w:rPr>
                <w:b/>
              </w:rPr>
              <w:t>序号</w:t>
            </w:r>
          </w:p>
        </w:tc>
        <w:tc>
          <w:tcPr>
            <w:tcW w:w="825" w:type="pct"/>
            <w:noWrap/>
            <w:vAlign w:val="center"/>
          </w:tcPr>
          <w:p w14:paraId="28DC4762">
            <w:pPr>
              <w:pStyle w:val="179"/>
              <w:rPr>
                <w:b/>
              </w:rPr>
            </w:pPr>
            <w:r>
              <w:rPr>
                <w:b/>
              </w:rPr>
              <w:t>采样点位</w:t>
            </w:r>
          </w:p>
        </w:tc>
        <w:tc>
          <w:tcPr>
            <w:tcW w:w="887" w:type="pct"/>
            <w:noWrap/>
            <w:vAlign w:val="center"/>
          </w:tcPr>
          <w:p w14:paraId="5F05F86C">
            <w:pPr>
              <w:pStyle w:val="179"/>
              <w:rPr>
                <w:b/>
              </w:rPr>
            </w:pPr>
            <w:r>
              <w:rPr>
                <w:b/>
              </w:rPr>
              <w:t>昼间</w:t>
            </w:r>
          </w:p>
        </w:tc>
        <w:tc>
          <w:tcPr>
            <w:tcW w:w="888" w:type="pct"/>
            <w:noWrap/>
            <w:vAlign w:val="center"/>
          </w:tcPr>
          <w:p w14:paraId="14DE1878">
            <w:pPr>
              <w:pStyle w:val="179"/>
              <w:rPr>
                <w:b/>
              </w:rPr>
            </w:pPr>
            <w:r>
              <w:rPr>
                <w:b/>
              </w:rPr>
              <w:t>夜间</w:t>
            </w:r>
          </w:p>
        </w:tc>
        <w:tc>
          <w:tcPr>
            <w:tcW w:w="888" w:type="pct"/>
            <w:vAlign w:val="center"/>
          </w:tcPr>
          <w:p w14:paraId="46A5DBB1">
            <w:pPr>
              <w:pStyle w:val="179"/>
              <w:rPr>
                <w:b/>
              </w:rPr>
            </w:pPr>
            <w:r>
              <w:rPr>
                <w:b/>
              </w:rPr>
              <w:t>昼间</w:t>
            </w:r>
          </w:p>
        </w:tc>
        <w:tc>
          <w:tcPr>
            <w:tcW w:w="887" w:type="pct"/>
            <w:vAlign w:val="center"/>
          </w:tcPr>
          <w:p w14:paraId="478CABCA">
            <w:pPr>
              <w:pStyle w:val="179"/>
              <w:rPr>
                <w:b/>
              </w:rPr>
            </w:pPr>
            <w:r>
              <w:rPr>
                <w:b/>
              </w:rPr>
              <w:t>夜间</w:t>
            </w:r>
          </w:p>
        </w:tc>
      </w:tr>
      <w:tr w14:paraId="6A34ED6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26" w:type="pct"/>
            <w:shd w:val="clear" w:color="auto" w:fill="auto"/>
            <w:noWrap/>
            <w:vAlign w:val="center"/>
          </w:tcPr>
          <w:p w14:paraId="30387BCB">
            <w:pPr>
              <w:pStyle w:val="179"/>
            </w:pPr>
            <w:r>
              <w:t>▲1#</w:t>
            </w:r>
          </w:p>
        </w:tc>
        <w:tc>
          <w:tcPr>
            <w:tcW w:w="825" w:type="pct"/>
            <w:shd w:val="clear" w:color="auto" w:fill="auto"/>
            <w:noWrap/>
            <w:vAlign w:val="center"/>
          </w:tcPr>
          <w:p w14:paraId="133ABEAF">
            <w:pPr>
              <w:pStyle w:val="179"/>
            </w:pPr>
            <w:r>
              <w:rPr>
                <w:rFonts w:hint="eastAsia"/>
              </w:rPr>
              <w:t>厂区东侧</w:t>
            </w:r>
          </w:p>
        </w:tc>
        <w:tc>
          <w:tcPr>
            <w:tcW w:w="887" w:type="pct"/>
            <w:noWrap/>
            <w:vAlign w:val="center"/>
          </w:tcPr>
          <w:p w14:paraId="449EC394">
            <w:pPr>
              <w:pStyle w:val="179"/>
            </w:pPr>
            <w:r>
              <w:rPr>
                <w:rFonts w:hint="eastAsia"/>
              </w:rPr>
              <w:t>53</w:t>
            </w:r>
          </w:p>
        </w:tc>
        <w:tc>
          <w:tcPr>
            <w:tcW w:w="888" w:type="pct"/>
            <w:noWrap/>
            <w:vAlign w:val="center"/>
          </w:tcPr>
          <w:p w14:paraId="328A5CD8">
            <w:pPr>
              <w:pStyle w:val="179"/>
            </w:pPr>
            <w:r>
              <w:rPr>
                <w:rFonts w:hint="eastAsia"/>
              </w:rPr>
              <w:t>43</w:t>
            </w:r>
          </w:p>
        </w:tc>
        <w:tc>
          <w:tcPr>
            <w:tcW w:w="888" w:type="pct"/>
            <w:vAlign w:val="center"/>
          </w:tcPr>
          <w:p w14:paraId="1EEE4385">
            <w:pPr>
              <w:pStyle w:val="179"/>
            </w:pPr>
            <w:r>
              <w:rPr>
                <w:rFonts w:hint="eastAsia"/>
              </w:rPr>
              <w:t>55</w:t>
            </w:r>
          </w:p>
        </w:tc>
        <w:tc>
          <w:tcPr>
            <w:tcW w:w="887" w:type="pct"/>
            <w:vAlign w:val="center"/>
          </w:tcPr>
          <w:p w14:paraId="36A6B24C">
            <w:pPr>
              <w:pStyle w:val="179"/>
            </w:pPr>
            <w:r>
              <w:rPr>
                <w:rFonts w:hint="eastAsia"/>
              </w:rPr>
              <w:t>45</w:t>
            </w:r>
          </w:p>
        </w:tc>
      </w:tr>
      <w:tr w14:paraId="13A0E11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26" w:type="pct"/>
            <w:shd w:val="clear" w:color="auto" w:fill="auto"/>
            <w:noWrap/>
            <w:vAlign w:val="center"/>
          </w:tcPr>
          <w:p w14:paraId="089B67DF">
            <w:pPr>
              <w:pStyle w:val="179"/>
            </w:pPr>
            <w:r>
              <w:t>▲2#</w:t>
            </w:r>
          </w:p>
        </w:tc>
        <w:tc>
          <w:tcPr>
            <w:tcW w:w="825" w:type="pct"/>
            <w:shd w:val="clear" w:color="auto" w:fill="auto"/>
            <w:noWrap/>
            <w:vAlign w:val="center"/>
          </w:tcPr>
          <w:p w14:paraId="02F444AF">
            <w:pPr>
              <w:pStyle w:val="179"/>
            </w:pPr>
            <w:r>
              <w:rPr>
                <w:rFonts w:hint="eastAsia"/>
              </w:rPr>
              <w:t>厂区南侧</w:t>
            </w:r>
          </w:p>
        </w:tc>
        <w:tc>
          <w:tcPr>
            <w:tcW w:w="887" w:type="pct"/>
            <w:noWrap/>
            <w:vAlign w:val="center"/>
          </w:tcPr>
          <w:p w14:paraId="15E8D468">
            <w:pPr>
              <w:pStyle w:val="179"/>
            </w:pPr>
            <w:r>
              <w:rPr>
                <w:rFonts w:hint="eastAsia"/>
              </w:rPr>
              <w:t>51</w:t>
            </w:r>
          </w:p>
        </w:tc>
        <w:tc>
          <w:tcPr>
            <w:tcW w:w="888" w:type="pct"/>
            <w:noWrap/>
            <w:vAlign w:val="center"/>
          </w:tcPr>
          <w:p w14:paraId="00C1C44B">
            <w:pPr>
              <w:pStyle w:val="179"/>
            </w:pPr>
            <w:r>
              <w:rPr>
                <w:rFonts w:hint="eastAsia"/>
              </w:rPr>
              <w:t>40</w:t>
            </w:r>
          </w:p>
        </w:tc>
        <w:tc>
          <w:tcPr>
            <w:tcW w:w="888" w:type="pct"/>
            <w:vAlign w:val="center"/>
          </w:tcPr>
          <w:p w14:paraId="4D65015D">
            <w:pPr>
              <w:pStyle w:val="179"/>
            </w:pPr>
            <w:r>
              <w:rPr>
                <w:rFonts w:hint="eastAsia"/>
              </w:rPr>
              <w:t>53</w:t>
            </w:r>
          </w:p>
        </w:tc>
        <w:tc>
          <w:tcPr>
            <w:tcW w:w="887" w:type="pct"/>
            <w:vAlign w:val="center"/>
          </w:tcPr>
          <w:p w14:paraId="02DADB44">
            <w:pPr>
              <w:pStyle w:val="179"/>
            </w:pPr>
            <w:r>
              <w:rPr>
                <w:rFonts w:hint="eastAsia"/>
              </w:rPr>
              <w:t>41</w:t>
            </w:r>
          </w:p>
        </w:tc>
      </w:tr>
      <w:tr w14:paraId="47C1F79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26" w:type="pct"/>
            <w:shd w:val="clear" w:color="auto" w:fill="auto"/>
            <w:noWrap/>
            <w:vAlign w:val="center"/>
          </w:tcPr>
          <w:p w14:paraId="6379CF07">
            <w:pPr>
              <w:pStyle w:val="179"/>
            </w:pPr>
            <w:r>
              <w:t>▲3#</w:t>
            </w:r>
          </w:p>
        </w:tc>
        <w:tc>
          <w:tcPr>
            <w:tcW w:w="825" w:type="pct"/>
            <w:shd w:val="clear" w:color="auto" w:fill="auto"/>
            <w:noWrap/>
            <w:vAlign w:val="center"/>
          </w:tcPr>
          <w:p w14:paraId="7A53AA6C">
            <w:pPr>
              <w:pStyle w:val="179"/>
            </w:pPr>
            <w:r>
              <w:rPr>
                <w:rFonts w:hint="eastAsia"/>
              </w:rPr>
              <w:t>厂区西侧</w:t>
            </w:r>
          </w:p>
        </w:tc>
        <w:tc>
          <w:tcPr>
            <w:tcW w:w="887" w:type="pct"/>
            <w:noWrap/>
            <w:vAlign w:val="center"/>
          </w:tcPr>
          <w:p w14:paraId="1B274F14">
            <w:pPr>
              <w:pStyle w:val="179"/>
            </w:pPr>
            <w:r>
              <w:rPr>
                <w:rFonts w:hint="eastAsia"/>
              </w:rPr>
              <w:t>50</w:t>
            </w:r>
          </w:p>
        </w:tc>
        <w:tc>
          <w:tcPr>
            <w:tcW w:w="888" w:type="pct"/>
            <w:noWrap/>
            <w:vAlign w:val="center"/>
          </w:tcPr>
          <w:p w14:paraId="5468BA33">
            <w:pPr>
              <w:pStyle w:val="179"/>
            </w:pPr>
            <w:r>
              <w:rPr>
                <w:rFonts w:hint="eastAsia"/>
              </w:rPr>
              <w:t>41</w:t>
            </w:r>
          </w:p>
        </w:tc>
        <w:tc>
          <w:tcPr>
            <w:tcW w:w="888" w:type="pct"/>
            <w:vAlign w:val="center"/>
          </w:tcPr>
          <w:p w14:paraId="3C8C93DA">
            <w:pPr>
              <w:pStyle w:val="179"/>
            </w:pPr>
            <w:r>
              <w:rPr>
                <w:rFonts w:hint="eastAsia"/>
              </w:rPr>
              <w:t>50</w:t>
            </w:r>
          </w:p>
        </w:tc>
        <w:tc>
          <w:tcPr>
            <w:tcW w:w="887" w:type="pct"/>
            <w:vAlign w:val="center"/>
          </w:tcPr>
          <w:p w14:paraId="33CF22EB">
            <w:pPr>
              <w:pStyle w:val="179"/>
            </w:pPr>
            <w:r>
              <w:rPr>
                <w:rFonts w:hint="eastAsia"/>
              </w:rPr>
              <w:t>40</w:t>
            </w:r>
          </w:p>
        </w:tc>
      </w:tr>
      <w:tr w14:paraId="001E2F2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26" w:type="pct"/>
            <w:shd w:val="clear" w:color="auto" w:fill="auto"/>
            <w:noWrap/>
            <w:vAlign w:val="center"/>
          </w:tcPr>
          <w:p w14:paraId="3135EF30">
            <w:pPr>
              <w:pStyle w:val="179"/>
            </w:pPr>
            <w:r>
              <w:t>▲4#</w:t>
            </w:r>
          </w:p>
        </w:tc>
        <w:tc>
          <w:tcPr>
            <w:tcW w:w="825" w:type="pct"/>
            <w:shd w:val="clear" w:color="auto" w:fill="auto"/>
            <w:noWrap/>
            <w:vAlign w:val="center"/>
          </w:tcPr>
          <w:p w14:paraId="32E8C4A9">
            <w:pPr>
              <w:pStyle w:val="179"/>
            </w:pPr>
            <w:r>
              <w:rPr>
                <w:rFonts w:hint="eastAsia"/>
              </w:rPr>
              <w:t>厂区北侧</w:t>
            </w:r>
          </w:p>
        </w:tc>
        <w:tc>
          <w:tcPr>
            <w:tcW w:w="887" w:type="pct"/>
            <w:noWrap/>
            <w:vAlign w:val="center"/>
          </w:tcPr>
          <w:p w14:paraId="403A92F9">
            <w:pPr>
              <w:pStyle w:val="179"/>
            </w:pPr>
            <w:r>
              <w:rPr>
                <w:rFonts w:hint="eastAsia"/>
              </w:rPr>
              <w:t>53</w:t>
            </w:r>
          </w:p>
        </w:tc>
        <w:tc>
          <w:tcPr>
            <w:tcW w:w="888" w:type="pct"/>
            <w:noWrap/>
            <w:vAlign w:val="center"/>
          </w:tcPr>
          <w:p w14:paraId="517B46E1">
            <w:pPr>
              <w:pStyle w:val="179"/>
            </w:pPr>
            <w:r>
              <w:rPr>
                <w:rFonts w:hint="eastAsia"/>
              </w:rPr>
              <w:t>44</w:t>
            </w:r>
          </w:p>
        </w:tc>
        <w:tc>
          <w:tcPr>
            <w:tcW w:w="888" w:type="pct"/>
            <w:vAlign w:val="center"/>
          </w:tcPr>
          <w:p w14:paraId="0D2B9000">
            <w:pPr>
              <w:pStyle w:val="179"/>
            </w:pPr>
            <w:r>
              <w:rPr>
                <w:rFonts w:hint="eastAsia"/>
              </w:rPr>
              <w:t>52</w:t>
            </w:r>
          </w:p>
        </w:tc>
        <w:tc>
          <w:tcPr>
            <w:tcW w:w="887" w:type="pct"/>
            <w:vAlign w:val="center"/>
          </w:tcPr>
          <w:p w14:paraId="3CFC4D55">
            <w:pPr>
              <w:pStyle w:val="179"/>
            </w:pPr>
            <w:r>
              <w:rPr>
                <w:rFonts w:hint="eastAsia"/>
              </w:rPr>
              <w:t>42</w:t>
            </w:r>
          </w:p>
        </w:tc>
      </w:tr>
    </w:tbl>
    <w:p w14:paraId="133219EB">
      <w:pPr>
        <w:pStyle w:val="5"/>
        <w:spacing w:before="120" w:after="120"/>
      </w:pPr>
      <w:r>
        <w:t>声环境质量现状评价</w:t>
      </w:r>
    </w:p>
    <w:p w14:paraId="2134DDBF">
      <w:pPr>
        <w:ind w:firstLine="482"/>
        <w:rPr>
          <w:b/>
        </w:rPr>
      </w:pPr>
      <w:r>
        <w:rPr>
          <w:rFonts w:hint="eastAsia"/>
          <w:b/>
        </w:rPr>
        <w:t>1、</w:t>
      </w:r>
      <w:r>
        <w:rPr>
          <w:b/>
        </w:rPr>
        <w:t>评价方法</w:t>
      </w:r>
    </w:p>
    <w:p w14:paraId="0458A191">
      <w:pPr>
        <w:ind w:firstLine="480"/>
      </w:pPr>
      <w:r>
        <w:t>根据噪声现状的监测统计结果，采用与评价标准直接比较的方法对评价范围内的声环境质量现状进行评价。</w:t>
      </w:r>
    </w:p>
    <w:p w14:paraId="2DF892D5">
      <w:pPr>
        <w:ind w:firstLine="482"/>
        <w:rPr>
          <w:b/>
        </w:rPr>
      </w:pPr>
      <w:bookmarkStart w:id="303" w:name="_Toc241037561"/>
      <w:r>
        <w:rPr>
          <w:rFonts w:hint="eastAsia"/>
          <w:b/>
        </w:rPr>
        <w:t>2、</w:t>
      </w:r>
      <w:r>
        <w:rPr>
          <w:b/>
        </w:rPr>
        <w:t>评价标准</w:t>
      </w:r>
      <w:bookmarkEnd w:id="303"/>
    </w:p>
    <w:p w14:paraId="409CE812">
      <w:pPr>
        <w:ind w:firstLine="480"/>
      </w:pPr>
      <w:r>
        <w:t>以等效连续A声级Leq为评价量，评价标准执行《声环境质量标准》（GB3096-2008）表1环境噪声限值中的</w:t>
      </w:r>
      <w:r>
        <w:rPr>
          <w:rFonts w:hint="eastAsia"/>
        </w:rPr>
        <w:t>1</w:t>
      </w:r>
      <w:r>
        <w:t>类标准。</w:t>
      </w:r>
    </w:p>
    <w:p w14:paraId="5A5C1123">
      <w:pPr>
        <w:ind w:firstLine="482"/>
        <w:rPr>
          <w:b/>
        </w:rPr>
      </w:pPr>
      <w:bookmarkStart w:id="304" w:name="_Toc233536384"/>
      <w:bookmarkStart w:id="305" w:name="_Toc186283774"/>
      <w:bookmarkStart w:id="306" w:name="_Toc241037562"/>
      <w:bookmarkStart w:id="307" w:name="_Toc234557190"/>
      <w:bookmarkStart w:id="308" w:name="_Toc186283572"/>
      <w:bookmarkStart w:id="309" w:name="_Toc188855746"/>
      <w:bookmarkStart w:id="310" w:name="_Toc176865927"/>
      <w:r>
        <w:rPr>
          <w:rFonts w:hint="eastAsia"/>
          <w:b/>
        </w:rPr>
        <w:t>3、</w:t>
      </w:r>
      <w:r>
        <w:rPr>
          <w:b/>
        </w:rPr>
        <w:t>现状评价结论</w:t>
      </w:r>
      <w:bookmarkEnd w:id="304"/>
      <w:bookmarkEnd w:id="305"/>
      <w:bookmarkEnd w:id="306"/>
      <w:bookmarkEnd w:id="307"/>
      <w:bookmarkEnd w:id="308"/>
      <w:bookmarkEnd w:id="309"/>
      <w:bookmarkEnd w:id="310"/>
    </w:p>
    <w:p w14:paraId="243F43F1">
      <w:pPr>
        <w:ind w:firstLine="480"/>
      </w:pPr>
      <w:r>
        <w:t>结合噪声现状监测结果，厂界噪声监测点的噪声值昼间在50~5</w:t>
      </w:r>
      <w:r>
        <w:rPr>
          <w:rFonts w:hint="eastAsia"/>
        </w:rPr>
        <w:t>5</w:t>
      </w:r>
      <w:r>
        <w:t>dB(A)之间，夜间在4</w:t>
      </w:r>
      <w:r>
        <w:rPr>
          <w:rFonts w:hint="eastAsia"/>
        </w:rPr>
        <w:t>0</w:t>
      </w:r>
      <w:r>
        <w:t>~4</w:t>
      </w:r>
      <w:r>
        <w:rPr>
          <w:rFonts w:hint="eastAsia"/>
        </w:rPr>
        <w:t>5</w:t>
      </w:r>
      <w:r>
        <w:t>dB(A)之间，噪声监测值满足《声环境质量标准》（GB3096-2008）表1环境噪声限值中的</w:t>
      </w:r>
      <w:r>
        <w:rPr>
          <w:rFonts w:hint="eastAsia"/>
        </w:rPr>
        <w:t>1</w:t>
      </w:r>
      <w:r>
        <w:t>类标准。</w:t>
      </w:r>
      <w:bookmarkEnd w:id="295"/>
      <w:bookmarkEnd w:id="296"/>
      <w:bookmarkEnd w:id="297"/>
      <w:bookmarkEnd w:id="298"/>
      <w:bookmarkEnd w:id="299"/>
      <w:bookmarkEnd w:id="300"/>
      <w:bookmarkEnd w:id="301"/>
      <w:bookmarkEnd w:id="302"/>
      <w:r>
        <w:t>项目</w:t>
      </w:r>
      <w:r>
        <w:rPr>
          <w:rFonts w:hint="eastAsia"/>
        </w:rPr>
        <w:t>所在区域声环境质量良好。</w:t>
      </w:r>
    </w:p>
    <w:p w14:paraId="1D962979">
      <w:pPr>
        <w:pStyle w:val="3"/>
        <w:spacing w:before="180" w:after="120"/>
        <w:rPr>
          <w:bCs/>
        </w:rPr>
      </w:pPr>
      <w:bookmarkStart w:id="311" w:name="_Toc234927699"/>
      <w:r>
        <w:t>陆生生态现状调查与评价</w:t>
      </w:r>
      <w:bookmarkEnd w:id="137"/>
      <w:bookmarkEnd w:id="138"/>
      <w:bookmarkEnd w:id="139"/>
      <w:bookmarkEnd w:id="140"/>
      <w:bookmarkEnd w:id="141"/>
      <w:bookmarkEnd w:id="142"/>
      <w:bookmarkEnd w:id="143"/>
      <w:bookmarkEnd w:id="144"/>
      <w:bookmarkEnd w:id="145"/>
      <w:bookmarkEnd w:id="146"/>
      <w:bookmarkEnd w:id="311"/>
    </w:p>
    <w:p w14:paraId="5EF7A242">
      <w:pPr>
        <w:pStyle w:val="4"/>
        <w:spacing w:before="180" w:after="120"/>
        <w:rPr>
          <w:rFonts w:hAnsi="Times New Roman" w:cs="Times New Roman"/>
        </w:rPr>
      </w:pPr>
      <w:bookmarkStart w:id="312" w:name="_Toc32001"/>
      <w:r>
        <w:rPr>
          <w:rFonts w:hAnsi="Times New Roman" w:cs="Times New Roman"/>
        </w:rPr>
        <w:t>调查内容和方法</w:t>
      </w:r>
    </w:p>
    <w:bookmarkEnd w:id="312"/>
    <w:p w14:paraId="4B14FA65">
      <w:pPr>
        <w:pStyle w:val="5"/>
        <w:spacing w:before="120" w:after="120"/>
      </w:pPr>
      <w:r>
        <w:t>调查时间</w:t>
      </w:r>
    </w:p>
    <w:p w14:paraId="76E4C92B">
      <w:pPr>
        <w:ind w:firstLine="480"/>
      </w:pPr>
      <w:bookmarkStart w:id="313" w:name="_Toc25691"/>
      <w:r>
        <w:rPr>
          <w:rFonts w:hint="eastAsia"/>
        </w:rPr>
        <w:t>陆生</w:t>
      </w:r>
      <w:r>
        <w:t>生态现状调查时间为202</w:t>
      </w:r>
      <w:r>
        <w:rPr>
          <w:rFonts w:hint="eastAsia"/>
        </w:rPr>
        <w:t>5</w:t>
      </w:r>
      <w:r>
        <w:t>年</w:t>
      </w:r>
      <w:r>
        <w:rPr>
          <w:rFonts w:hint="eastAsia"/>
        </w:rPr>
        <w:t>7</w:t>
      </w:r>
      <w:r>
        <w:t>月-</w:t>
      </w:r>
      <w:r>
        <w:rPr>
          <w:rFonts w:hint="eastAsia"/>
        </w:rPr>
        <w:t>8</w:t>
      </w:r>
      <w:r>
        <w:t>月</w:t>
      </w:r>
      <w:r>
        <w:rPr>
          <w:rFonts w:hint="eastAsia"/>
        </w:rPr>
        <w:t>、</w:t>
      </w:r>
      <w:r>
        <w:t>202</w:t>
      </w:r>
      <w:r>
        <w:rPr>
          <w:rFonts w:hint="eastAsia"/>
        </w:rPr>
        <w:t>6</w:t>
      </w:r>
      <w:r>
        <w:t>年</w:t>
      </w:r>
      <w:r>
        <w:rPr>
          <w:rFonts w:hint="eastAsia"/>
        </w:rPr>
        <w:t>5</w:t>
      </w:r>
      <w:r>
        <w:t>月-202</w:t>
      </w:r>
      <w:r>
        <w:rPr>
          <w:rFonts w:hint="eastAsia"/>
        </w:rPr>
        <w:t>6</w:t>
      </w:r>
      <w:r>
        <w:t>年</w:t>
      </w:r>
      <w:r>
        <w:rPr>
          <w:rFonts w:hint="eastAsia"/>
        </w:rPr>
        <w:t>6</w:t>
      </w:r>
      <w:r>
        <w:t>月</w:t>
      </w:r>
      <w:r>
        <w:rPr>
          <w:rFonts w:hint="eastAsia"/>
        </w:rPr>
        <w:t>对评价范围陆生植被进行了现场调查，调查时期包括了陆生植物生长旺盛期，该时段基本可以代表区域植被的特点。</w:t>
      </w:r>
    </w:p>
    <w:p w14:paraId="3F350299">
      <w:pPr>
        <w:ind w:firstLine="480"/>
        <w:rPr>
          <w:rFonts w:hAnsi="Times New Roman" w:cs="Times New Roman"/>
        </w:rPr>
      </w:pPr>
      <w:r>
        <w:t>202</w:t>
      </w:r>
      <w:r>
        <w:rPr>
          <w:rFonts w:hint="eastAsia"/>
        </w:rPr>
        <w:t>5</w:t>
      </w:r>
      <w:r>
        <w:t>年7月-</w:t>
      </w:r>
      <w:r>
        <w:rPr>
          <w:rFonts w:hint="eastAsia"/>
        </w:rPr>
        <w:t>10</w:t>
      </w:r>
      <w:r>
        <w:t>月、202</w:t>
      </w:r>
      <w:r>
        <w:rPr>
          <w:rFonts w:hint="eastAsia"/>
        </w:rPr>
        <w:t>6</w:t>
      </w:r>
      <w:r>
        <w:t>年</w:t>
      </w:r>
      <w:r>
        <w:rPr>
          <w:rFonts w:hint="eastAsia"/>
        </w:rPr>
        <w:t>4</w:t>
      </w:r>
      <w:r>
        <w:t>月-202</w:t>
      </w:r>
      <w:r>
        <w:rPr>
          <w:rFonts w:hint="eastAsia"/>
        </w:rPr>
        <w:t>6</w:t>
      </w:r>
      <w:r>
        <w:t>年6月对评价范围陆生动物进行了现场调查。</w:t>
      </w:r>
    </w:p>
    <w:bookmarkEnd w:id="313"/>
    <w:p w14:paraId="1B251654">
      <w:pPr>
        <w:pStyle w:val="5"/>
        <w:spacing w:before="120" w:after="120"/>
      </w:pPr>
      <w:r>
        <w:t>调查范围</w:t>
      </w:r>
    </w:p>
    <w:p w14:paraId="3B794AD0">
      <w:pPr>
        <w:ind w:firstLine="480"/>
      </w:pPr>
      <w:r>
        <w:rPr>
          <w:rFonts w:hint="eastAsia"/>
        </w:rPr>
        <w:t>根据《环境影响评价技术导则 生态影响》（HJ 19-2022）的要求，以及本项目的建设内容、工艺特点以及建设项目地区的生态现状及环境特点，确定本项目评价范围为矿区范围外延</w:t>
      </w:r>
      <w:r>
        <w:t>1km</w:t>
      </w:r>
      <w:r>
        <w:rPr>
          <w:rFonts w:hint="eastAsia"/>
        </w:rPr>
        <w:t>，评价范围面积502.03</w:t>
      </w:r>
      <w:r>
        <w:t>hm</w:t>
      </w:r>
      <w:r>
        <w:rPr>
          <w:vertAlign w:val="superscript"/>
        </w:rPr>
        <w:t>2</w:t>
      </w:r>
    </w:p>
    <w:p w14:paraId="08C9CD96">
      <w:pPr>
        <w:pStyle w:val="5"/>
        <w:spacing w:before="120" w:after="120"/>
      </w:pPr>
      <w:r>
        <w:rPr>
          <w:rFonts w:hint="eastAsia"/>
        </w:rPr>
        <w:t>调查及评价方法</w:t>
      </w:r>
    </w:p>
    <w:p w14:paraId="790B79E5">
      <w:pPr>
        <w:ind w:firstLine="482"/>
        <w:rPr>
          <w:b/>
        </w:rPr>
      </w:pPr>
      <w:bookmarkStart w:id="314" w:name="_Toc22318"/>
      <w:r>
        <w:rPr>
          <w:b/>
        </w:rPr>
        <w:t>1、</w:t>
      </w:r>
      <w:bookmarkEnd w:id="314"/>
      <w:bookmarkStart w:id="315" w:name="_Toc11244"/>
      <w:r>
        <w:rPr>
          <w:b/>
        </w:rPr>
        <w:t>基础资料收集</w:t>
      </w:r>
      <w:bookmarkEnd w:id="315"/>
    </w:p>
    <w:p w14:paraId="288D5EF4">
      <w:pPr>
        <w:ind w:firstLine="480"/>
      </w:pPr>
      <w:r>
        <w:t>收集整理项目涉及行政区内现有的能反映生态现状或生态本底的资料（如：生态公益林、重点保护动植物等），并参考走访项目所在地林业、自然资源等部门收集相关统计年鉴、土地利用规划等最新资料，获取项目区生物多样性、土地利用、城乡规划等现状信息，《中国植被》（吴征镒）（科学出版社，1995）、《黑龙江省植物志》（周以良等，1985年）、《黑龙江省地方重点保护野生动物名录》（2004年）、《黑龙江种子植物区系的研究》（于爽等，2008年）、《中国动物志》（两栖纲）（科学出版社，2009年）等著作及相关科研论文。在综合分析现有资料的基础上，结合工程特点，确定调查的重点区域。</w:t>
      </w:r>
    </w:p>
    <w:p w14:paraId="65A2B61B">
      <w:pPr>
        <w:ind w:firstLine="482"/>
        <w:rPr>
          <w:b/>
        </w:rPr>
      </w:pPr>
      <w:r>
        <w:rPr>
          <w:rFonts w:hint="eastAsia"/>
          <w:b/>
        </w:rPr>
        <w:t>2、动、植物资源调查方法</w:t>
      </w:r>
    </w:p>
    <w:p w14:paraId="58B94C35">
      <w:pPr>
        <w:ind w:firstLine="480"/>
      </w:pPr>
      <w:r>
        <w:rPr>
          <w:rFonts w:hint="eastAsia"/>
        </w:rPr>
        <w:t>收集整理评价范围及邻近地区内现有的能反映生态现状或生态本底的资料，在综合分析现有资料的基础上，确定实地考察的重点区域及考察路线。</w:t>
      </w:r>
    </w:p>
    <w:p w14:paraId="732CFAA0">
      <w:pPr>
        <w:ind w:firstLine="480"/>
      </w:pPr>
      <w:r>
        <w:rPr>
          <w:rFonts w:hint="eastAsia"/>
        </w:rPr>
        <w:t>（1）植</w:t>
      </w:r>
      <w:r>
        <w:t>物种类调查</w:t>
      </w:r>
    </w:p>
    <w:p w14:paraId="46E62285">
      <w:pPr>
        <w:ind w:firstLine="480"/>
      </w:pPr>
      <w:r>
        <w:rPr>
          <w:rFonts w:hint="eastAsia"/>
        </w:rPr>
        <w:t>调查评价区范围内的维管束植物，即种子植物（包括裸子植物和被子植物）和蕨类植物。通过遥感影像解译，确定线路范围内所能涉及到的植被样方，详细调查线路评价范围内的分布的植物种类，调查过程中，对已确定的植物种类的信息进行记录，包括该植物种类的名称、数量和盖度等信息。对现场不能确定的植被，采集其照片和样本，参照《中国植物志》、《黑龙江省国家级自然保护区资源植物图鉴》、《中国高等植物图鉴》等专著进行鉴定判别。</w:t>
      </w:r>
    </w:p>
    <w:p w14:paraId="3F4E9354">
      <w:pPr>
        <w:ind w:firstLine="480"/>
      </w:pPr>
      <w:r>
        <w:rPr>
          <w:rFonts w:hint="eastAsia"/>
        </w:rPr>
        <w:t>a.样地的选择：选择植被物种分布均匀的，植被结构完整，环境条件具有一致性的地段进行样地调查。</w:t>
      </w:r>
    </w:p>
    <w:p w14:paraId="6CC46239">
      <w:pPr>
        <w:ind w:firstLine="480"/>
      </w:pPr>
      <w:r>
        <w:rPr>
          <w:rFonts w:hint="eastAsia"/>
        </w:rPr>
        <w:t>b.样方大小确定：因项目区植被类型丰富多样，经查阅相关文献在该区域调查面积，确定项目区样方调查面积依次为：乔木：20m×20m，400m</w:t>
      </w:r>
      <w:r>
        <w:rPr>
          <w:rFonts w:hint="eastAsia"/>
          <w:vertAlign w:val="superscript"/>
        </w:rPr>
        <w:t>2</w:t>
      </w:r>
      <w:r>
        <w:rPr>
          <w:rFonts w:hint="eastAsia"/>
        </w:rPr>
        <w:t>；灌木：草本5m×5m，25m</w:t>
      </w:r>
      <w:r>
        <w:rPr>
          <w:rFonts w:hint="eastAsia"/>
          <w:vertAlign w:val="superscript"/>
        </w:rPr>
        <w:t>2</w:t>
      </w:r>
      <w:r>
        <w:rPr>
          <w:rFonts w:hint="eastAsia"/>
        </w:rPr>
        <w:t>；1m×1m，1m</w:t>
      </w:r>
      <w:r>
        <w:rPr>
          <w:rFonts w:hint="eastAsia"/>
          <w:vertAlign w:val="superscript"/>
        </w:rPr>
        <w:t>2</w:t>
      </w:r>
      <w:r>
        <w:rPr>
          <w:rFonts w:hint="eastAsia"/>
        </w:rPr>
        <w:t>。</w:t>
      </w:r>
    </w:p>
    <w:p w14:paraId="24E3F9A6">
      <w:pPr>
        <w:ind w:firstLine="480"/>
      </w:pPr>
      <w:r>
        <w:rPr>
          <w:rFonts w:hint="eastAsia"/>
        </w:rPr>
        <w:t>c.样方所在环境调查内容包括：地理位置（调查地点的行政区划），经纬度，海拔；地形：坡度，坡向。</w:t>
      </w:r>
    </w:p>
    <w:p w14:paraId="0D4232BD">
      <w:pPr>
        <w:ind w:firstLine="480"/>
      </w:pPr>
      <w:r>
        <w:rPr>
          <w:rFonts w:hint="eastAsia"/>
        </w:rPr>
        <w:t>d.植被群落调查：首先对样地植被进行分层，即分成乔木、灌木、草本3个层次。其次对样方内植物物种的名称、数量（株数）、高度、盖度（盖度是根据各种植物在样方垂直投影面积占样方的百分比现场目测求得）进行统计，并同时用数码相机拍摄样方内植物（见调查附表）。对不能确定的植物种需采集标本，系上标签，查阅植物志进行进一步分类。</w:t>
      </w:r>
    </w:p>
    <w:p w14:paraId="7CCB603E">
      <w:pPr>
        <w:ind w:firstLine="480"/>
      </w:pPr>
      <w:r>
        <w:rPr>
          <w:rFonts w:hint="eastAsia"/>
        </w:rPr>
        <w:t>e.照片要求</w:t>
      </w:r>
    </w:p>
    <w:p w14:paraId="14523458">
      <w:pPr>
        <w:ind w:firstLine="480"/>
      </w:pPr>
      <w:r>
        <w:rPr>
          <w:rFonts w:hint="eastAsia"/>
        </w:rPr>
        <w:t>拍照片包括：耕地农田，工矿用地，林地，交通运输用地等不同土地利用类型的照片。</w:t>
      </w:r>
    </w:p>
    <w:p w14:paraId="3BD1BF13">
      <w:pPr>
        <w:ind w:firstLine="480"/>
      </w:pPr>
      <w:r>
        <w:rPr>
          <w:rFonts w:hint="eastAsia"/>
        </w:rPr>
        <w:t>样方照片：不同类型的乔木林采用拉皮尺拍照的方式进行样方调查。①灌木和草本植物拍近景照片，微距更好，要求看得清植物的花、叶片，果实等特征，便于后期分类。照片数量要求100张左右。</w:t>
      </w:r>
    </w:p>
    <w:p w14:paraId="1DBF3D7C">
      <w:pPr>
        <w:ind w:firstLine="480"/>
      </w:pPr>
      <w:r>
        <w:rPr>
          <w:rFonts w:hint="eastAsia"/>
        </w:rPr>
        <w:t>g.调查工具、物品清单：</w:t>
      </w:r>
    </w:p>
    <w:p w14:paraId="53C19DB5">
      <w:pPr>
        <w:ind w:firstLine="480"/>
      </w:pPr>
      <w:r>
        <w:rPr>
          <w:rFonts w:hint="eastAsia"/>
        </w:rPr>
        <w:t>皮尺、测绳、记录夹、剪刀、牛皮纸、标本袋、记录本、铅笔、签字笔、塑料袋、数码相机、植物志、自制标签。</w:t>
      </w:r>
    </w:p>
    <w:p w14:paraId="08798CD3">
      <w:pPr>
        <w:ind w:firstLine="480"/>
      </w:pPr>
      <w:r>
        <w:t>②动物</w:t>
      </w:r>
      <w:r>
        <w:rPr>
          <w:rFonts w:hint="eastAsia"/>
        </w:rPr>
        <w:t>资源</w:t>
      </w:r>
      <w:r>
        <w:t>调查</w:t>
      </w:r>
    </w:p>
    <w:p w14:paraId="0D176681">
      <w:pPr>
        <w:ind w:firstLine="480"/>
      </w:pPr>
      <w:r>
        <w:rPr>
          <w:rFonts w:hint="eastAsia"/>
        </w:rPr>
        <w:t>陆生动物生态现状调查内容主要为陆栖野生脊椎动物，包括两栖类、爬行类、鸟类、兽类的种类、资源状况等</w:t>
      </w:r>
      <w:r>
        <w:t>。在调查过程中，确定评价区内动物的种类、资源状况及生存状况，尤其是重点保护种类。调查方法主要有样线法、样点法、访问和资料查询。兽类主要采用现场环境调查，野外踪迹调查，包括：足迹链、窝迹、粪便，再结合访问调查及市场调查确定种类及数量等。从上述调查得到的种类之中，对相关重点保护物种进行进一步调查与核实，确定其种类及数量。对有疑问动物、重点保护野生动物尽量采集凭证标本并拍摄照片。</w:t>
      </w:r>
    </w:p>
    <w:p w14:paraId="3B7F8052">
      <w:pPr>
        <w:ind w:firstLine="480"/>
      </w:pPr>
      <w:r>
        <w:rPr>
          <w:rFonts w:hint="eastAsia"/>
        </w:rPr>
        <w:t>根据《环境影响评价技术导则生态影响》（HJ19-2022），一级评价每种生境类型设置的野生动物调查样线数量不少于5条。本项目在森林、草地、农田每种生境设置不少于5条动物样线，总计10条。为避免误差，现场调查为两个人一组，用望远镜观察周围动物情况，发现野生动物进行记录，遇到不认识的动物记录后，通过查阅资料确定其名称。本项目动物资源调查采取现场调查、当地部门了解与资料查询相结合的方法，分夏、秋两个季节进行现场调查和资料收集。</w:t>
      </w:r>
    </w:p>
    <w:p w14:paraId="322B08CD">
      <w:pPr>
        <w:ind w:firstLine="480"/>
      </w:pPr>
      <w:r>
        <w:rPr>
          <w:rFonts w:hint="eastAsia"/>
        </w:rPr>
        <w:t>a.调查目的</w:t>
      </w:r>
    </w:p>
    <w:p w14:paraId="702AE1EF">
      <w:pPr>
        <w:ind w:firstLine="480"/>
      </w:pPr>
      <w:r>
        <w:rPr>
          <w:rFonts w:hint="eastAsia"/>
        </w:rPr>
        <w:t>通过对评价范围内的动物资源调查，了解评价范围内动物种群的种类、数量、生境面积以及生境状况等情况，评估工程建设对评价范围内动物资源的影响程度及对其种群恢复的可行性，为制定评价区动物资源保护策略提供依据。</w:t>
      </w:r>
    </w:p>
    <w:p w14:paraId="31FD3DDC">
      <w:pPr>
        <w:ind w:firstLine="480"/>
      </w:pPr>
      <w:r>
        <w:rPr>
          <w:rFonts w:hint="eastAsia"/>
        </w:rPr>
        <w:t>b.调查对象及内容</w:t>
      </w:r>
    </w:p>
    <w:p w14:paraId="59C1F7DA">
      <w:pPr>
        <w:ind w:firstLine="480"/>
      </w:pPr>
      <w:r>
        <w:rPr>
          <w:rFonts w:hint="eastAsia"/>
        </w:rPr>
        <w:t>调查并记录评价范围内动物的活动痕迹，通过拍照、录像和纸张记录等方式,了解评价区内动物种群的种类、数量，对评价区内动物的栖息环境状况进行评估。</w:t>
      </w:r>
    </w:p>
    <w:p w14:paraId="7F45FF2D">
      <w:pPr>
        <w:ind w:firstLine="480"/>
      </w:pPr>
      <w:r>
        <w:rPr>
          <w:rFonts w:hint="eastAsia"/>
        </w:rPr>
        <w:t>c.调查方法</w:t>
      </w:r>
    </w:p>
    <w:p w14:paraId="2D4402E2">
      <w:pPr>
        <w:ind w:firstLine="480"/>
      </w:pPr>
      <w:r>
        <w:rPr>
          <w:rFonts w:hint="eastAsia"/>
        </w:rPr>
        <w:t>主要用于搜集评价范围内野生动物活动的痕迹，结合前期搜集的动物资料，分析评价范围内动物种群的数量、种类、分布特点和生境状况。样线布设地点选择调查范围内的缓坡等最适合野生动物栖息的区域，根据生态导则要求每种生态系统类型设置的样线数量不少于5个，因此全线共设置10条动物样线进行调查，样线调查时调查人员沿确定的调查样线缓速行走并沿途录像，调查过程中，使用航迹记录软件确定起止点并全程记录样线的航迹，搜寻样线两侧野生动物活动的所有痕迹，对沿途遇到的野生动物及其粪便进行拍照记录。</w:t>
      </w:r>
    </w:p>
    <w:p w14:paraId="598CD6C5">
      <w:pPr>
        <w:ind w:firstLine="480"/>
      </w:pPr>
      <w:r>
        <w:rPr>
          <w:rFonts w:hint="eastAsia"/>
        </w:rPr>
        <w:t>d.器材设备</w:t>
      </w:r>
    </w:p>
    <w:p w14:paraId="615FDBBE">
      <w:pPr>
        <w:ind w:firstLine="480"/>
      </w:pPr>
      <w:r>
        <w:rPr>
          <w:rFonts w:hint="eastAsia"/>
        </w:rPr>
        <w:t>样线调查需配备设备：照相机（或摄像机，1台）、航迹记录软件、罗盘（1个）、钢卷尺（1个）、测绳（1根，20米长）、地形图、砍刀等。</w:t>
      </w:r>
    </w:p>
    <w:p w14:paraId="5DEDBA35">
      <w:pPr>
        <w:ind w:firstLine="480"/>
      </w:pPr>
      <w:r>
        <w:t>③土地利用类型调查</w:t>
      </w:r>
    </w:p>
    <w:p w14:paraId="7610C403">
      <w:pPr>
        <w:ind w:firstLine="480"/>
      </w:pPr>
      <w:r>
        <w:rPr>
          <w:rFonts w:hint="eastAsia"/>
        </w:rPr>
        <w:t>土地利用类型利用野外定点调查与第三次全国国土调查数据，参照《土地利用现状分类》（GB/T21010-2017）二级分类，运用ArcGIS软件对项目调查范围土地利用进行分类。</w:t>
      </w:r>
    </w:p>
    <w:p w14:paraId="63C9B562">
      <w:pPr>
        <w:ind w:firstLine="480"/>
      </w:pPr>
      <w:r>
        <w:t>a.遥感解译和生态制图</w:t>
      </w:r>
    </w:p>
    <w:p w14:paraId="1602D915">
      <w:pPr>
        <w:ind w:firstLine="480"/>
      </w:pPr>
      <w:r>
        <w:rPr>
          <w:rFonts w:hint="eastAsia"/>
        </w:rPr>
        <w:t>本次评价选取线路所经区域LANDSAT-8影像数据，以遥感（RS）与地理信息系统（GIS）技术为基础，在GPS支持下，根据实地考察和收集到的有关文字与图形资料，建立起地物原型与卫星影像之间的直接解译标志，运用地学分析法建立解译标志，通过（GIS、RS）遥感图像处理系统软件的非监督分类功能和人工解译相结合，解译出评价范围内生态环境研究所需的植被、土地等相关数据，最后应用图像处理软件最终完成生态图件的制作。其工作程序如图3.1-1</w:t>
      </w:r>
      <w:r>
        <w:t>。</w:t>
      </w:r>
    </w:p>
    <w:p w14:paraId="68FD128B">
      <w:pPr>
        <w:pStyle w:val="178"/>
      </w:pPr>
      <w:r>
        <w:drawing>
          <wp:inline distT="0" distB="0" distL="114300" distR="114300">
            <wp:extent cx="4457065" cy="5514975"/>
            <wp:effectExtent l="0" t="0" r="635" b="9525"/>
            <wp:docPr id="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
                    <pic:cNvPicPr>
                      <a:picLocks noChangeAspect="1"/>
                    </pic:cNvPicPr>
                  </pic:nvPicPr>
                  <pic:blipFill>
                    <a:blip r:embed="rId67"/>
                    <a:stretch>
                      <a:fillRect/>
                    </a:stretch>
                  </pic:blipFill>
                  <pic:spPr>
                    <a:xfrm>
                      <a:off x="0" y="0"/>
                      <a:ext cx="4457065" cy="5514975"/>
                    </a:xfrm>
                    <a:prstGeom prst="rect">
                      <a:avLst/>
                    </a:prstGeom>
                    <a:noFill/>
                    <a:ln>
                      <a:noFill/>
                    </a:ln>
                  </pic:spPr>
                </pic:pic>
              </a:graphicData>
            </a:graphic>
          </wp:inline>
        </w:drawing>
      </w:r>
    </w:p>
    <w:p w14:paraId="10E11157">
      <w:pPr>
        <w:pStyle w:val="178"/>
      </w:pPr>
      <w:r>
        <w:rPr>
          <w:rFonts w:hint="eastAsia"/>
        </w:rPr>
        <w:t>图4.3-1  遥感卫片解译及生态制图工作流程</w:t>
      </w:r>
    </w:p>
    <w:p w14:paraId="361F6979">
      <w:pPr>
        <w:pStyle w:val="5"/>
        <w:spacing w:before="120" w:after="120"/>
      </w:pPr>
      <w:r>
        <w:rPr>
          <w:rFonts w:hint="eastAsia"/>
        </w:rPr>
        <w:t>评价方法</w:t>
      </w:r>
    </w:p>
    <w:p w14:paraId="37A2DF68">
      <w:pPr>
        <w:ind w:firstLine="480"/>
      </w:pPr>
      <w:r>
        <w:rPr>
          <w:rFonts w:hint="eastAsia"/>
        </w:rPr>
        <w:t>评价区生物资源的现状以及工程对其可能产生的影响采用了生态机理分析法、图形叠置法、类比分析法、生态系统评价法等方法，通过实地调查，利用已有的各类资料和野外调查的资料分别对评价区植物、动物的生态环境、种群的分布特点、结构特征和演替趋势以及生物学物种多样性、生物群落异质状况和生物量等进行评价分析。如生物生产力的测定与估算等。采用GPS、RS和GIS相结合的空间信息技术，进行地面类型的数字化判读，完成数字化的植被类型图和土地利用类型图，进行景观质量和生态质量的定性和定量评价。</w:t>
      </w:r>
    </w:p>
    <w:p w14:paraId="6EA3892F">
      <w:pPr>
        <w:ind w:firstLine="480"/>
      </w:pPr>
      <w:r>
        <w:t>①</w:t>
      </w:r>
      <w:r>
        <w:rPr>
          <w:rFonts w:hint="eastAsia"/>
        </w:rPr>
        <w:t>生物多样性评价方法</w:t>
      </w:r>
    </w:p>
    <w:p w14:paraId="7D7A6612">
      <w:pPr>
        <w:ind w:firstLine="480"/>
      </w:pPr>
      <w:r>
        <w:rPr>
          <w:rFonts w:hint="eastAsia"/>
        </w:rPr>
        <w:t>多样性是反映一个生物群落复杂程度的指标，多样性一般用生物群落的物种及其个体数量的分布状态来描述。具有高多样性的生态系统一般具有较高的稳定性，具有较高稳定性的生态系统在受到外界压力后恢复到平衡的能力亦较强。因此，物种多样性是生态评价的重要指标。香农-威纳多样性指数、Pielou均匀度指数、Simpson优势度指数是衡量群落物种多样性的常用指标，其计算公式如下：</w:t>
      </w:r>
    </w:p>
    <w:p w14:paraId="66D1A0A2">
      <w:pPr>
        <w:ind w:firstLine="480"/>
      </w:pPr>
      <w:r>
        <w:rPr>
          <w:rFonts w:hint="eastAsia"/>
        </w:rPr>
        <w:t>1）香农-威纳多样性指数（Shannon-Wiener diversity index）计算公式为：</w:t>
      </w:r>
    </w:p>
    <w:p w14:paraId="70EADFCC">
      <w:pPr>
        <w:pStyle w:val="178"/>
      </w:pPr>
      <w:r>
        <w:drawing>
          <wp:inline distT="0" distB="0" distL="114300" distR="114300">
            <wp:extent cx="1485265" cy="575945"/>
            <wp:effectExtent l="19050" t="0" r="285"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
                    <pic:cNvPicPr>
                      <a:picLocks noChangeAspect="1"/>
                    </pic:cNvPicPr>
                  </pic:nvPicPr>
                  <pic:blipFill>
                    <a:blip r:embed="rId68"/>
                    <a:stretch>
                      <a:fillRect/>
                    </a:stretch>
                  </pic:blipFill>
                  <pic:spPr>
                    <a:xfrm>
                      <a:off x="0" y="0"/>
                      <a:ext cx="1485615" cy="576000"/>
                    </a:xfrm>
                    <a:prstGeom prst="rect">
                      <a:avLst/>
                    </a:prstGeom>
                    <a:noFill/>
                    <a:ln>
                      <a:noFill/>
                    </a:ln>
                  </pic:spPr>
                </pic:pic>
              </a:graphicData>
            </a:graphic>
          </wp:inline>
        </w:drawing>
      </w:r>
    </w:p>
    <w:p w14:paraId="55A6FD68">
      <w:pPr>
        <w:ind w:firstLine="480"/>
      </w:pPr>
      <w:r>
        <w:rPr>
          <w:rFonts w:hint="eastAsia"/>
        </w:rPr>
        <w:t>式中：H—香农-威纳多样性指数；</w:t>
      </w:r>
    </w:p>
    <w:p w14:paraId="12FA8F7D">
      <w:pPr>
        <w:ind w:left="1680" w:leftChars="500" w:hanging="480" w:hangingChars="200"/>
      </w:pPr>
      <w:r>
        <w:rPr>
          <w:rFonts w:hint="eastAsia"/>
        </w:rPr>
        <w:t>S—调查区域内物种种类总数；</w:t>
      </w:r>
    </w:p>
    <w:p w14:paraId="15120BBD">
      <w:pPr>
        <w:ind w:left="1680" w:leftChars="500" w:hanging="480" w:hangingChars="200"/>
      </w:pPr>
      <w:r>
        <w:rPr>
          <w:rFonts w:hint="eastAsia"/>
        </w:rPr>
        <w:t>Pi—调查区域内属于第i种的个体比例，如总个体数为N，第i种个体数为ni，则Pi=ni/N。</w:t>
      </w:r>
    </w:p>
    <w:p w14:paraId="74D25778">
      <w:pPr>
        <w:ind w:firstLine="480"/>
      </w:pPr>
      <w:r>
        <w:rPr>
          <w:rFonts w:hint="eastAsia"/>
        </w:rPr>
        <w:t>2）Pielou均匀度指数是反映调查区域各物种个体数目分配均匀程度的指数，计算公式为：</w:t>
      </w:r>
    </w:p>
    <w:p w14:paraId="10FE8ACE">
      <w:pPr>
        <w:pStyle w:val="178"/>
      </w:pPr>
      <w:r>
        <w:drawing>
          <wp:inline distT="0" distB="0" distL="114300" distR="114300">
            <wp:extent cx="1807845" cy="539750"/>
            <wp:effectExtent l="19050" t="0" r="1777" b="0"/>
            <wp:docPr id="2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
                    <pic:cNvPicPr>
                      <a:picLocks noChangeAspect="1"/>
                    </pic:cNvPicPr>
                  </pic:nvPicPr>
                  <pic:blipFill>
                    <a:blip r:embed="rId69"/>
                    <a:stretch>
                      <a:fillRect/>
                    </a:stretch>
                  </pic:blipFill>
                  <pic:spPr>
                    <a:xfrm>
                      <a:off x="0" y="0"/>
                      <a:ext cx="1807973" cy="540000"/>
                    </a:xfrm>
                    <a:prstGeom prst="rect">
                      <a:avLst/>
                    </a:prstGeom>
                    <a:noFill/>
                    <a:ln>
                      <a:noFill/>
                    </a:ln>
                  </pic:spPr>
                </pic:pic>
              </a:graphicData>
            </a:graphic>
          </wp:inline>
        </w:drawing>
      </w:r>
    </w:p>
    <w:p w14:paraId="487003BD">
      <w:pPr>
        <w:ind w:firstLine="480"/>
      </w:pPr>
      <w:r>
        <w:rPr>
          <w:rFonts w:hint="eastAsia"/>
        </w:rPr>
        <w:t>式中：J—Pielou均匀度指数；</w:t>
      </w:r>
    </w:p>
    <w:p w14:paraId="244E6954">
      <w:pPr>
        <w:ind w:firstLine="480"/>
      </w:pPr>
      <w:r>
        <w:rPr>
          <w:rFonts w:hint="eastAsia"/>
        </w:rPr>
        <w:t>S—调查区域内物种种类总数；</w:t>
      </w:r>
    </w:p>
    <w:p w14:paraId="785EF5B3">
      <w:pPr>
        <w:ind w:firstLine="480"/>
      </w:pPr>
      <w:r>
        <w:rPr>
          <w:rFonts w:hint="eastAsia"/>
        </w:rPr>
        <w:t>Pi—调查区域内属于第i种的个体比例。</w:t>
      </w:r>
    </w:p>
    <w:p w14:paraId="101A3D24">
      <w:pPr>
        <w:ind w:firstLine="480"/>
      </w:pPr>
      <w:r>
        <w:rPr>
          <w:rFonts w:hint="eastAsia"/>
        </w:rPr>
        <w:t>3）Simpson优势度指数与均匀度指数相对应，计算公式为：</w:t>
      </w:r>
    </w:p>
    <w:p w14:paraId="77520CBC">
      <w:pPr>
        <w:pStyle w:val="178"/>
      </w:pPr>
      <w:r>
        <w:drawing>
          <wp:inline distT="0" distB="0" distL="114300" distR="114300">
            <wp:extent cx="1485265" cy="719455"/>
            <wp:effectExtent l="19050" t="0" r="426" b="0"/>
            <wp:docPr id="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
                    <pic:cNvPicPr>
                      <a:picLocks noChangeAspect="1"/>
                    </pic:cNvPicPr>
                  </pic:nvPicPr>
                  <pic:blipFill>
                    <a:blip r:embed="rId70"/>
                    <a:stretch>
                      <a:fillRect/>
                    </a:stretch>
                  </pic:blipFill>
                  <pic:spPr>
                    <a:xfrm>
                      <a:off x="0" y="0"/>
                      <a:ext cx="1485474" cy="720000"/>
                    </a:xfrm>
                    <a:prstGeom prst="rect">
                      <a:avLst/>
                    </a:prstGeom>
                    <a:noFill/>
                    <a:ln>
                      <a:noFill/>
                    </a:ln>
                  </pic:spPr>
                </pic:pic>
              </a:graphicData>
            </a:graphic>
          </wp:inline>
        </w:drawing>
      </w:r>
    </w:p>
    <w:p w14:paraId="026660A9">
      <w:pPr>
        <w:ind w:firstLine="480"/>
      </w:pPr>
      <w:r>
        <w:rPr>
          <w:rFonts w:hint="eastAsia"/>
        </w:rPr>
        <w:t>式中：D—Simpson优势度指数；</w:t>
      </w:r>
    </w:p>
    <w:p w14:paraId="2A322AA4">
      <w:pPr>
        <w:ind w:firstLine="1200" w:firstLineChars="500"/>
      </w:pPr>
      <w:r>
        <w:rPr>
          <w:rFonts w:hint="eastAsia"/>
        </w:rPr>
        <w:t>S—调查区域内物种种类总数；</w:t>
      </w:r>
    </w:p>
    <w:p w14:paraId="7E92C65B">
      <w:pPr>
        <w:ind w:firstLine="1200" w:firstLineChars="500"/>
      </w:pPr>
      <w:r>
        <w:rPr>
          <w:rFonts w:hint="eastAsia"/>
        </w:rPr>
        <w:t>Pi—调查区域内属于第i种的个体比例。</w:t>
      </w:r>
    </w:p>
    <w:p w14:paraId="15C13DBC">
      <w:pPr>
        <w:ind w:firstLine="480"/>
      </w:pPr>
      <w:r>
        <w:rPr>
          <w:rFonts w:hint="eastAsia"/>
        </w:rPr>
        <w:t>陆生生态系统调查主要采用上述三个生物多样性指标。其中，草本层物种多样性指数计算以盖度作为数量指标，从而克服无性系个体和丛生个体计数的困难。Simpson指数主要反映群落优势种情况，其数值越小表明群落优势种越明显，如果优势种品种数增加会使该数值降低，群落越均衡数值越高；Shannon-Weiner指数可以同时反映物种丰富度和物种均匀度，数量越多，分布越均匀，数值越大；Pielou指数反映植物空间分布均匀程度，其数值越大表示植物空间分布越均匀，可与Shannon-Weiner 指数结合看，如果Pielou指数接近，Shannon-Weiner指数差距较大就证明均匀度接近但是丰富度较好。</w:t>
      </w:r>
    </w:p>
    <w:p w14:paraId="2202DA9B">
      <w:pPr>
        <w:ind w:firstLine="480"/>
      </w:pPr>
      <w:r>
        <w:t>②</w:t>
      </w:r>
      <w:r>
        <w:rPr>
          <w:rFonts w:hint="eastAsia"/>
        </w:rPr>
        <w:t>生态系统评价方法</w:t>
      </w:r>
    </w:p>
    <w:p w14:paraId="48229842">
      <w:pPr>
        <w:ind w:firstLine="480"/>
      </w:pPr>
      <w:r>
        <w:rPr>
          <w:rFonts w:hint="eastAsia"/>
        </w:rPr>
        <w:t>1）植被覆盖度</w:t>
      </w:r>
    </w:p>
    <w:p w14:paraId="542BE1A4">
      <w:pPr>
        <w:ind w:firstLine="480"/>
      </w:pPr>
      <w:r>
        <w:rPr>
          <w:rFonts w:hint="eastAsia"/>
        </w:rPr>
        <w:t>按照《环境影响评价技术导则 生态影响》（HJ19-2022）中推荐的方法，采用归一化植被指数（NDVI）估算植被覆盖度法，植被指数法主要是通过对各像元中植被类型及分布特征的分析，建立植被指数与植被覆盖度的转换关系。采用归一化植被指数（NDVI）估算植被覆盖度的方法如下：</w:t>
      </w:r>
    </w:p>
    <w:p w14:paraId="7724455E">
      <w:pPr>
        <w:pStyle w:val="178"/>
        <w:rPr>
          <w:rFonts w:ascii="Times New Roman" w:hAnsi="Times New Roman"/>
        </w:rPr>
      </w:pPr>
      <w:r>
        <w:rPr>
          <w:rFonts w:ascii="Times New Roman" w:hAnsi="Times New Roman"/>
        </w:rPr>
        <w:t>FVC=</w:t>
      </w:r>
      <w:r>
        <w:rPr>
          <w:rFonts w:ascii="Times New Roman"/>
        </w:rPr>
        <w:t>（</w:t>
      </w:r>
      <w:r>
        <w:rPr>
          <w:rFonts w:ascii="Times New Roman" w:hAnsi="Times New Roman"/>
        </w:rPr>
        <w:t>NDVI-NDVIs</w:t>
      </w:r>
      <w:r>
        <w:rPr>
          <w:rFonts w:ascii="Times New Roman"/>
        </w:rPr>
        <w:t>）</w:t>
      </w:r>
      <w:r>
        <w:rPr>
          <w:rFonts w:ascii="Times New Roman" w:hAnsi="Times New Roman"/>
        </w:rPr>
        <w:t>/</w:t>
      </w:r>
      <w:r>
        <w:rPr>
          <w:rFonts w:ascii="Times New Roman"/>
        </w:rPr>
        <w:t>（</w:t>
      </w:r>
      <w:r>
        <w:rPr>
          <w:rFonts w:ascii="Times New Roman" w:hAnsi="Times New Roman"/>
        </w:rPr>
        <w:t>NDVIv-NDVIs</w:t>
      </w:r>
      <w:r>
        <w:rPr>
          <w:rFonts w:ascii="Times New Roman"/>
        </w:rPr>
        <w:t>）</w:t>
      </w:r>
    </w:p>
    <w:p w14:paraId="5180F52F">
      <w:pPr>
        <w:ind w:firstLine="480"/>
      </w:pPr>
      <w:r>
        <w:rPr>
          <w:rFonts w:hint="eastAsia"/>
        </w:rPr>
        <w:t>式中：FVC—所计算像元的植被覆盖度；</w:t>
      </w:r>
    </w:p>
    <w:p w14:paraId="0F00954A">
      <w:pPr>
        <w:ind w:firstLine="1200" w:firstLineChars="500"/>
      </w:pPr>
      <w:r>
        <w:rPr>
          <w:rFonts w:hint="eastAsia"/>
        </w:rPr>
        <w:t>NDVI—所计算像元的NDVI值；</w:t>
      </w:r>
    </w:p>
    <w:p w14:paraId="47234276">
      <w:pPr>
        <w:ind w:firstLine="1200" w:firstLineChars="500"/>
      </w:pPr>
      <w:r>
        <w:rPr>
          <w:rFonts w:hint="eastAsia"/>
        </w:rPr>
        <w:t>NDVIv—纯植物像元的NDVI值；</w:t>
      </w:r>
    </w:p>
    <w:p w14:paraId="4F01A8EC">
      <w:pPr>
        <w:ind w:firstLine="1200" w:firstLineChars="500"/>
      </w:pPr>
      <w:r>
        <w:rPr>
          <w:rFonts w:hint="eastAsia"/>
        </w:rPr>
        <w:t>NDVIs—完全无植被覆盖像元的NDVI值。</w:t>
      </w:r>
    </w:p>
    <w:p w14:paraId="1D236BA6">
      <w:pPr>
        <w:ind w:firstLine="480"/>
      </w:pPr>
      <w:r>
        <w:rPr>
          <w:rFonts w:hint="eastAsia"/>
        </w:rPr>
        <w:t>2）生物量</w:t>
      </w:r>
    </w:p>
    <w:p w14:paraId="46D6901F">
      <w:pPr>
        <w:ind w:firstLine="480"/>
      </w:pPr>
      <w:r>
        <w:rPr>
          <w:rFonts w:hint="eastAsia"/>
        </w:rPr>
        <w:t>不同的生态系统有其各自的特征生物量，当某种生态类型的植被生物量数值高于其特征生物量数值时，可以认为该生态体系的生态承载能力强，对一定限度的干扰有较强的自我恢复能力。生物量采用收获法获取调查样方内灌木、草本植被样本单位面积的鲜重、干重；利用乔木林调查样地的测树因子及生物量方程法，获取乔木林调查样地中不同树种实地测量的单位面积生物量。结合构建的评价区域遥感植被指数模型，反演得到评价内生态系统的生物量。</w:t>
      </w:r>
    </w:p>
    <w:p w14:paraId="6D759F33">
      <w:pPr>
        <w:ind w:firstLine="480"/>
      </w:pPr>
      <w:r>
        <w:rPr>
          <w:rFonts w:hint="eastAsia"/>
        </w:rPr>
        <w:t>3）生产力</w:t>
      </w:r>
    </w:p>
    <w:p w14:paraId="6E77654C">
      <w:pPr>
        <w:ind w:firstLine="480"/>
      </w:pPr>
      <w:r>
        <w:rPr>
          <w:rFonts w:hint="eastAsia"/>
        </w:rPr>
        <w:t>生态系统生产力评价的数据来源于实地调查、收集的现状资料，采用周广胜、张新时模型进行净第一生产力的计算。</w:t>
      </w:r>
    </w:p>
    <w:p w14:paraId="7A983AEC">
      <w:pPr>
        <w:pStyle w:val="178"/>
      </w:pPr>
      <w:r>
        <w:rPr>
          <w:rFonts w:hint="eastAsia"/>
        </w:rPr>
        <w:drawing>
          <wp:inline distT="0" distB="0" distL="114300" distR="114300">
            <wp:extent cx="2997200" cy="723900"/>
            <wp:effectExtent l="0" t="0" r="12700" b="0"/>
            <wp:docPr id="28" name="图片 19"/>
            <wp:cNvGraphicFramePr/>
            <a:graphic xmlns:a="http://schemas.openxmlformats.org/drawingml/2006/main">
              <a:graphicData uri="http://schemas.openxmlformats.org/drawingml/2006/picture">
                <pic:pic xmlns:pic="http://schemas.openxmlformats.org/drawingml/2006/picture">
                  <pic:nvPicPr>
                    <pic:cNvPr id="28" name="图片 19"/>
                    <pic:cNvPicPr/>
                  </pic:nvPicPr>
                  <pic:blipFill>
                    <a:blip r:embed="rId71"/>
                    <a:stretch>
                      <a:fillRect/>
                    </a:stretch>
                  </pic:blipFill>
                  <pic:spPr>
                    <a:xfrm>
                      <a:off x="0" y="0"/>
                      <a:ext cx="2997200" cy="723900"/>
                    </a:xfrm>
                    <a:prstGeom prst="rect">
                      <a:avLst/>
                    </a:prstGeom>
                    <a:noFill/>
                    <a:ln>
                      <a:noFill/>
                    </a:ln>
                  </pic:spPr>
                </pic:pic>
              </a:graphicData>
            </a:graphic>
          </wp:inline>
        </w:drawing>
      </w:r>
    </w:p>
    <w:p w14:paraId="31859D07">
      <w:pPr>
        <w:ind w:firstLine="480"/>
      </w:pPr>
      <w:r>
        <w:rPr>
          <w:rFonts w:hint="eastAsia"/>
        </w:rPr>
        <w:t>式中：NPP—自然植被净第一性生产力（t/hm</w:t>
      </w:r>
      <w:r>
        <w:rPr>
          <w:rFonts w:hint="eastAsia"/>
          <w:vertAlign w:val="superscript"/>
        </w:rPr>
        <w:t>2</w:t>
      </w:r>
      <w:r>
        <w:rPr>
          <w:rFonts w:hint="eastAsia"/>
        </w:rPr>
        <w:t>）</w:t>
      </w:r>
    </w:p>
    <w:p w14:paraId="3EFC8F3D">
      <w:pPr>
        <w:ind w:left="1680" w:leftChars="500" w:hanging="480" w:hangingChars="200"/>
      </w:pPr>
      <w:r>
        <w:rPr>
          <w:rFonts w:hint="eastAsia"/>
        </w:rPr>
        <w:t>r—年降水量（mm）；</w:t>
      </w:r>
    </w:p>
    <w:p w14:paraId="424CC31B">
      <w:pPr>
        <w:ind w:left="1680" w:leftChars="500" w:hanging="480" w:hangingChars="200"/>
      </w:pPr>
      <w:r>
        <w:rPr>
          <w:rFonts w:hint="eastAsia"/>
        </w:rPr>
        <w:t>RDI—辐射干燥度；</w:t>
      </w:r>
    </w:p>
    <w:p w14:paraId="32E88C4C">
      <w:pPr>
        <w:ind w:left="1680" w:leftChars="500" w:hanging="480" w:hangingChars="200"/>
      </w:pPr>
      <w:r>
        <w:rPr>
          <w:rFonts w:hint="eastAsia"/>
        </w:rPr>
        <w:t>PER—可能蒸散率；</w:t>
      </w:r>
    </w:p>
    <w:p w14:paraId="362F16A9">
      <w:pPr>
        <w:ind w:left="1680" w:leftChars="500" w:hanging="480" w:hangingChars="200"/>
      </w:pPr>
      <w:r>
        <w:rPr>
          <w:rFonts w:hint="eastAsia"/>
        </w:rPr>
        <w:t>BT—年平均生物温度（℃）；</w:t>
      </w:r>
    </w:p>
    <w:p w14:paraId="0E6A8B90">
      <w:pPr>
        <w:ind w:firstLine="480"/>
      </w:pPr>
      <w:r>
        <w:t>③景观格局评价方法</w:t>
      </w:r>
    </w:p>
    <w:p w14:paraId="3D31670A">
      <w:pPr>
        <w:ind w:firstLine="480"/>
      </w:pPr>
      <w:r>
        <w:rPr>
          <w:rFonts w:hint="eastAsia"/>
        </w:rPr>
        <w:t>1）斑块类型面积（CA）：</w:t>
      </w:r>
    </w:p>
    <w:p w14:paraId="709B21E2">
      <w:pPr>
        <w:pStyle w:val="178"/>
      </w:pPr>
      <w:r>
        <w:drawing>
          <wp:inline distT="0" distB="0" distL="114300" distR="114300">
            <wp:extent cx="1047750" cy="638175"/>
            <wp:effectExtent l="0" t="0" r="0" b="9525"/>
            <wp:docPr id="2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5"/>
                    <pic:cNvPicPr>
                      <a:picLocks noChangeAspect="1"/>
                    </pic:cNvPicPr>
                  </pic:nvPicPr>
                  <pic:blipFill>
                    <a:blip r:embed="rId72"/>
                    <a:stretch>
                      <a:fillRect/>
                    </a:stretch>
                  </pic:blipFill>
                  <pic:spPr>
                    <a:xfrm>
                      <a:off x="0" y="0"/>
                      <a:ext cx="1047750" cy="638175"/>
                    </a:xfrm>
                    <a:prstGeom prst="rect">
                      <a:avLst/>
                    </a:prstGeom>
                    <a:noFill/>
                    <a:ln>
                      <a:noFill/>
                    </a:ln>
                  </pic:spPr>
                </pic:pic>
              </a:graphicData>
            </a:graphic>
          </wp:inline>
        </w:drawing>
      </w:r>
    </w:p>
    <w:p w14:paraId="3FDB2FCF">
      <w:pPr>
        <w:ind w:firstLine="480"/>
      </w:pPr>
      <w:r>
        <w:rPr>
          <w:rFonts w:hint="eastAsia"/>
        </w:rPr>
        <w:t>式中，a</w:t>
      </w:r>
      <w:r>
        <w:rPr>
          <w:rFonts w:hint="eastAsia"/>
          <w:vertAlign w:val="subscript"/>
        </w:rPr>
        <w:t>ij</w:t>
      </w:r>
      <w:r>
        <w:rPr>
          <w:rFonts w:hint="eastAsia"/>
        </w:rPr>
        <w:t>代表第i类景观类型中第j个斑块的面积（m</w:t>
      </w:r>
      <w:r>
        <w:rPr>
          <w:rFonts w:hint="eastAsia"/>
          <w:vertAlign w:val="superscript"/>
        </w:rPr>
        <w:t>2</w:t>
      </w:r>
      <w:r>
        <w:rPr>
          <w:rFonts w:hint="eastAsia"/>
        </w:rPr>
        <w:t>）；即某斑块类型i的总面积，CA等于某一斑块类型i中所有斑块的面积之和。</w:t>
      </w:r>
    </w:p>
    <w:p w14:paraId="70887D32">
      <w:pPr>
        <w:ind w:firstLine="480"/>
      </w:pPr>
      <w:r>
        <w:rPr>
          <w:rFonts w:hint="eastAsia"/>
        </w:rPr>
        <w:t>2）斑块所占景观面积比例（PLAND）：</w:t>
      </w:r>
    </w:p>
    <w:p w14:paraId="48357368">
      <w:pPr>
        <w:pStyle w:val="178"/>
      </w:pPr>
      <w:r>
        <w:drawing>
          <wp:inline distT="0" distB="0" distL="114300" distR="114300">
            <wp:extent cx="1666875" cy="552450"/>
            <wp:effectExtent l="0" t="0" r="9525" b="0"/>
            <wp:docPr id="3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6"/>
                    <pic:cNvPicPr>
                      <a:picLocks noChangeAspect="1"/>
                    </pic:cNvPicPr>
                  </pic:nvPicPr>
                  <pic:blipFill>
                    <a:blip r:embed="rId73"/>
                    <a:stretch>
                      <a:fillRect/>
                    </a:stretch>
                  </pic:blipFill>
                  <pic:spPr>
                    <a:xfrm>
                      <a:off x="0" y="0"/>
                      <a:ext cx="1666875" cy="552450"/>
                    </a:xfrm>
                    <a:prstGeom prst="rect">
                      <a:avLst/>
                    </a:prstGeom>
                    <a:noFill/>
                    <a:ln>
                      <a:noFill/>
                    </a:ln>
                  </pic:spPr>
                </pic:pic>
              </a:graphicData>
            </a:graphic>
          </wp:inline>
        </w:drawing>
      </w:r>
    </w:p>
    <w:p w14:paraId="16228BDB">
      <w:pPr>
        <w:ind w:firstLine="480"/>
      </w:pPr>
      <w:r>
        <w:rPr>
          <w:rFonts w:hint="eastAsia"/>
        </w:rPr>
        <w:t>式中，a</w:t>
      </w:r>
      <w:r>
        <w:rPr>
          <w:rFonts w:hint="eastAsia"/>
          <w:vertAlign w:val="subscript"/>
        </w:rPr>
        <w:t>ij</w:t>
      </w:r>
      <w:r>
        <w:rPr>
          <w:rFonts w:hint="eastAsia"/>
        </w:rPr>
        <w:t>代表第i类景观类型中第j个斑块的面积（m</w:t>
      </w:r>
      <w:r>
        <w:rPr>
          <w:rFonts w:hint="eastAsia"/>
          <w:vertAlign w:val="superscript"/>
        </w:rPr>
        <w:t>2</w:t>
      </w:r>
      <w:r>
        <w:rPr>
          <w:rFonts w:hint="eastAsia"/>
        </w:rPr>
        <w:t>）；A为景观的总面积（m</w:t>
      </w:r>
      <w:r>
        <w:rPr>
          <w:rFonts w:hint="eastAsia"/>
          <w:vertAlign w:val="superscript"/>
        </w:rPr>
        <w:t>2</w:t>
      </w:r>
      <w:r>
        <w:rPr>
          <w:rFonts w:hint="eastAsia"/>
        </w:rPr>
        <w:t>）。PLAND等于某一斑块类型的总面积占整个景观面积的百分比。斑块面积百分比值接近于零时，表明景观中该斑块类型减少；比值等于100时则表示整个景观中只由一类斑块构成。</w:t>
      </w:r>
    </w:p>
    <w:p w14:paraId="4D1A4461">
      <w:pPr>
        <w:ind w:firstLine="480"/>
      </w:pPr>
      <w:r>
        <w:rPr>
          <w:rFonts w:hint="eastAsia"/>
        </w:rPr>
        <w:t>3）最大斑块指数（LPI）：</w:t>
      </w:r>
    </w:p>
    <w:p w14:paraId="5E86268E">
      <w:pPr>
        <w:pStyle w:val="178"/>
      </w:pPr>
      <w:r>
        <w:drawing>
          <wp:inline distT="0" distB="0" distL="114300" distR="114300">
            <wp:extent cx="2314575" cy="438150"/>
            <wp:effectExtent l="0" t="0" r="9525" b="0"/>
            <wp:docPr id="3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7"/>
                    <pic:cNvPicPr>
                      <a:picLocks noChangeAspect="1"/>
                    </pic:cNvPicPr>
                  </pic:nvPicPr>
                  <pic:blipFill>
                    <a:blip r:embed="rId74"/>
                    <a:stretch>
                      <a:fillRect/>
                    </a:stretch>
                  </pic:blipFill>
                  <pic:spPr>
                    <a:xfrm>
                      <a:off x="0" y="0"/>
                      <a:ext cx="2314575" cy="438150"/>
                    </a:xfrm>
                    <a:prstGeom prst="rect">
                      <a:avLst/>
                    </a:prstGeom>
                    <a:noFill/>
                    <a:ln>
                      <a:noFill/>
                    </a:ln>
                  </pic:spPr>
                </pic:pic>
              </a:graphicData>
            </a:graphic>
          </wp:inline>
        </w:drawing>
      </w:r>
    </w:p>
    <w:p w14:paraId="06359C19">
      <w:pPr>
        <w:ind w:firstLine="480"/>
      </w:pPr>
      <w:r>
        <w:rPr>
          <w:rFonts w:hint="eastAsia"/>
        </w:rPr>
        <w:t>式中，a</w:t>
      </w:r>
      <w:r>
        <w:rPr>
          <w:rFonts w:hint="eastAsia"/>
          <w:vertAlign w:val="subscript"/>
        </w:rPr>
        <w:t>max</w:t>
      </w:r>
      <w:r>
        <w:rPr>
          <w:rFonts w:hint="eastAsia"/>
        </w:rPr>
        <w:t>指景观或某一种斑块类型中最大斑块的面积（m</w:t>
      </w:r>
      <w:r>
        <w:rPr>
          <w:rFonts w:hint="eastAsia"/>
          <w:vertAlign w:val="superscript"/>
        </w:rPr>
        <w:t>2</w:t>
      </w:r>
      <w:r>
        <w:rPr>
          <w:rFonts w:hint="eastAsia"/>
        </w:rPr>
        <w:t>），A为景观的总面积（m</w:t>
      </w:r>
      <w:r>
        <w:rPr>
          <w:rFonts w:hint="eastAsia"/>
          <w:vertAlign w:val="superscript"/>
        </w:rPr>
        <w:t>2</w:t>
      </w:r>
      <w:r>
        <w:rPr>
          <w:rFonts w:hint="eastAsia"/>
        </w:rPr>
        <w:t>）。LPI等于某一斑块类型中的最大斑块占据整个景观面积的比例。该指数值的大小可以帮助确定景观中的优势斑块类型，间接反映人类活动干扰的方向和大小。</w:t>
      </w:r>
    </w:p>
    <w:p w14:paraId="07FCC5FF">
      <w:pPr>
        <w:ind w:firstLine="480"/>
      </w:pPr>
      <w:r>
        <w:rPr>
          <w:rFonts w:hint="eastAsia"/>
        </w:rPr>
        <w:t>4）散布与并列指数（IJI）：</w:t>
      </w:r>
    </w:p>
    <w:p w14:paraId="2B1E33A4">
      <w:pPr>
        <w:pStyle w:val="178"/>
      </w:pPr>
      <w:r>
        <w:drawing>
          <wp:inline distT="0" distB="0" distL="114300" distR="114300">
            <wp:extent cx="2971800" cy="590550"/>
            <wp:effectExtent l="0" t="0" r="0" b="0"/>
            <wp:docPr id="3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8"/>
                    <pic:cNvPicPr>
                      <a:picLocks noChangeAspect="1"/>
                    </pic:cNvPicPr>
                  </pic:nvPicPr>
                  <pic:blipFill>
                    <a:blip r:embed="rId75"/>
                    <a:stretch>
                      <a:fillRect/>
                    </a:stretch>
                  </pic:blipFill>
                  <pic:spPr>
                    <a:xfrm>
                      <a:off x="0" y="0"/>
                      <a:ext cx="2971800" cy="590550"/>
                    </a:xfrm>
                    <a:prstGeom prst="rect">
                      <a:avLst/>
                    </a:prstGeom>
                    <a:noFill/>
                    <a:ln>
                      <a:noFill/>
                    </a:ln>
                  </pic:spPr>
                </pic:pic>
              </a:graphicData>
            </a:graphic>
          </wp:inline>
        </w:drawing>
      </w:r>
    </w:p>
    <w:p w14:paraId="256AC2B1">
      <w:pPr>
        <w:ind w:firstLine="480"/>
      </w:pPr>
      <w:r>
        <w:rPr>
          <w:rFonts w:hint="eastAsia"/>
        </w:rPr>
        <w:t>式中，e</w:t>
      </w:r>
      <w:r>
        <w:rPr>
          <w:rFonts w:hint="eastAsia"/>
          <w:vertAlign w:val="subscript"/>
        </w:rPr>
        <w:t>ik</w:t>
      </w:r>
      <w:r>
        <w:rPr>
          <w:rFonts w:hint="eastAsia"/>
        </w:rPr>
        <w:t>表示景观斑块类型i和k之间的边缘总长度，其值越小，代表与该景观类型相邻的其他类型越少。</w:t>
      </w:r>
    </w:p>
    <w:p w14:paraId="02290CDB">
      <w:pPr>
        <w:ind w:firstLine="480"/>
      </w:pPr>
      <w:r>
        <w:rPr>
          <w:rFonts w:hint="eastAsia"/>
        </w:rPr>
        <w:t>5）香农多样性指数（SHDI）：</w:t>
      </w:r>
    </w:p>
    <w:p w14:paraId="5D59E681">
      <w:pPr>
        <w:pStyle w:val="178"/>
      </w:pPr>
      <w:r>
        <w:drawing>
          <wp:inline distT="0" distB="0" distL="114300" distR="114300">
            <wp:extent cx="1666875" cy="628650"/>
            <wp:effectExtent l="0" t="0" r="9525" b="0"/>
            <wp:docPr id="4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9"/>
                    <pic:cNvPicPr>
                      <a:picLocks noChangeAspect="1"/>
                    </pic:cNvPicPr>
                  </pic:nvPicPr>
                  <pic:blipFill>
                    <a:blip r:embed="rId76"/>
                    <a:stretch>
                      <a:fillRect/>
                    </a:stretch>
                  </pic:blipFill>
                  <pic:spPr>
                    <a:xfrm>
                      <a:off x="0" y="0"/>
                      <a:ext cx="1666875" cy="628650"/>
                    </a:xfrm>
                    <a:prstGeom prst="rect">
                      <a:avLst/>
                    </a:prstGeom>
                    <a:noFill/>
                    <a:ln>
                      <a:noFill/>
                    </a:ln>
                  </pic:spPr>
                </pic:pic>
              </a:graphicData>
            </a:graphic>
          </wp:inline>
        </w:drawing>
      </w:r>
    </w:p>
    <w:p w14:paraId="1CF322F1">
      <w:pPr>
        <w:ind w:firstLine="480"/>
      </w:pPr>
      <w:r>
        <w:rPr>
          <w:rFonts w:hint="eastAsia"/>
        </w:rPr>
        <w:t>式中，p</w:t>
      </w:r>
      <w:r>
        <w:rPr>
          <w:rFonts w:hint="eastAsia"/>
          <w:vertAlign w:val="subscript"/>
        </w:rPr>
        <w:t>i</w:t>
      </w:r>
      <w:r>
        <w:rPr>
          <w:rFonts w:hint="eastAsia"/>
        </w:rPr>
        <w:t>代表i景观类型斑块所占面积百分比。SHDI在景观级别上等于各斑块类型的面积比乘以其值的自然对数之后的和的负值。SHDI=0表明整个景观仅由一个斑块组成；SHDI增大，说明斑块类型增加或各斑块类型在景观中呈均衡化趋势分布。</w:t>
      </w:r>
    </w:p>
    <w:p w14:paraId="03AFC794">
      <w:pPr>
        <w:ind w:firstLine="480"/>
      </w:pPr>
      <w:r>
        <w:rPr>
          <w:rFonts w:hint="eastAsia"/>
        </w:rPr>
        <w:t>④生境评价方法</w:t>
      </w:r>
    </w:p>
    <w:p w14:paraId="22E2F992">
      <w:pPr>
        <w:ind w:firstLine="480"/>
      </w:pPr>
      <w:r>
        <w:rPr>
          <w:rFonts w:hint="eastAsia"/>
        </w:rPr>
        <w:t>应用《环境影响评价技术导则 生态影响》（HJ19-2022）附录C中推荐的生态现状评价方法，评价重要物种适宜生境分布、生境斑块的连通性及生境破碎化程度。</w:t>
      </w:r>
    </w:p>
    <w:p w14:paraId="769047A7">
      <w:pPr>
        <w:ind w:firstLine="480"/>
      </w:pPr>
      <w:r>
        <w:rPr>
          <w:rFonts w:hint="eastAsia"/>
        </w:rPr>
        <w:t>1）重要物种适宜生境分布</w:t>
      </w:r>
    </w:p>
    <w:p w14:paraId="7AD15C40">
      <w:pPr>
        <w:ind w:firstLine="480"/>
      </w:pPr>
      <w:r>
        <w:rPr>
          <w:rFonts w:hint="eastAsia"/>
        </w:rPr>
        <w:t>使用MaxEnt模型模拟生态现状中重要物种适宜生境分布。</w:t>
      </w:r>
    </w:p>
    <w:p w14:paraId="6EA4B3D9">
      <w:pPr>
        <w:ind w:firstLine="480"/>
      </w:pPr>
      <w:r>
        <w:rPr>
          <w:rFonts w:hint="eastAsia"/>
        </w:rPr>
        <w:t>2）生境斑块的连通性</w:t>
      </w:r>
    </w:p>
    <w:p w14:paraId="0227BDFB">
      <w:pPr>
        <w:ind w:firstLine="480"/>
      </w:pPr>
      <w:r>
        <w:rPr>
          <w:rFonts w:hint="eastAsia"/>
        </w:rPr>
        <w:t>采用FRAGSTATS分析软件的蔓延度指数（CONTAG）来评价生境斑块的连通性。</w:t>
      </w:r>
    </w:p>
    <w:p w14:paraId="34C43CA1">
      <w:pPr>
        <w:pStyle w:val="178"/>
      </w:pPr>
      <w:r>
        <w:drawing>
          <wp:inline distT="0" distB="0" distL="114300" distR="114300">
            <wp:extent cx="5114925" cy="1114425"/>
            <wp:effectExtent l="0" t="0" r="9525" b="9525"/>
            <wp:docPr id="4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0"/>
                    <pic:cNvPicPr>
                      <a:picLocks noChangeAspect="1"/>
                    </pic:cNvPicPr>
                  </pic:nvPicPr>
                  <pic:blipFill>
                    <a:blip r:embed="rId77"/>
                    <a:stretch>
                      <a:fillRect/>
                    </a:stretch>
                  </pic:blipFill>
                  <pic:spPr>
                    <a:xfrm>
                      <a:off x="0" y="0"/>
                      <a:ext cx="5114925" cy="1114425"/>
                    </a:xfrm>
                    <a:prstGeom prst="rect">
                      <a:avLst/>
                    </a:prstGeom>
                    <a:noFill/>
                    <a:ln>
                      <a:noFill/>
                    </a:ln>
                  </pic:spPr>
                </pic:pic>
              </a:graphicData>
            </a:graphic>
          </wp:inline>
        </w:drawing>
      </w:r>
    </w:p>
    <w:p w14:paraId="51916B89">
      <w:pPr>
        <w:ind w:firstLine="480"/>
      </w:pPr>
      <w:r>
        <w:rPr>
          <w:rFonts w:hint="eastAsia"/>
        </w:rPr>
        <w:t>式中，p</w:t>
      </w:r>
      <w:r>
        <w:rPr>
          <w:rFonts w:hint="eastAsia"/>
          <w:vertAlign w:val="subscript"/>
        </w:rPr>
        <w:t>i</w:t>
      </w:r>
      <w:r>
        <w:rPr>
          <w:rFonts w:hint="eastAsia"/>
        </w:rPr>
        <w:t>代表i类型斑块所占面积百分比；g</w:t>
      </w:r>
      <w:r>
        <w:rPr>
          <w:rFonts w:hint="eastAsia"/>
          <w:vertAlign w:val="subscript"/>
        </w:rPr>
        <w:t>ik</w:t>
      </w:r>
      <w:r>
        <w:rPr>
          <w:rFonts w:hint="eastAsia"/>
        </w:rPr>
        <w:t>代表i类型斑块和k类型斑块毗邻的数目；m代表景观中的斑块类型总数目。理论上，CONTAG值较小时表明景观中存在许多小斑块；趋于100时表明景观中有连通度极高的优势斑块类型存在。</w:t>
      </w:r>
    </w:p>
    <w:p w14:paraId="03BB48B3">
      <w:pPr>
        <w:ind w:firstLine="480"/>
      </w:pPr>
      <w:r>
        <w:rPr>
          <w:rFonts w:hint="eastAsia"/>
        </w:rPr>
        <w:t>3）生境破碎化程度</w:t>
      </w:r>
    </w:p>
    <w:p w14:paraId="0E7C577C">
      <w:pPr>
        <w:ind w:firstLine="480"/>
      </w:pPr>
      <w:r>
        <w:rPr>
          <w:rFonts w:hint="eastAsia"/>
        </w:rPr>
        <w:t>采用FRAGSTATS分析软件的聚集度指数（AI）来评价生境破碎化程度。</w:t>
      </w:r>
    </w:p>
    <w:p w14:paraId="06D0200D">
      <w:pPr>
        <w:pStyle w:val="178"/>
      </w:pPr>
      <w:r>
        <w:drawing>
          <wp:inline distT="0" distB="0" distL="114300" distR="114300">
            <wp:extent cx="1457325" cy="600075"/>
            <wp:effectExtent l="0" t="0" r="9525" b="9525"/>
            <wp:docPr id="4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1"/>
                    <pic:cNvPicPr>
                      <a:picLocks noChangeAspect="1"/>
                    </pic:cNvPicPr>
                  </pic:nvPicPr>
                  <pic:blipFill>
                    <a:blip r:embed="rId78"/>
                    <a:stretch>
                      <a:fillRect/>
                    </a:stretch>
                  </pic:blipFill>
                  <pic:spPr>
                    <a:xfrm>
                      <a:off x="0" y="0"/>
                      <a:ext cx="1457325" cy="600075"/>
                    </a:xfrm>
                    <a:prstGeom prst="rect">
                      <a:avLst/>
                    </a:prstGeom>
                    <a:noFill/>
                    <a:ln>
                      <a:noFill/>
                    </a:ln>
                  </pic:spPr>
                </pic:pic>
              </a:graphicData>
            </a:graphic>
          </wp:inline>
        </w:drawing>
      </w:r>
    </w:p>
    <w:p w14:paraId="399D0A77">
      <w:pPr>
        <w:ind w:firstLine="480"/>
      </w:pPr>
      <w:r>
        <w:rPr>
          <w:rFonts w:hint="eastAsia"/>
        </w:rPr>
        <w:t>式中，g</w:t>
      </w:r>
      <w:r>
        <w:rPr>
          <w:rFonts w:hint="eastAsia"/>
          <w:vertAlign w:val="subscript"/>
        </w:rPr>
        <w:t>ik</w:t>
      </w:r>
      <w:r>
        <w:rPr>
          <w:rFonts w:hint="eastAsia"/>
        </w:rPr>
        <w:t>为斑块类型i的同类相邻的像元数；maxg</w:t>
      </w:r>
      <w:r>
        <w:rPr>
          <w:rFonts w:hint="eastAsia"/>
          <w:vertAlign w:val="subscript"/>
        </w:rPr>
        <w:t>ij</w:t>
      </w:r>
      <w:r>
        <w:rPr>
          <w:rFonts w:hint="eastAsia"/>
        </w:rPr>
        <w:t>为斑块类型i的同类相邻的最大邻接数。AI反映同类型斑块的聚集程度，Al值越大，表示景观由少数团聚的大斑块组成；AI值越小，则说明景观由许多小斑块构成。当斑块类型高度聚集形成1个单一且紧密的斑块，AI等于100。</w:t>
      </w:r>
    </w:p>
    <w:p w14:paraId="39BC2BEC">
      <w:pPr>
        <w:pStyle w:val="178"/>
      </w:pPr>
      <w:r>
        <w:rPr>
          <w:rFonts w:hint="eastAsia"/>
        </w:rPr>
        <w:drawing>
          <wp:inline distT="0" distB="0" distL="114300" distR="114300">
            <wp:extent cx="4886325" cy="4070985"/>
            <wp:effectExtent l="19050" t="0" r="8990" b="0"/>
            <wp:docPr id="46" name="图片 6" descr="遥感影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6" descr="遥感影像"/>
                    <pic:cNvPicPr>
                      <a:picLocks noChangeAspect="1"/>
                    </pic:cNvPicPr>
                  </pic:nvPicPr>
                  <pic:blipFill>
                    <a:blip r:embed="rId34"/>
                    <a:srcRect l="8043" r="7044"/>
                    <a:stretch>
                      <a:fillRect/>
                    </a:stretch>
                  </pic:blipFill>
                  <pic:spPr>
                    <a:xfrm>
                      <a:off x="0" y="0"/>
                      <a:ext cx="4886860" cy="4071257"/>
                    </a:xfrm>
                    <a:prstGeom prst="rect">
                      <a:avLst/>
                    </a:prstGeom>
                  </pic:spPr>
                </pic:pic>
              </a:graphicData>
            </a:graphic>
          </wp:inline>
        </w:drawing>
      </w:r>
    </w:p>
    <w:p w14:paraId="02F6D1DC">
      <w:pPr>
        <w:pStyle w:val="178"/>
      </w:pPr>
      <w:r>
        <w:rPr>
          <w:rFonts w:hint="eastAsia"/>
        </w:rPr>
        <w:t>图4.3-2  遥感影像图</w:t>
      </w:r>
    </w:p>
    <w:p w14:paraId="3253FAC8">
      <w:pPr>
        <w:pStyle w:val="4"/>
        <w:spacing w:before="180" w:after="120"/>
        <w:rPr>
          <w:rFonts w:hAnsi="Times New Roman" w:cs="Times New Roman"/>
        </w:rPr>
      </w:pPr>
      <w:bookmarkStart w:id="316" w:name="_Toc8733"/>
      <w:r>
        <w:rPr>
          <w:rFonts w:hAnsi="Times New Roman" w:cs="Times New Roman"/>
        </w:rPr>
        <w:t>土地利用现状</w:t>
      </w:r>
    </w:p>
    <w:p w14:paraId="02F3726B">
      <w:pPr>
        <w:ind w:firstLine="480"/>
      </w:pPr>
      <w:r>
        <w:rPr>
          <w:rFonts w:hint="eastAsia"/>
        </w:rPr>
        <w:t>根据遥感解译和现场调查，参考《土地利用现状分类》（GB/T 21010-2017）的分类体系，并结合第三次全国土地调查情况，将评价区的土地利用类型分为6大类，即耕地、林地、草地、交通运输用地、水域及水利设施用地和其他土地</w:t>
      </w:r>
      <w:r>
        <w:t>。</w:t>
      </w:r>
      <w:r>
        <w:rPr>
          <w:rFonts w:hint="eastAsia"/>
        </w:rPr>
        <w:t>将本项目影响评价区范围与国土矢量进行叠加，统计出本项目影响评价区内土地利用类型情况，土地利用类型见表4.3-1，土地利用类型图见图4.3-3。</w:t>
      </w:r>
    </w:p>
    <w:p w14:paraId="3AA2D354">
      <w:pPr>
        <w:pStyle w:val="178"/>
      </w:pPr>
      <w:r>
        <w:rPr>
          <w:rFonts w:hint="eastAsia"/>
        </w:rPr>
        <w:t>表4.3-1  评价区内土地利用类型统计</w:t>
      </w:r>
    </w:p>
    <w:tbl>
      <w:tblPr>
        <w:tblStyle w:val="36"/>
        <w:tblW w:w="5000" w:type="pct"/>
        <w:jc w:val="center"/>
        <w:tblBorders>
          <w:top w:val="single" w:color="auto" w:sz="12" w:space="0"/>
          <w:left w:val="single" w:color="auto" w:sz="12" w:space="0"/>
          <w:bottom w:val="single" w:color="auto" w:sz="12" w:space="0"/>
          <w:right w:val="single" w:color="auto" w:sz="12" w:space="0"/>
          <w:insideH w:val="single" w:color="000000" w:sz="4" w:space="0"/>
          <w:insideV w:val="single" w:color="000000" w:sz="6" w:space="0"/>
        </w:tblBorders>
        <w:tblLayout w:type="autofit"/>
        <w:tblCellMar>
          <w:top w:w="0" w:type="dxa"/>
          <w:left w:w="108" w:type="dxa"/>
          <w:bottom w:w="0" w:type="dxa"/>
          <w:right w:w="108" w:type="dxa"/>
        </w:tblCellMar>
      </w:tblPr>
      <w:tblGrid>
        <w:gridCol w:w="638"/>
        <w:gridCol w:w="2106"/>
        <w:gridCol w:w="1370"/>
        <w:gridCol w:w="1667"/>
        <w:gridCol w:w="1420"/>
        <w:gridCol w:w="1271"/>
      </w:tblGrid>
      <w:tr w14:paraId="7DAC6671">
        <w:tblPrEx>
          <w:tblBorders>
            <w:top w:val="single" w:color="auto" w:sz="12" w:space="0"/>
            <w:left w:val="single" w:color="auto" w:sz="12" w:space="0"/>
            <w:bottom w:val="single" w:color="auto" w:sz="12" w:space="0"/>
            <w:right w:val="single" w:color="auto" w:sz="12" w:space="0"/>
            <w:insideH w:val="single" w:color="000000" w:sz="4" w:space="0"/>
            <w:insideV w:val="single" w:color="000000" w:sz="6" w:space="0"/>
          </w:tblBorders>
          <w:tblCellMar>
            <w:top w:w="0" w:type="dxa"/>
            <w:left w:w="108" w:type="dxa"/>
            <w:bottom w:w="0" w:type="dxa"/>
            <w:right w:w="108" w:type="dxa"/>
          </w:tblCellMar>
        </w:tblPrEx>
        <w:trPr>
          <w:trHeight w:val="340" w:hRule="atLeast"/>
          <w:jc w:val="center"/>
        </w:trPr>
        <w:tc>
          <w:tcPr>
            <w:tcW w:w="401" w:type="pct"/>
            <w:vMerge w:val="restart"/>
            <w:noWrap/>
            <w:vAlign w:val="center"/>
          </w:tcPr>
          <w:p w14:paraId="34B8DDC3">
            <w:pPr>
              <w:pStyle w:val="179"/>
              <w:rPr>
                <w:b/>
              </w:rPr>
            </w:pPr>
            <w:r>
              <w:rPr>
                <w:b/>
              </w:rPr>
              <w:t>序号</w:t>
            </w:r>
          </w:p>
        </w:tc>
        <w:tc>
          <w:tcPr>
            <w:tcW w:w="1064" w:type="pct"/>
            <w:vMerge w:val="restart"/>
            <w:noWrap/>
            <w:vAlign w:val="center"/>
          </w:tcPr>
          <w:p w14:paraId="6F180C55">
            <w:pPr>
              <w:pStyle w:val="179"/>
              <w:rPr>
                <w:b/>
              </w:rPr>
            </w:pPr>
            <w:r>
              <w:rPr>
                <w:b/>
              </w:rPr>
              <w:t>一级地类</w:t>
            </w:r>
          </w:p>
        </w:tc>
        <w:tc>
          <w:tcPr>
            <w:tcW w:w="1953" w:type="pct"/>
            <w:gridSpan w:val="2"/>
            <w:noWrap/>
            <w:vAlign w:val="center"/>
          </w:tcPr>
          <w:p w14:paraId="40BD71BA">
            <w:pPr>
              <w:pStyle w:val="179"/>
              <w:rPr>
                <w:b/>
              </w:rPr>
            </w:pPr>
            <w:r>
              <w:rPr>
                <w:b/>
              </w:rPr>
              <w:t>二级地类</w:t>
            </w:r>
          </w:p>
        </w:tc>
        <w:tc>
          <w:tcPr>
            <w:tcW w:w="840" w:type="pct"/>
            <w:vMerge w:val="restart"/>
            <w:noWrap/>
            <w:vAlign w:val="center"/>
          </w:tcPr>
          <w:p w14:paraId="59FC9749">
            <w:pPr>
              <w:pStyle w:val="179"/>
              <w:rPr>
                <w:b/>
              </w:rPr>
            </w:pPr>
            <w:r>
              <w:rPr>
                <w:b/>
              </w:rPr>
              <w:t>面积（hm</w:t>
            </w:r>
            <w:r>
              <w:rPr>
                <w:b/>
                <w:vertAlign w:val="superscript"/>
              </w:rPr>
              <w:t>2</w:t>
            </w:r>
            <w:r>
              <w:rPr>
                <w:b/>
              </w:rPr>
              <w:t>）</w:t>
            </w:r>
          </w:p>
        </w:tc>
        <w:tc>
          <w:tcPr>
            <w:tcW w:w="740" w:type="pct"/>
            <w:vMerge w:val="restart"/>
            <w:noWrap/>
            <w:vAlign w:val="center"/>
          </w:tcPr>
          <w:p w14:paraId="1E7F7E13">
            <w:pPr>
              <w:pStyle w:val="179"/>
              <w:rPr>
                <w:b/>
              </w:rPr>
            </w:pPr>
            <w:r>
              <w:rPr>
                <w:b/>
              </w:rPr>
              <w:t>占比（%）</w:t>
            </w:r>
          </w:p>
        </w:tc>
      </w:tr>
      <w:tr w14:paraId="0382FBCE">
        <w:tblPrEx>
          <w:tblBorders>
            <w:top w:val="single" w:color="auto" w:sz="12" w:space="0"/>
            <w:left w:val="single" w:color="auto" w:sz="12" w:space="0"/>
            <w:bottom w:val="single" w:color="auto" w:sz="12" w:space="0"/>
            <w:right w:val="single" w:color="auto" w:sz="12" w:space="0"/>
            <w:insideH w:val="single" w:color="000000" w:sz="4" w:space="0"/>
            <w:insideV w:val="single" w:color="000000" w:sz="6" w:space="0"/>
          </w:tblBorders>
          <w:tblCellMar>
            <w:top w:w="0" w:type="dxa"/>
            <w:left w:w="108" w:type="dxa"/>
            <w:bottom w:w="0" w:type="dxa"/>
            <w:right w:w="108" w:type="dxa"/>
          </w:tblCellMar>
        </w:tblPrEx>
        <w:trPr>
          <w:trHeight w:val="340" w:hRule="atLeast"/>
          <w:jc w:val="center"/>
        </w:trPr>
        <w:tc>
          <w:tcPr>
            <w:tcW w:w="401" w:type="pct"/>
            <w:vMerge w:val="continue"/>
            <w:noWrap/>
            <w:vAlign w:val="center"/>
          </w:tcPr>
          <w:p w14:paraId="3C516134">
            <w:pPr>
              <w:pStyle w:val="179"/>
              <w:rPr>
                <w:b/>
              </w:rPr>
            </w:pPr>
          </w:p>
        </w:tc>
        <w:tc>
          <w:tcPr>
            <w:tcW w:w="1064" w:type="pct"/>
            <w:vMerge w:val="continue"/>
            <w:noWrap/>
            <w:vAlign w:val="center"/>
          </w:tcPr>
          <w:p w14:paraId="0C0831F7">
            <w:pPr>
              <w:pStyle w:val="179"/>
              <w:rPr>
                <w:b/>
              </w:rPr>
            </w:pPr>
          </w:p>
        </w:tc>
        <w:tc>
          <w:tcPr>
            <w:tcW w:w="900" w:type="pct"/>
            <w:noWrap/>
            <w:vAlign w:val="center"/>
          </w:tcPr>
          <w:p w14:paraId="7F69E2D0">
            <w:pPr>
              <w:pStyle w:val="179"/>
              <w:rPr>
                <w:b/>
              </w:rPr>
            </w:pPr>
            <w:r>
              <w:rPr>
                <w:b/>
              </w:rPr>
              <w:t>类别编码</w:t>
            </w:r>
          </w:p>
        </w:tc>
        <w:tc>
          <w:tcPr>
            <w:tcW w:w="1052" w:type="pct"/>
            <w:noWrap/>
            <w:vAlign w:val="center"/>
          </w:tcPr>
          <w:p w14:paraId="0F801359">
            <w:pPr>
              <w:pStyle w:val="179"/>
              <w:rPr>
                <w:b/>
              </w:rPr>
            </w:pPr>
            <w:r>
              <w:rPr>
                <w:b/>
              </w:rPr>
              <w:t>类别名称</w:t>
            </w:r>
          </w:p>
        </w:tc>
        <w:tc>
          <w:tcPr>
            <w:tcW w:w="840" w:type="pct"/>
            <w:vMerge w:val="continue"/>
            <w:noWrap/>
            <w:vAlign w:val="center"/>
          </w:tcPr>
          <w:p w14:paraId="149E7DC0">
            <w:pPr>
              <w:pStyle w:val="179"/>
              <w:rPr>
                <w:b/>
              </w:rPr>
            </w:pPr>
          </w:p>
        </w:tc>
        <w:tc>
          <w:tcPr>
            <w:tcW w:w="740" w:type="pct"/>
            <w:vMerge w:val="continue"/>
            <w:noWrap/>
            <w:vAlign w:val="center"/>
          </w:tcPr>
          <w:p w14:paraId="27B6DB0C">
            <w:pPr>
              <w:pStyle w:val="179"/>
              <w:rPr>
                <w:b/>
              </w:rPr>
            </w:pPr>
          </w:p>
        </w:tc>
      </w:tr>
      <w:tr w14:paraId="2B6B9772">
        <w:tblPrEx>
          <w:tblBorders>
            <w:top w:val="single" w:color="auto" w:sz="12" w:space="0"/>
            <w:left w:val="single" w:color="auto" w:sz="12" w:space="0"/>
            <w:bottom w:val="single" w:color="auto" w:sz="12" w:space="0"/>
            <w:right w:val="single" w:color="auto" w:sz="12" w:space="0"/>
            <w:insideH w:val="single" w:color="000000" w:sz="4" w:space="0"/>
            <w:insideV w:val="single" w:color="000000" w:sz="6" w:space="0"/>
          </w:tblBorders>
          <w:tblCellMar>
            <w:top w:w="0" w:type="dxa"/>
            <w:left w:w="108" w:type="dxa"/>
            <w:bottom w:w="0" w:type="dxa"/>
            <w:right w:w="108" w:type="dxa"/>
          </w:tblCellMar>
        </w:tblPrEx>
        <w:trPr>
          <w:trHeight w:val="340" w:hRule="atLeast"/>
          <w:jc w:val="center"/>
        </w:trPr>
        <w:tc>
          <w:tcPr>
            <w:tcW w:w="401" w:type="pct"/>
            <w:noWrap/>
            <w:vAlign w:val="center"/>
          </w:tcPr>
          <w:p w14:paraId="2AD83059">
            <w:pPr>
              <w:pStyle w:val="179"/>
            </w:pPr>
            <w:r>
              <w:rPr>
                <w:rFonts w:hint="eastAsia"/>
              </w:rPr>
              <w:t>1</w:t>
            </w:r>
          </w:p>
        </w:tc>
        <w:tc>
          <w:tcPr>
            <w:tcW w:w="1064" w:type="pct"/>
            <w:noWrap/>
            <w:vAlign w:val="center"/>
          </w:tcPr>
          <w:p w14:paraId="41F2504D">
            <w:pPr>
              <w:pStyle w:val="179"/>
            </w:pPr>
            <w:r>
              <w:rPr>
                <w:rFonts w:hint="eastAsia"/>
              </w:rPr>
              <w:t>耕地</w:t>
            </w:r>
          </w:p>
        </w:tc>
        <w:tc>
          <w:tcPr>
            <w:tcW w:w="900" w:type="pct"/>
            <w:noWrap/>
            <w:vAlign w:val="center"/>
          </w:tcPr>
          <w:p w14:paraId="0F1114F1">
            <w:pPr>
              <w:pStyle w:val="179"/>
            </w:pPr>
            <w:r>
              <w:rPr>
                <w:rFonts w:hint="eastAsia"/>
              </w:rPr>
              <w:t>0103</w:t>
            </w:r>
          </w:p>
        </w:tc>
        <w:tc>
          <w:tcPr>
            <w:tcW w:w="1052" w:type="pct"/>
            <w:noWrap/>
            <w:vAlign w:val="center"/>
          </w:tcPr>
          <w:p w14:paraId="4F725E6C">
            <w:pPr>
              <w:pStyle w:val="179"/>
            </w:pPr>
            <w:r>
              <w:rPr>
                <w:rFonts w:hint="eastAsia"/>
              </w:rPr>
              <w:t>旱地</w:t>
            </w:r>
          </w:p>
        </w:tc>
        <w:tc>
          <w:tcPr>
            <w:tcW w:w="840" w:type="pct"/>
            <w:shd w:val="clear" w:color="auto" w:fill="auto"/>
            <w:noWrap/>
            <w:vAlign w:val="bottom"/>
          </w:tcPr>
          <w:p w14:paraId="3BDDB7C4">
            <w:pPr>
              <w:pStyle w:val="179"/>
            </w:pPr>
            <w:r>
              <w:t>121.88</w:t>
            </w:r>
          </w:p>
        </w:tc>
        <w:tc>
          <w:tcPr>
            <w:tcW w:w="740" w:type="pct"/>
            <w:shd w:val="clear" w:color="auto" w:fill="auto"/>
            <w:noWrap/>
            <w:vAlign w:val="bottom"/>
          </w:tcPr>
          <w:p w14:paraId="49E855C9">
            <w:pPr>
              <w:pStyle w:val="179"/>
            </w:pPr>
            <w:r>
              <w:t>24.28</w:t>
            </w:r>
          </w:p>
        </w:tc>
      </w:tr>
      <w:tr w14:paraId="59951CC6">
        <w:tblPrEx>
          <w:tblBorders>
            <w:top w:val="single" w:color="auto" w:sz="12" w:space="0"/>
            <w:left w:val="single" w:color="auto" w:sz="12" w:space="0"/>
            <w:bottom w:val="single" w:color="auto" w:sz="12" w:space="0"/>
            <w:right w:val="single" w:color="auto" w:sz="12" w:space="0"/>
            <w:insideH w:val="single" w:color="000000" w:sz="4" w:space="0"/>
            <w:insideV w:val="single" w:color="000000" w:sz="6" w:space="0"/>
          </w:tblBorders>
          <w:tblCellMar>
            <w:top w:w="0" w:type="dxa"/>
            <w:left w:w="108" w:type="dxa"/>
            <w:bottom w:w="0" w:type="dxa"/>
            <w:right w:w="108" w:type="dxa"/>
          </w:tblCellMar>
        </w:tblPrEx>
        <w:trPr>
          <w:trHeight w:val="340" w:hRule="atLeast"/>
          <w:jc w:val="center"/>
        </w:trPr>
        <w:tc>
          <w:tcPr>
            <w:tcW w:w="401" w:type="pct"/>
            <w:noWrap/>
            <w:vAlign w:val="center"/>
          </w:tcPr>
          <w:p w14:paraId="440168C9">
            <w:pPr>
              <w:pStyle w:val="179"/>
            </w:pPr>
            <w:r>
              <w:rPr>
                <w:rFonts w:hint="eastAsia"/>
              </w:rPr>
              <w:t>2</w:t>
            </w:r>
          </w:p>
        </w:tc>
        <w:tc>
          <w:tcPr>
            <w:tcW w:w="1064" w:type="pct"/>
            <w:noWrap/>
            <w:vAlign w:val="center"/>
          </w:tcPr>
          <w:p w14:paraId="1F8AFCFD">
            <w:pPr>
              <w:pStyle w:val="179"/>
            </w:pPr>
            <w:r>
              <w:rPr>
                <w:rFonts w:hint="eastAsia"/>
              </w:rPr>
              <w:t>林地</w:t>
            </w:r>
          </w:p>
        </w:tc>
        <w:tc>
          <w:tcPr>
            <w:tcW w:w="900" w:type="pct"/>
            <w:noWrap/>
            <w:vAlign w:val="center"/>
          </w:tcPr>
          <w:p w14:paraId="11137B55">
            <w:pPr>
              <w:pStyle w:val="179"/>
            </w:pPr>
            <w:r>
              <w:rPr>
                <w:rFonts w:hint="eastAsia"/>
              </w:rPr>
              <w:t>0301</w:t>
            </w:r>
          </w:p>
        </w:tc>
        <w:tc>
          <w:tcPr>
            <w:tcW w:w="1052" w:type="pct"/>
            <w:noWrap/>
            <w:vAlign w:val="center"/>
          </w:tcPr>
          <w:p w14:paraId="7377E279">
            <w:pPr>
              <w:pStyle w:val="179"/>
            </w:pPr>
            <w:r>
              <w:rPr>
                <w:rFonts w:hint="eastAsia"/>
              </w:rPr>
              <w:t>乔木林地</w:t>
            </w:r>
          </w:p>
        </w:tc>
        <w:tc>
          <w:tcPr>
            <w:tcW w:w="840" w:type="pct"/>
            <w:shd w:val="clear" w:color="auto" w:fill="auto"/>
            <w:noWrap/>
            <w:vAlign w:val="bottom"/>
          </w:tcPr>
          <w:p w14:paraId="0072588D">
            <w:pPr>
              <w:pStyle w:val="179"/>
            </w:pPr>
            <w:r>
              <w:t>274.35</w:t>
            </w:r>
          </w:p>
        </w:tc>
        <w:tc>
          <w:tcPr>
            <w:tcW w:w="740" w:type="pct"/>
            <w:shd w:val="clear" w:color="auto" w:fill="auto"/>
            <w:noWrap/>
            <w:vAlign w:val="bottom"/>
          </w:tcPr>
          <w:p w14:paraId="34B69EF4">
            <w:pPr>
              <w:pStyle w:val="179"/>
            </w:pPr>
            <w:r>
              <w:t>54.65</w:t>
            </w:r>
          </w:p>
        </w:tc>
      </w:tr>
      <w:tr w14:paraId="33D0F6D5">
        <w:tblPrEx>
          <w:tblBorders>
            <w:top w:val="single" w:color="auto" w:sz="12" w:space="0"/>
            <w:left w:val="single" w:color="auto" w:sz="12" w:space="0"/>
            <w:bottom w:val="single" w:color="auto" w:sz="12" w:space="0"/>
            <w:right w:val="single" w:color="auto" w:sz="12" w:space="0"/>
            <w:insideH w:val="single" w:color="000000" w:sz="4" w:space="0"/>
            <w:insideV w:val="single" w:color="000000" w:sz="6" w:space="0"/>
          </w:tblBorders>
          <w:tblCellMar>
            <w:top w:w="0" w:type="dxa"/>
            <w:left w:w="108" w:type="dxa"/>
            <w:bottom w:w="0" w:type="dxa"/>
            <w:right w:w="108" w:type="dxa"/>
          </w:tblCellMar>
        </w:tblPrEx>
        <w:trPr>
          <w:trHeight w:val="340" w:hRule="atLeast"/>
          <w:jc w:val="center"/>
        </w:trPr>
        <w:tc>
          <w:tcPr>
            <w:tcW w:w="401" w:type="pct"/>
            <w:noWrap/>
            <w:vAlign w:val="center"/>
          </w:tcPr>
          <w:p w14:paraId="321F3F60">
            <w:pPr>
              <w:pStyle w:val="179"/>
            </w:pPr>
            <w:r>
              <w:rPr>
                <w:rFonts w:hint="eastAsia"/>
              </w:rPr>
              <w:t>3</w:t>
            </w:r>
          </w:p>
        </w:tc>
        <w:tc>
          <w:tcPr>
            <w:tcW w:w="1064" w:type="pct"/>
            <w:noWrap/>
            <w:vAlign w:val="center"/>
          </w:tcPr>
          <w:p w14:paraId="462EFEF8">
            <w:pPr>
              <w:pStyle w:val="179"/>
            </w:pPr>
            <w:r>
              <w:rPr>
                <w:rFonts w:hint="eastAsia"/>
              </w:rPr>
              <w:t>草地</w:t>
            </w:r>
          </w:p>
        </w:tc>
        <w:tc>
          <w:tcPr>
            <w:tcW w:w="900" w:type="pct"/>
            <w:noWrap/>
            <w:vAlign w:val="center"/>
          </w:tcPr>
          <w:p w14:paraId="5B128C96">
            <w:pPr>
              <w:pStyle w:val="179"/>
            </w:pPr>
            <w:r>
              <w:rPr>
                <w:rFonts w:hint="eastAsia"/>
              </w:rPr>
              <w:t>0404</w:t>
            </w:r>
          </w:p>
        </w:tc>
        <w:tc>
          <w:tcPr>
            <w:tcW w:w="1052" w:type="pct"/>
            <w:noWrap/>
            <w:vAlign w:val="center"/>
          </w:tcPr>
          <w:p w14:paraId="1B4D24D5">
            <w:pPr>
              <w:pStyle w:val="179"/>
            </w:pPr>
            <w:r>
              <w:rPr>
                <w:rFonts w:hint="eastAsia"/>
              </w:rPr>
              <w:t>其他草地</w:t>
            </w:r>
          </w:p>
        </w:tc>
        <w:tc>
          <w:tcPr>
            <w:tcW w:w="840" w:type="pct"/>
            <w:shd w:val="clear" w:color="auto" w:fill="auto"/>
            <w:noWrap/>
            <w:vAlign w:val="bottom"/>
          </w:tcPr>
          <w:p w14:paraId="136F9370">
            <w:pPr>
              <w:pStyle w:val="179"/>
            </w:pPr>
            <w:r>
              <w:t>64.63</w:t>
            </w:r>
          </w:p>
        </w:tc>
        <w:tc>
          <w:tcPr>
            <w:tcW w:w="740" w:type="pct"/>
            <w:shd w:val="clear" w:color="auto" w:fill="auto"/>
            <w:noWrap/>
            <w:vAlign w:val="bottom"/>
          </w:tcPr>
          <w:p w14:paraId="6CF87696">
            <w:pPr>
              <w:pStyle w:val="179"/>
            </w:pPr>
            <w:r>
              <w:t>12.87</w:t>
            </w:r>
          </w:p>
        </w:tc>
      </w:tr>
      <w:tr w14:paraId="5B202AC6">
        <w:tblPrEx>
          <w:tblBorders>
            <w:top w:val="single" w:color="auto" w:sz="12" w:space="0"/>
            <w:left w:val="single" w:color="auto" w:sz="12" w:space="0"/>
            <w:bottom w:val="single" w:color="auto" w:sz="12" w:space="0"/>
            <w:right w:val="single" w:color="auto" w:sz="12" w:space="0"/>
            <w:insideH w:val="single" w:color="000000" w:sz="4" w:space="0"/>
            <w:insideV w:val="single" w:color="000000" w:sz="6" w:space="0"/>
          </w:tblBorders>
          <w:tblCellMar>
            <w:top w:w="0" w:type="dxa"/>
            <w:left w:w="108" w:type="dxa"/>
            <w:bottom w:w="0" w:type="dxa"/>
            <w:right w:w="108" w:type="dxa"/>
          </w:tblCellMar>
        </w:tblPrEx>
        <w:trPr>
          <w:trHeight w:val="340" w:hRule="atLeast"/>
          <w:jc w:val="center"/>
        </w:trPr>
        <w:tc>
          <w:tcPr>
            <w:tcW w:w="401" w:type="pct"/>
            <w:noWrap/>
            <w:vAlign w:val="center"/>
          </w:tcPr>
          <w:p w14:paraId="06D5FE2E">
            <w:pPr>
              <w:pStyle w:val="179"/>
            </w:pPr>
            <w:r>
              <w:rPr>
                <w:rFonts w:hint="eastAsia"/>
              </w:rPr>
              <w:t>4</w:t>
            </w:r>
          </w:p>
        </w:tc>
        <w:tc>
          <w:tcPr>
            <w:tcW w:w="1064" w:type="pct"/>
            <w:noWrap/>
            <w:vAlign w:val="center"/>
          </w:tcPr>
          <w:p w14:paraId="613EBCEB">
            <w:pPr>
              <w:pStyle w:val="179"/>
            </w:pPr>
            <w:r>
              <w:rPr>
                <w:rFonts w:hint="eastAsia"/>
              </w:rPr>
              <w:t>交通运输</w:t>
            </w:r>
            <w:r>
              <w:t>用地</w:t>
            </w:r>
          </w:p>
        </w:tc>
        <w:tc>
          <w:tcPr>
            <w:tcW w:w="900" w:type="pct"/>
            <w:noWrap/>
            <w:vAlign w:val="center"/>
          </w:tcPr>
          <w:p w14:paraId="05095761">
            <w:pPr>
              <w:pStyle w:val="179"/>
            </w:pPr>
            <w:r>
              <w:rPr>
                <w:rFonts w:hint="eastAsia"/>
              </w:rPr>
              <w:t>1003</w:t>
            </w:r>
          </w:p>
        </w:tc>
        <w:tc>
          <w:tcPr>
            <w:tcW w:w="1052" w:type="pct"/>
            <w:shd w:val="clear" w:color="auto" w:fill="auto"/>
            <w:noWrap/>
            <w:vAlign w:val="center"/>
          </w:tcPr>
          <w:p w14:paraId="5AB2A13D">
            <w:pPr>
              <w:pStyle w:val="179"/>
            </w:pPr>
            <w:r>
              <w:rPr>
                <w:rFonts w:hint="eastAsia"/>
              </w:rPr>
              <w:t>公路用地</w:t>
            </w:r>
          </w:p>
        </w:tc>
        <w:tc>
          <w:tcPr>
            <w:tcW w:w="840" w:type="pct"/>
            <w:shd w:val="clear" w:color="auto" w:fill="auto"/>
            <w:noWrap/>
            <w:vAlign w:val="bottom"/>
          </w:tcPr>
          <w:p w14:paraId="2EAEBCCD">
            <w:pPr>
              <w:pStyle w:val="179"/>
            </w:pPr>
            <w:r>
              <w:t>12.47</w:t>
            </w:r>
          </w:p>
        </w:tc>
        <w:tc>
          <w:tcPr>
            <w:tcW w:w="740" w:type="pct"/>
            <w:shd w:val="clear" w:color="auto" w:fill="auto"/>
            <w:noWrap/>
            <w:vAlign w:val="bottom"/>
          </w:tcPr>
          <w:p w14:paraId="7D9AAFF0">
            <w:pPr>
              <w:pStyle w:val="179"/>
            </w:pPr>
            <w:r>
              <w:t>2.48</w:t>
            </w:r>
          </w:p>
        </w:tc>
      </w:tr>
      <w:tr w14:paraId="4DCF4217">
        <w:tblPrEx>
          <w:tblBorders>
            <w:top w:val="single" w:color="auto" w:sz="12" w:space="0"/>
            <w:left w:val="single" w:color="auto" w:sz="12" w:space="0"/>
            <w:bottom w:val="single" w:color="auto" w:sz="12" w:space="0"/>
            <w:right w:val="single" w:color="auto" w:sz="12" w:space="0"/>
            <w:insideH w:val="single" w:color="000000" w:sz="4" w:space="0"/>
            <w:insideV w:val="single" w:color="000000" w:sz="6" w:space="0"/>
          </w:tblBorders>
          <w:tblCellMar>
            <w:top w:w="0" w:type="dxa"/>
            <w:left w:w="108" w:type="dxa"/>
            <w:bottom w:w="0" w:type="dxa"/>
            <w:right w:w="108" w:type="dxa"/>
          </w:tblCellMar>
        </w:tblPrEx>
        <w:trPr>
          <w:trHeight w:val="340" w:hRule="atLeast"/>
          <w:jc w:val="center"/>
        </w:trPr>
        <w:tc>
          <w:tcPr>
            <w:tcW w:w="401" w:type="pct"/>
            <w:noWrap/>
            <w:vAlign w:val="center"/>
          </w:tcPr>
          <w:p w14:paraId="19C9AEE5">
            <w:pPr>
              <w:pStyle w:val="179"/>
            </w:pPr>
            <w:r>
              <w:rPr>
                <w:rFonts w:hint="eastAsia"/>
              </w:rPr>
              <w:t>5</w:t>
            </w:r>
          </w:p>
        </w:tc>
        <w:tc>
          <w:tcPr>
            <w:tcW w:w="1064" w:type="pct"/>
            <w:noWrap/>
            <w:vAlign w:val="center"/>
          </w:tcPr>
          <w:p w14:paraId="3DBE7736">
            <w:pPr>
              <w:pStyle w:val="179"/>
            </w:pPr>
            <w:r>
              <w:t>水域及水利设施用地</w:t>
            </w:r>
          </w:p>
        </w:tc>
        <w:tc>
          <w:tcPr>
            <w:tcW w:w="900" w:type="pct"/>
            <w:noWrap/>
            <w:vAlign w:val="center"/>
          </w:tcPr>
          <w:p w14:paraId="349A558D">
            <w:pPr>
              <w:pStyle w:val="179"/>
            </w:pPr>
            <w:r>
              <w:rPr>
                <w:rFonts w:hint="eastAsia"/>
              </w:rPr>
              <w:t>1101</w:t>
            </w:r>
          </w:p>
        </w:tc>
        <w:tc>
          <w:tcPr>
            <w:tcW w:w="1052" w:type="pct"/>
            <w:noWrap/>
            <w:vAlign w:val="center"/>
          </w:tcPr>
          <w:p w14:paraId="600B9F74">
            <w:pPr>
              <w:pStyle w:val="179"/>
            </w:pPr>
            <w:r>
              <w:rPr>
                <w:rFonts w:hint="eastAsia"/>
              </w:rPr>
              <w:t>河流水面</w:t>
            </w:r>
          </w:p>
        </w:tc>
        <w:tc>
          <w:tcPr>
            <w:tcW w:w="840" w:type="pct"/>
            <w:shd w:val="clear" w:color="auto" w:fill="auto"/>
            <w:noWrap/>
            <w:vAlign w:val="bottom"/>
          </w:tcPr>
          <w:p w14:paraId="1825AC41">
            <w:pPr>
              <w:pStyle w:val="179"/>
            </w:pPr>
            <w:r>
              <w:t>13.24</w:t>
            </w:r>
          </w:p>
        </w:tc>
        <w:tc>
          <w:tcPr>
            <w:tcW w:w="740" w:type="pct"/>
            <w:shd w:val="clear" w:color="auto" w:fill="auto"/>
            <w:noWrap/>
            <w:vAlign w:val="bottom"/>
          </w:tcPr>
          <w:p w14:paraId="40A567ED">
            <w:pPr>
              <w:pStyle w:val="179"/>
            </w:pPr>
            <w:r>
              <w:t>2.64</w:t>
            </w:r>
          </w:p>
        </w:tc>
      </w:tr>
      <w:tr w14:paraId="24C13BC1">
        <w:tblPrEx>
          <w:tblBorders>
            <w:top w:val="single" w:color="auto" w:sz="12" w:space="0"/>
            <w:left w:val="single" w:color="auto" w:sz="12" w:space="0"/>
            <w:bottom w:val="single" w:color="auto" w:sz="12" w:space="0"/>
            <w:right w:val="single" w:color="auto" w:sz="12" w:space="0"/>
            <w:insideH w:val="single" w:color="000000" w:sz="4" w:space="0"/>
            <w:insideV w:val="single" w:color="000000" w:sz="6" w:space="0"/>
          </w:tblBorders>
          <w:tblCellMar>
            <w:top w:w="0" w:type="dxa"/>
            <w:left w:w="108" w:type="dxa"/>
            <w:bottom w:w="0" w:type="dxa"/>
            <w:right w:w="108" w:type="dxa"/>
          </w:tblCellMar>
        </w:tblPrEx>
        <w:trPr>
          <w:trHeight w:val="340" w:hRule="atLeast"/>
          <w:jc w:val="center"/>
        </w:trPr>
        <w:tc>
          <w:tcPr>
            <w:tcW w:w="401" w:type="pct"/>
            <w:noWrap/>
            <w:vAlign w:val="center"/>
          </w:tcPr>
          <w:p w14:paraId="2337A9A0">
            <w:pPr>
              <w:pStyle w:val="179"/>
            </w:pPr>
            <w:r>
              <w:rPr>
                <w:rFonts w:hint="eastAsia"/>
              </w:rPr>
              <w:t>6</w:t>
            </w:r>
          </w:p>
        </w:tc>
        <w:tc>
          <w:tcPr>
            <w:tcW w:w="1064" w:type="pct"/>
            <w:noWrap/>
            <w:vAlign w:val="center"/>
          </w:tcPr>
          <w:p w14:paraId="38125778">
            <w:pPr>
              <w:pStyle w:val="179"/>
            </w:pPr>
            <w:r>
              <w:rPr>
                <w:rFonts w:hint="eastAsia"/>
              </w:rPr>
              <w:t>其他土地</w:t>
            </w:r>
          </w:p>
        </w:tc>
        <w:tc>
          <w:tcPr>
            <w:tcW w:w="900" w:type="pct"/>
            <w:noWrap/>
            <w:vAlign w:val="center"/>
          </w:tcPr>
          <w:p w14:paraId="21B0267C">
            <w:pPr>
              <w:pStyle w:val="179"/>
            </w:pPr>
            <w:r>
              <w:rPr>
                <w:rFonts w:hint="eastAsia"/>
              </w:rPr>
              <w:t>1206</w:t>
            </w:r>
          </w:p>
        </w:tc>
        <w:tc>
          <w:tcPr>
            <w:tcW w:w="1052" w:type="pct"/>
            <w:noWrap/>
            <w:vAlign w:val="center"/>
          </w:tcPr>
          <w:p w14:paraId="6AD4D4F4">
            <w:pPr>
              <w:pStyle w:val="179"/>
            </w:pPr>
            <w:r>
              <w:rPr>
                <w:rFonts w:hint="eastAsia"/>
              </w:rPr>
              <w:t>裸土地</w:t>
            </w:r>
          </w:p>
        </w:tc>
        <w:tc>
          <w:tcPr>
            <w:tcW w:w="840" w:type="pct"/>
            <w:shd w:val="clear" w:color="auto" w:fill="auto"/>
            <w:noWrap/>
            <w:vAlign w:val="bottom"/>
          </w:tcPr>
          <w:p w14:paraId="2F293AD5">
            <w:pPr>
              <w:pStyle w:val="179"/>
            </w:pPr>
            <w:r>
              <w:t>15.46</w:t>
            </w:r>
          </w:p>
        </w:tc>
        <w:tc>
          <w:tcPr>
            <w:tcW w:w="740" w:type="pct"/>
            <w:shd w:val="clear" w:color="auto" w:fill="auto"/>
            <w:noWrap/>
            <w:vAlign w:val="bottom"/>
          </w:tcPr>
          <w:p w14:paraId="62BC3D9C">
            <w:pPr>
              <w:pStyle w:val="179"/>
            </w:pPr>
            <w:r>
              <w:t>3.08</w:t>
            </w:r>
          </w:p>
        </w:tc>
      </w:tr>
      <w:tr w14:paraId="16053920">
        <w:tblPrEx>
          <w:tblBorders>
            <w:top w:val="single" w:color="auto" w:sz="12" w:space="0"/>
            <w:left w:val="single" w:color="auto" w:sz="12" w:space="0"/>
            <w:bottom w:val="single" w:color="auto" w:sz="12" w:space="0"/>
            <w:right w:val="single" w:color="auto" w:sz="12" w:space="0"/>
            <w:insideH w:val="single" w:color="000000" w:sz="4" w:space="0"/>
            <w:insideV w:val="single" w:color="000000" w:sz="6" w:space="0"/>
          </w:tblBorders>
          <w:tblCellMar>
            <w:top w:w="0" w:type="dxa"/>
            <w:left w:w="108" w:type="dxa"/>
            <w:bottom w:w="0" w:type="dxa"/>
            <w:right w:w="108" w:type="dxa"/>
          </w:tblCellMar>
        </w:tblPrEx>
        <w:trPr>
          <w:trHeight w:val="340" w:hRule="atLeast"/>
          <w:jc w:val="center"/>
        </w:trPr>
        <w:tc>
          <w:tcPr>
            <w:tcW w:w="401" w:type="pct"/>
            <w:noWrap/>
            <w:vAlign w:val="center"/>
          </w:tcPr>
          <w:p w14:paraId="42597097">
            <w:pPr>
              <w:pStyle w:val="179"/>
            </w:pPr>
            <w:r>
              <w:rPr>
                <w:rFonts w:hint="eastAsia"/>
              </w:rPr>
              <w:t>7</w:t>
            </w:r>
          </w:p>
        </w:tc>
        <w:tc>
          <w:tcPr>
            <w:tcW w:w="3017" w:type="pct"/>
            <w:gridSpan w:val="3"/>
            <w:noWrap/>
            <w:vAlign w:val="center"/>
          </w:tcPr>
          <w:p w14:paraId="27198E79">
            <w:pPr>
              <w:pStyle w:val="179"/>
            </w:pPr>
            <w:r>
              <w:t>合计</w:t>
            </w:r>
          </w:p>
        </w:tc>
        <w:tc>
          <w:tcPr>
            <w:tcW w:w="840" w:type="pct"/>
            <w:shd w:val="clear" w:color="auto" w:fill="auto"/>
            <w:noWrap/>
            <w:vAlign w:val="bottom"/>
          </w:tcPr>
          <w:p w14:paraId="09688740">
            <w:pPr>
              <w:pStyle w:val="179"/>
            </w:pPr>
            <w:r>
              <w:t>502.03</w:t>
            </w:r>
          </w:p>
        </w:tc>
        <w:tc>
          <w:tcPr>
            <w:tcW w:w="740" w:type="pct"/>
            <w:noWrap/>
            <w:vAlign w:val="center"/>
          </w:tcPr>
          <w:p w14:paraId="5BCA9D4A">
            <w:pPr>
              <w:pStyle w:val="179"/>
            </w:pPr>
            <w:r>
              <w:t>100</w:t>
            </w:r>
          </w:p>
        </w:tc>
      </w:tr>
    </w:tbl>
    <w:p w14:paraId="324992EC">
      <w:pPr>
        <w:pStyle w:val="179"/>
      </w:pPr>
    </w:p>
    <w:p w14:paraId="28893D5E">
      <w:pPr>
        <w:ind w:firstLine="480"/>
      </w:pPr>
      <w:r>
        <w:rPr>
          <w:rFonts w:hint="eastAsia"/>
        </w:rPr>
        <w:t>从土地利用现状图分析可知，评价区域内的土地利用类型为乔木林地及旱地为主，</w:t>
      </w:r>
      <w:r>
        <w:t>面积分别为</w:t>
      </w:r>
      <w:r>
        <w:rPr>
          <w:rFonts w:hint="eastAsia"/>
        </w:rPr>
        <w:t>274.35</w:t>
      </w:r>
      <w:r>
        <w:t>hm</w:t>
      </w:r>
      <w:r>
        <w:rPr>
          <w:vertAlign w:val="superscript"/>
        </w:rPr>
        <w:t>2</w:t>
      </w:r>
      <w:r>
        <w:rPr>
          <w:rFonts w:hint="eastAsia"/>
        </w:rPr>
        <w:t>和121.88</w:t>
      </w:r>
      <w:r>
        <w:t>hm</w:t>
      </w:r>
      <w:r>
        <w:rPr>
          <w:vertAlign w:val="superscript"/>
        </w:rPr>
        <w:t>2</w:t>
      </w:r>
      <w:r>
        <w:t>，占评价区的比例分别为</w:t>
      </w:r>
      <w:r>
        <w:rPr>
          <w:rFonts w:hint="eastAsia"/>
        </w:rPr>
        <w:t>54.65</w:t>
      </w:r>
      <w:r>
        <w:t>%和</w:t>
      </w:r>
      <w:r>
        <w:rPr>
          <w:rFonts w:hint="eastAsia"/>
        </w:rPr>
        <w:t>24.28</w:t>
      </w:r>
      <w:r>
        <w:t>%；</w:t>
      </w:r>
    </w:p>
    <w:p w14:paraId="521C435C">
      <w:pPr>
        <w:ind w:firstLine="480"/>
      </w:pPr>
      <w:r>
        <w:rPr>
          <w:rFonts w:hint="eastAsia"/>
          <w:iCs/>
        </w:rPr>
        <w:t>项目开采区土地利用类型为工业用地，矿区范围内地表部分区域腐殖土已经剥离，地表砂砾裸露。经调查，矿区内有植被分布，整体上植被覆盖度处于较低水平。</w:t>
      </w:r>
    </w:p>
    <w:p w14:paraId="3F242AF0">
      <w:pPr>
        <w:pStyle w:val="178"/>
      </w:pPr>
      <w:r>
        <w:rPr>
          <w:rFonts w:hint="eastAsia"/>
        </w:rPr>
        <w:drawing>
          <wp:inline distT="0" distB="0" distL="114300" distR="114300">
            <wp:extent cx="5242560" cy="3706495"/>
            <wp:effectExtent l="19050" t="0" r="0" b="0"/>
            <wp:docPr id="47" name="图片 17" descr="fe5cb4b368860ca025b94628cdaa31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7" descr="fe5cb4b368860ca025b94628cdaa31d2"/>
                    <pic:cNvPicPr>
                      <a:picLocks noChangeAspect="1"/>
                    </pic:cNvPicPr>
                  </pic:nvPicPr>
                  <pic:blipFill>
                    <a:blip r:embed="rId79" cstate="print"/>
                    <a:stretch>
                      <a:fillRect/>
                    </a:stretch>
                  </pic:blipFill>
                  <pic:spPr>
                    <a:xfrm>
                      <a:off x="0" y="0"/>
                      <a:ext cx="5242560" cy="3706586"/>
                    </a:xfrm>
                    <a:prstGeom prst="rect">
                      <a:avLst/>
                    </a:prstGeom>
                  </pic:spPr>
                </pic:pic>
              </a:graphicData>
            </a:graphic>
          </wp:inline>
        </w:drawing>
      </w:r>
    </w:p>
    <w:p w14:paraId="57AD38C3">
      <w:pPr>
        <w:pStyle w:val="178"/>
      </w:pPr>
      <w:r>
        <w:rPr>
          <w:rFonts w:hint="eastAsia"/>
        </w:rPr>
        <w:t>图4.3-3  土地利用现状图</w:t>
      </w:r>
    </w:p>
    <w:p w14:paraId="4BE237E7">
      <w:pPr>
        <w:pStyle w:val="4"/>
        <w:spacing w:before="180" w:after="120"/>
        <w:rPr>
          <w:rFonts w:hAnsi="Times New Roman" w:cs="Times New Roman"/>
        </w:rPr>
      </w:pPr>
      <w:r>
        <w:rPr>
          <w:rFonts w:hAnsi="Times New Roman" w:cs="Times New Roman"/>
        </w:rPr>
        <w:t>生态系统类型</w:t>
      </w:r>
      <w:bookmarkEnd w:id="316"/>
    </w:p>
    <w:p w14:paraId="36024EF9">
      <w:pPr>
        <w:ind w:firstLine="480"/>
      </w:pPr>
      <w:r>
        <w:t>根据《全国生态状况调查评估技术规范——生态系统遥感解译与野外核查》（HJ1166-2021）</w:t>
      </w:r>
      <w:r>
        <w:rPr>
          <w:rFonts w:hint="eastAsia"/>
        </w:rPr>
        <w:t>附录A中全国生态系统分类体系表可将评价范围内生态体系分为以下6种组分，包含森林、草地和河流三种自然生态系统及农田、城镇两种人工生态系统，主要生态系统为森林</w:t>
      </w:r>
      <w:r>
        <w:t>生态系统</w:t>
      </w:r>
      <w:r>
        <w:rPr>
          <w:rFonts w:hint="eastAsia"/>
        </w:rPr>
        <w:t>，仅森林</w:t>
      </w:r>
      <w:r>
        <w:t>生态系统</w:t>
      </w:r>
      <w:r>
        <w:rPr>
          <w:rFonts w:hint="eastAsia"/>
        </w:rPr>
        <w:t>面积已占评价区总面积的54.65%。</w:t>
      </w:r>
      <w:r>
        <w:t>评价区内生态系统分布情况见表</w:t>
      </w:r>
      <w:r>
        <w:rPr>
          <w:rFonts w:hint="eastAsia"/>
        </w:rPr>
        <w:t>4.3-2</w:t>
      </w:r>
      <w:r>
        <w:t>，评价范围生态系统类型图见图</w:t>
      </w:r>
      <w:r>
        <w:rPr>
          <w:rFonts w:hint="eastAsia"/>
        </w:rPr>
        <w:t>4.3-4</w:t>
      </w:r>
      <w:r>
        <w:t>。</w:t>
      </w:r>
    </w:p>
    <w:p w14:paraId="469B6368">
      <w:pPr>
        <w:pStyle w:val="178"/>
      </w:pPr>
      <w:r>
        <w:t>表</w:t>
      </w:r>
      <w:r>
        <w:rPr>
          <w:rFonts w:hint="eastAsia"/>
        </w:rPr>
        <w:t>4.3</w:t>
      </w:r>
      <w:r>
        <w:t>-</w:t>
      </w:r>
      <w:r>
        <w:rPr>
          <w:rFonts w:hint="eastAsia"/>
        </w:rPr>
        <w:t>2</w:t>
      </w:r>
      <w:r>
        <w:t xml:space="preserve">  评价范围内生态系统类型表</w:t>
      </w:r>
    </w:p>
    <w:tbl>
      <w:tblPr>
        <w:tblStyle w:val="36"/>
        <w:tblW w:w="4996" w:type="pct"/>
        <w:tblInd w:w="0" w:type="dxa"/>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Layout w:type="autofit"/>
        <w:tblCellMar>
          <w:top w:w="0" w:type="dxa"/>
          <w:left w:w="108" w:type="dxa"/>
          <w:bottom w:w="0" w:type="dxa"/>
          <w:right w:w="108" w:type="dxa"/>
        </w:tblCellMar>
      </w:tblPr>
      <w:tblGrid>
        <w:gridCol w:w="1015"/>
        <w:gridCol w:w="1665"/>
        <w:gridCol w:w="2942"/>
        <w:gridCol w:w="1420"/>
        <w:gridCol w:w="1423"/>
      </w:tblGrid>
      <w:tr w14:paraId="339E4402">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tblHeader/>
        </w:trPr>
        <w:tc>
          <w:tcPr>
            <w:tcW w:w="608" w:type="pct"/>
            <w:noWrap/>
            <w:vAlign w:val="center"/>
          </w:tcPr>
          <w:p w14:paraId="399FA562">
            <w:pPr>
              <w:pStyle w:val="179"/>
              <w:rPr>
                <w:b/>
              </w:rPr>
            </w:pPr>
            <w:r>
              <w:rPr>
                <w:b/>
              </w:rPr>
              <w:t>序号</w:t>
            </w:r>
          </w:p>
        </w:tc>
        <w:tc>
          <w:tcPr>
            <w:tcW w:w="992" w:type="pct"/>
            <w:noWrap/>
            <w:vAlign w:val="center"/>
          </w:tcPr>
          <w:p w14:paraId="23028B67">
            <w:pPr>
              <w:pStyle w:val="179"/>
              <w:rPr>
                <w:b/>
              </w:rPr>
            </w:pPr>
            <w:r>
              <w:rPr>
                <w:b/>
              </w:rPr>
              <w:t>生态系统类型</w:t>
            </w:r>
          </w:p>
        </w:tc>
        <w:tc>
          <w:tcPr>
            <w:tcW w:w="1745" w:type="pct"/>
            <w:noWrap/>
            <w:vAlign w:val="center"/>
          </w:tcPr>
          <w:p w14:paraId="12446FFE">
            <w:pPr>
              <w:pStyle w:val="179"/>
              <w:rPr>
                <w:b/>
              </w:rPr>
            </w:pPr>
            <w:r>
              <w:rPr>
                <w:b/>
              </w:rPr>
              <w:t>二级分类</w:t>
            </w:r>
          </w:p>
        </w:tc>
        <w:tc>
          <w:tcPr>
            <w:tcW w:w="804" w:type="pct"/>
            <w:noWrap/>
            <w:vAlign w:val="center"/>
          </w:tcPr>
          <w:p w14:paraId="142C5235">
            <w:pPr>
              <w:pStyle w:val="179"/>
              <w:rPr>
                <w:b/>
              </w:rPr>
            </w:pPr>
            <w:r>
              <w:rPr>
                <w:b/>
              </w:rPr>
              <w:t>面积（hm</w:t>
            </w:r>
            <w:r>
              <w:rPr>
                <w:b/>
                <w:vertAlign w:val="superscript"/>
              </w:rPr>
              <w:t>2</w:t>
            </w:r>
            <w:r>
              <w:rPr>
                <w:b/>
              </w:rPr>
              <w:t>）</w:t>
            </w:r>
          </w:p>
        </w:tc>
        <w:tc>
          <w:tcPr>
            <w:tcW w:w="849" w:type="pct"/>
            <w:noWrap/>
            <w:vAlign w:val="center"/>
          </w:tcPr>
          <w:p w14:paraId="399604E8">
            <w:pPr>
              <w:pStyle w:val="179"/>
              <w:rPr>
                <w:b/>
              </w:rPr>
            </w:pPr>
            <w:r>
              <w:rPr>
                <w:b/>
              </w:rPr>
              <w:t>比例（%）</w:t>
            </w:r>
          </w:p>
        </w:tc>
      </w:tr>
      <w:tr w14:paraId="1C441758">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608" w:type="pct"/>
            <w:vMerge w:val="restart"/>
            <w:noWrap/>
            <w:vAlign w:val="center"/>
          </w:tcPr>
          <w:p w14:paraId="15381F15">
            <w:pPr>
              <w:pStyle w:val="179"/>
            </w:pPr>
            <w:r>
              <w:t>1</w:t>
            </w:r>
          </w:p>
        </w:tc>
        <w:tc>
          <w:tcPr>
            <w:tcW w:w="992" w:type="pct"/>
            <w:vMerge w:val="restart"/>
            <w:noWrap/>
            <w:vAlign w:val="center"/>
          </w:tcPr>
          <w:p w14:paraId="449A0011">
            <w:pPr>
              <w:pStyle w:val="179"/>
            </w:pPr>
            <w:r>
              <w:t>森林生态系统</w:t>
            </w:r>
          </w:p>
        </w:tc>
        <w:tc>
          <w:tcPr>
            <w:tcW w:w="1745" w:type="pct"/>
            <w:noWrap/>
            <w:vAlign w:val="center"/>
          </w:tcPr>
          <w:p w14:paraId="5171BACB">
            <w:pPr>
              <w:pStyle w:val="179"/>
            </w:pPr>
            <w:r>
              <w:rPr>
                <w:rFonts w:hint="eastAsia"/>
              </w:rPr>
              <w:t>阔叶林</w:t>
            </w:r>
          </w:p>
        </w:tc>
        <w:tc>
          <w:tcPr>
            <w:tcW w:w="804" w:type="pct"/>
            <w:shd w:val="clear" w:color="auto" w:fill="auto"/>
            <w:noWrap/>
            <w:vAlign w:val="center"/>
          </w:tcPr>
          <w:p w14:paraId="487A693E">
            <w:pPr>
              <w:pStyle w:val="179"/>
            </w:pPr>
            <w:r>
              <w:t>102.19</w:t>
            </w:r>
          </w:p>
        </w:tc>
        <w:tc>
          <w:tcPr>
            <w:tcW w:w="849" w:type="pct"/>
            <w:shd w:val="clear" w:color="auto" w:fill="auto"/>
            <w:noWrap/>
            <w:vAlign w:val="center"/>
          </w:tcPr>
          <w:p w14:paraId="0BF6070C">
            <w:pPr>
              <w:pStyle w:val="179"/>
            </w:pPr>
            <w:r>
              <w:t>20.3</w:t>
            </w:r>
            <w:r>
              <w:rPr>
                <w:rFonts w:hint="eastAsia"/>
              </w:rPr>
              <w:t>6</w:t>
            </w:r>
          </w:p>
        </w:tc>
      </w:tr>
      <w:tr w14:paraId="372D0FA4">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608" w:type="pct"/>
            <w:vMerge w:val="continue"/>
            <w:noWrap/>
            <w:vAlign w:val="center"/>
          </w:tcPr>
          <w:p w14:paraId="2BB4B3A4">
            <w:pPr>
              <w:pStyle w:val="179"/>
            </w:pPr>
          </w:p>
        </w:tc>
        <w:tc>
          <w:tcPr>
            <w:tcW w:w="992" w:type="pct"/>
            <w:vMerge w:val="continue"/>
            <w:noWrap/>
            <w:vAlign w:val="center"/>
          </w:tcPr>
          <w:p w14:paraId="4D1BE814">
            <w:pPr>
              <w:pStyle w:val="179"/>
            </w:pPr>
          </w:p>
        </w:tc>
        <w:tc>
          <w:tcPr>
            <w:tcW w:w="1745" w:type="pct"/>
            <w:noWrap/>
            <w:vAlign w:val="center"/>
          </w:tcPr>
          <w:p w14:paraId="62AD3944">
            <w:pPr>
              <w:pStyle w:val="179"/>
            </w:pPr>
            <w:r>
              <w:t>针叶林</w:t>
            </w:r>
          </w:p>
        </w:tc>
        <w:tc>
          <w:tcPr>
            <w:tcW w:w="804" w:type="pct"/>
            <w:shd w:val="clear" w:color="auto" w:fill="auto"/>
            <w:noWrap/>
            <w:vAlign w:val="center"/>
          </w:tcPr>
          <w:p w14:paraId="400B9274">
            <w:pPr>
              <w:pStyle w:val="179"/>
            </w:pPr>
            <w:r>
              <w:t>172.16</w:t>
            </w:r>
          </w:p>
        </w:tc>
        <w:tc>
          <w:tcPr>
            <w:tcW w:w="849" w:type="pct"/>
            <w:shd w:val="clear" w:color="auto" w:fill="auto"/>
            <w:noWrap/>
            <w:vAlign w:val="center"/>
          </w:tcPr>
          <w:p w14:paraId="60E4EAAC">
            <w:pPr>
              <w:pStyle w:val="179"/>
            </w:pPr>
            <w:r>
              <w:t>34.29</w:t>
            </w:r>
          </w:p>
        </w:tc>
      </w:tr>
      <w:tr w14:paraId="712DE807">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608" w:type="pct"/>
            <w:noWrap/>
            <w:vAlign w:val="center"/>
          </w:tcPr>
          <w:p w14:paraId="74591ABA">
            <w:pPr>
              <w:pStyle w:val="179"/>
            </w:pPr>
            <w:r>
              <w:rPr>
                <w:rFonts w:hint="eastAsia"/>
              </w:rPr>
              <w:t>2</w:t>
            </w:r>
          </w:p>
        </w:tc>
        <w:tc>
          <w:tcPr>
            <w:tcW w:w="992" w:type="pct"/>
            <w:noWrap/>
            <w:vAlign w:val="center"/>
          </w:tcPr>
          <w:p w14:paraId="78D8EEDA">
            <w:pPr>
              <w:pStyle w:val="179"/>
            </w:pPr>
            <w:r>
              <w:t>草地生态系统</w:t>
            </w:r>
          </w:p>
        </w:tc>
        <w:tc>
          <w:tcPr>
            <w:tcW w:w="1745" w:type="pct"/>
            <w:noWrap/>
            <w:vAlign w:val="center"/>
          </w:tcPr>
          <w:p w14:paraId="69319A47">
            <w:pPr>
              <w:pStyle w:val="179"/>
            </w:pPr>
            <w:r>
              <w:rPr>
                <w:rFonts w:hint="eastAsia"/>
              </w:rPr>
              <w:t>草丛</w:t>
            </w:r>
          </w:p>
        </w:tc>
        <w:tc>
          <w:tcPr>
            <w:tcW w:w="804" w:type="pct"/>
            <w:shd w:val="clear" w:color="auto" w:fill="auto"/>
            <w:noWrap/>
            <w:vAlign w:val="center"/>
          </w:tcPr>
          <w:p w14:paraId="0099034F">
            <w:pPr>
              <w:pStyle w:val="179"/>
            </w:pPr>
            <w:r>
              <w:t>64.63</w:t>
            </w:r>
          </w:p>
        </w:tc>
        <w:tc>
          <w:tcPr>
            <w:tcW w:w="849" w:type="pct"/>
            <w:shd w:val="clear" w:color="auto" w:fill="auto"/>
            <w:noWrap/>
            <w:vAlign w:val="center"/>
          </w:tcPr>
          <w:p w14:paraId="6B284810">
            <w:pPr>
              <w:pStyle w:val="179"/>
            </w:pPr>
            <w:r>
              <w:t>12.87</w:t>
            </w:r>
          </w:p>
        </w:tc>
      </w:tr>
      <w:tr w14:paraId="7C9F34B3">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608" w:type="pct"/>
            <w:noWrap/>
            <w:vAlign w:val="center"/>
          </w:tcPr>
          <w:p w14:paraId="1EEA453B">
            <w:pPr>
              <w:pStyle w:val="179"/>
            </w:pPr>
            <w:r>
              <w:rPr>
                <w:rFonts w:hint="eastAsia"/>
              </w:rPr>
              <w:t>3</w:t>
            </w:r>
          </w:p>
        </w:tc>
        <w:tc>
          <w:tcPr>
            <w:tcW w:w="992" w:type="pct"/>
            <w:noWrap/>
            <w:vAlign w:val="center"/>
          </w:tcPr>
          <w:p w14:paraId="25D0EA9D">
            <w:pPr>
              <w:pStyle w:val="179"/>
            </w:pPr>
            <w:r>
              <w:t>农田生态系统</w:t>
            </w:r>
          </w:p>
        </w:tc>
        <w:tc>
          <w:tcPr>
            <w:tcW w:w="1745" w:type="pct"/>
            <w:noWrap/>
            <w:vAlign w:val="center"/>
          </w:tcPr>
          <w:p w14:paraId="258BBDC9">
            <w:pPr>
              <w:pStyle w:val="179"/>
            </w:pPr>
            <w:r>
              <w:rPr>
                <w:rFonts w:hint="eastAsia"/>
              </w:rPr>
              <w:t>耕地</w:t>
            </w:r>
          </w:p>
        </w:tc>
        <w:tc>
          <w:tcPr>
            <w:tcW w:w="804" w:type="pct"/>
            <w:shd w:val="clear" w:color="auto" w:fill="auto"/>
            <w:noWrap/>
            <w:vAlign w:val="center"/>
          </w:tcPr>
          <w:p w14:paraId="348D1F9F">
            <w:pPr>
              <w:pStyle w:val="179"/>
            </w:pPr>
            <w:r>
              <w:t>121.88</w:t>
            </w:r>
          </w:p>
        </w:tc>
        <w:tc>
          <w:tcPr>
            <w:tcW w:w="849" w:type="pct"/>
            <w:shd w:val="clear" w:color="auto" w:fill="auto"/>
            <w:noWrap/>
            <w:vAlign w:val="center"/>
          </w:tcPr>
          <w:p w14:paraId="4ECCD839">
            <w:pPr>
              <w:pStyle w:val="179"/>
            </w:pPr>
            <w:r>
              <w:t>24.28</w:t>
            </w:r>
          </w:p>
        </w:tc>
      </w:tr>
      <w:tr w14:paraId="6BCD25C2">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608" w:type="pct"/>
            <w:noWrap/>
            <w:vAlign w:val="center"/>
          </w:tcPr>
          <w:p w14:paraId="6D8DC14E">
            <w:pPr>
              <w:pStyle w:val="179"/>
            </w:pPr>
            <w:r>
              <w:rPr>
                <w:rFonts w:hint="eastAsia"/>
              </w:rPr>
              <w:t>4</w:t>
            </w:r>
          </w:p>
        </w:tc>
        <w:tc>
          <w:tcPr>
            <w:tcW w:w="992" w:type="pct"/>
            <w:noWrap/>
            <w:vAlign w:val="center"/>
          </w:tcPr>
          <w:p w14:paraId="349E8033">
            <w:pPr>
              <w:pStyle w:val="179"/>
            </w:pPr>
            <w:r>
              <w:t>城镇生态系统</w:t>
            </w:r>
          </w:p>
        </w:tc>
        <w:tc>
          <w:tcPr>
            <w:tcW w:w="1745" w:type="pct"/>
            <w:noWrap/>
            <w:vAlign w:val="center"/>
          </w:tcPr>
          <w:p w14:paraId="12C78E56">
            <w:pPr>
              <w:pStyle w:val="179"/>
            </w:pPr>
            <w:r>
              <w:rPr>
                <w:rFonts w:hint="eastAsia"/>
              </w:rPr>
              <w:t>工矿交通</w:t>
            </w:r>
          </w:p>
        </w:tc>
        <w:tc>
          <w:tcPr>
            <w:tcW w:w="804" w:type="pct"/>
            <w:shd w:val="clear" w:color="auto" w:fill="auto"/>
            <w:noWrap/>
            <w:vAlign w:val="center"/>
          </w:tcPr>
          <w:p w14:paraId="0DB34B27">
            <w:pPr>
              <w:pStyle w:val="179"/>
            </w:pPr>
            <w:r>
              <w:t>12.47</w:t>
            </w:r>
          </w:p>
        </w:tc>
        <w:tc>
          <w:tcPr>
            <w:tcW w:w="849" w:type="pct"/>
            <w:shd w:val="clear" w:color="auto" w:fill="auto"/>
            <w:noWrap/>
            <w:vAlign w:val="center"/>
          </w:tcPr>
          <w:p w14:paraId="4D95F98D">
            <w:pPr>
              <w:pStyle w:val="179"/>
            </w:pPr>
            <w:r>
              <w:t>2.48</w:t>
            </w:r>
          </w:p>
        </w:tc>
      </w:tr>
      <w:tr w14:paraId="5F68EFC0">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608" w:type="pct"/>
            <w:noWrap/>
            <w:vAlign w:val="center"/>
          </w:tcPr>
          <w:p w14:paraId="7F58AF59">
            <w:pPr>
              <w:pStyle w:val="179"/>
            </w:pPr>
            <w:r>
              <w:rPr>
                <w:rFonts w:hint="eastAsia"/>
              </w:rPr>
              <w:t>5</w:t>
            </w:r>
          </w:p>
        </w:tc>
        <w:tc>
          <w:tcPr>
            <w:tcW w:w="992" w:type="pct"/>
            <w:noWrap/>
            <w:vAlign w:val="center"/>
          </w:tcPr>
          <w:p w14:paraId="7837C65C">
            <w:pPr>
              <w:pStyle w:val="179"/>
            </w:pPr>
            <w:r>
              <w:rPr>
                <w:rFonts w:hint="eastAsia"/>
              </w:rPr>
              <w:t>河流生态系统</w:t>
            </w:r>
          </w:p>
        </w:tc>
        <w:tc>
          <w:tcPr>
            <w:tcW w:w="1745" w:type="pct"/>
            <w:shd w:val="clear" w:color="auto" w:fill="auto"/>
            <w:noWrap/>
            <w:vAlign w:val="center"/>
          </w:tcPr>
          <w:p w14:paraId="6056420B">
            <w:pPr>
              <w:pStyle w:val="179"/>
            </w:pPr>
            <w:r>
              <w:rPr>
                <w:rFonts w:hint="eastAsia"/>
              </w:rPr>
              <w:t>河流</w:t>
            </w:r>
          </w:p>
        </w:tc>
        <w:tc>
          <w:tcPr>
            <w:tcW w:w="804" w:type="pct"/>
            <w:shd w:val="clear" w:color="auto" w:fill="auto"/>
            <w:noWrap/>
            <w:vAlign w:val="center"/>
          </w:tcPr>
          <w:p w14:paraId="07074E5C">
            <w:pPr>
              <w:pStyle w:val="179"/>
            </w:pPr>
            <w:r>
              <w:t>13.24</w:t>
            </w:r>
          </w:p>
        </w:tc>
        <w:tc>
          <w:tcPr>
            <w:tcW w:w="849" w:type="pct"/>
            <w:shd w:val="clear" w:color="auto" w:fill="auto"/>
            <w:noWrap/>
            <w:vAlign w:val="center"/>
          </w:tcPr>
          <w:p w14:paraId="7CA4A0CB">
            <w:pPr>
              <w:pStyle w:val="179"/>
            </w:pPr>
            <w:r>
              <w:t>2.64</w:t>
            </w:r>
          </w:p>
        </w:tc>
      </w:tr>
      <w:tr w14:paraId="652BE29F">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608" w:type="pct"/>
            <w:noWrap/>
            <w:vAlign w:val="center"/>
          </w:tcPr>
          <w:p w14:paraId="534D0005">
            <w:pPr>
              <w:pStyle w:val="179"/>
            </w:pPr>
            <w:r>
              <w:rPr>
                <w:rFonts w:hint="eastAsia"/>
              </w:rPr>
              <w:t>6</w:t>
            </w:r>
          </w:p>
        </w:tc>
        <w:tc>
          <w:tcPr>
            <w:tcW w:w="992" w:type="pct"/>
            <w:noWrap/>
            <w:vAlign w:val="center"/>
          </w:tcPr>
          <w:p w14:paraId="793B509D">
            <w:pPr>
              <w:pStyle w:val="179"/>
            </w:pPr>
            <w:r>
              <w:rPr>
                <w:rFonts w:hint="eastAsia"/>
              </w:rPr>
              <w:t>其他</w:t>
            </w:r>
          </w:p>
        </w:tc>
        <w:tc>
          <w:tcPr>
            <w:tcW w:w="1745" w:type="pct"/>
            <w:shd w:val="clear" w:color="auto" w:fill="auto"/>
            <w:noWrap/>
            <w:vAlign w:val="center"/>
          </w:tcPr>
          <w:p w14:paraId="294896D6">
            <w:pPr>
              <w:pStyle w:val="179"/>
            </w:pPr>
            <w:r>
              <w:rPr>
                <w:rFonts w:hint="eastAsia"/>
              </w:rPr>
              <w:t>裸地</w:t>
            </w:r>
          </w:p>
        </w:tc>
        <w:tc>
          <w:tcPr>
            <w:tcW w:w="804" w:type="pct"/>
            <w:shd w:val="clear" w:color="auto" w:fill="auto"/>
            <w:noWrap/>
            <w:vAlign w:val="center"/>
          </w:tcPr>
          <w:p w14:paraId="6A9B611B">
            <w:pPr>
              <w:pStyle w:val="179"/>
            </w:pPr>
            <w:r>
              <w:t>15.46</w:t>
            </w:r>
          </w:p>
        </w:tc>
        <w:tc>
          <w:tcPr>
            <w:tcW w:w="849" w:type="pct"/>
            <w:shd w:val="clear" w:color="auto" w:fill="auto"/>
            <w:noWrap/>
            <w:vAlign w:val="center"/>
          </w:tcPr>
          <w:p w14:paraId="535660EE">
            <w:pPr>
              <w:pStyle w:val="179"/>
            </w:pPr>
            <w:r>
              <w:t>3.08</w:t>
            </w:r>
          </w:p>
        </w:tc>
      </w:tr>
      <w:tr w14:paraId="1C7329C7">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346" w:type="pct"/>
            <w:gridSpan w:val="3"/>
            <w:noWrap/>
            <w:vAlign w:val="center"/>
          </w:tcPr>
          <w:p w14:paraId="7099C5D3">
            <w:pPr>
              <w:pStyle w:val="179"/>
            </w:pPr>
            <w:r>
              <w:rPr>
                <w:rFonts w:hint="eastAsia"/>
              </w:rPr>
              <w:t>合计</w:t>
            </w:r>
          </w:p>
        </w:tc>
        <w:tc>
          <w:tcPr>
            <w:tcW w:w="804" w:type="pct"/>
            <w:noWrap/>
            <w:vAlign w:val="center"/>
          </w:tcPr>
          <w:p w14:paraId="549AB418">
            <w:pPr>
              <w:pStyle w:val="179"/>
            </w:pPr>
            <w:r>
              <w:rPr>
                <w:rFonts w:hint="eastAsia"/>
              </w:rPr>
              <w:t>502.03</w:t>
            </w:r>
          </w:p>
        </w:tc>
        <w:tc>
          <w:tcPr>
            <w:tcW w:w="849" w:type="pct"/>
            <w:noWrap/>
            <w:vAlign w:val="center"/>
          </w:tcPr>
          <w:p w14:paraId="297D45F3">
            <w:pPr>
              <w:pStyle w:val="179"/>
            </w:pPr>
            <w:r>
              <w:rPr>
                <w:rFonts w:hint="eastAsia"/>
              </w:rPr>
              <w:t>100</w:t>
            </w:r>
          </w:p>
        </w:tc>
      </w:tr>
    </w:tbl>
    <w:p w14:paraId="4A8AE13D">
      <w:pPr>
        <w:ind w:firstLine="480"/>
      </w:pPr>
      <w:r>
        <w:rPr>
          <w:rFonts w:hint="eastAsia"/>
        </w:rPr>
        <w:t>（1）森林生态系统</w:t>
      </w:r>
    </w:p>
    <w:p w14:paraId="28CBD215">
      <w:pPr>
        <w:ind w:firstLine="480"/>
      </w:pPr>
      <w:r>
        <w:rPr>
          <w:rFonts w:hint="eastAsia"/>
        </w:rPr>
        <w:t>由表3.2-2可见，评价区森林生态系统面积为274.35</w:t>
      </w:r>
      <w:r>
        <w:t>hm</w:t>
      </w:r>
      <w:r>
        <w:rPr>
          <w:rFonts w:hint="eastAsia"/>
          <w:vertAlign w:val="superscript"/>
        </w:rPr>
        <w:t>2</w:t>
      </w:r>
      <w:r>
        <w:rPr>
          <w:rFonts w:hint="eastAsia"/>
        </w:rPr>
        <w:t>，占评价区生态系统总面积的54.65</w:t>
      </w:r>
      <w:r>
        <w:t>%</w:t>
      </w:r>
      <w:r>
        <w:rPr>
          <w:rFonts w:hint="eastAsia"/>
        </w:rPr>
        <w:t>。评价区内植被基本为森林植被，常见的有针叶林有落叶松林（</w:t>
      </w:r>
      <w:r>
        <w:rPr>
          <w:i/>
          <w:iCs/>
        </w:rPr>
        <w:t>Form. Larix gmelinii</w:t>
      </w:r>
      <w:r>
        <w:rPr>
          <w:rFonts w:hint="eastAsia"/>
        </w:rPr>
        <w:t>）；常见的落叶阔叶林有蒙古栎(</w:t>
      </w:r>
      <w:r>
        <w:rPr>
          <w:rFonts w:hint="eastAsia"/>
          <w:i/>
          <w:iCs/>
        </w:rPr>
        <w:t>Mongolian oak</w:t>
      </w:r>
      <w:r>
        <w:rPr>
          <w:rFonts w:hint="eastAsia"/>
        </w:rPr>
        <w:t>)。</w:t>
      </w:r>
    </w:p>
    <w:p w14:paraId="0AC54CB2">
      <w:pPr>
        <w:ind w:firstLine="480"/>
      </w:pPr>
      <w:r>
        <w:rPr>
          <w:rFonts w:hint="eastAsia"/>
        </w:rPr>
        <w:t>评价区森林生态系统中分布的鸟类有苍鹰</w:t>
      </w:r>
      <w:r>
        <w:t>（</w:t>
      </w:r>
      <w:r>
        <w:rPr>
          <w:rFonts w:hint="eastAsia"/>
          <w:i/>
        </w:rPr>
        <w:t>Goshawk</w:t>
      </w:r>
      <w:r>
        <w:t>）、</w:t>
      </w:r>
      <w:r>
        <w:rPr>
          <w:rFonts w:hint="eastAsia"/>
        </w:rPr>
        <w:t>红隼</w:t>
      </w:r>
      <w:r>
        <w:t>（</w:t>
      </w:r>
      <w:r>
        <w:rPr>
          <w:rFonts w:hint="eastAsia"/>
          <w:i/>
        </w:rPr>
        <w:t>Red Falcon</w:t>
      </w:r>
      <w:r>
        <w:t>）</w:t>
      </w:r>
      <w:r>
        <w:rPr>
          <w:rFonts w:hint="eastAsia"/>
        </w:rPr>
        <w:t>等，兽类有雪兔(</w:t>
      </w:r>
      <w:r>
        <w:rPr>
          <w:rFonts w:hint="eastAsia"/>
          <w:i/>
          <w:iCs/>
        </w:rPr>
        <w:t>Snow Rabbit</w:t>
      </w:r>
      <w:r>
        <w:rPr>
          <w:rFonts w:hint="eastAsia"/>
        </w:rPr>
        <w:t>)。</w:t>
      </w:r>
    </w:p>
    <w:p w14:paraId="16ECF545">
      <w:pPr>
        <w:ind w:firstLine="480"/>
      </w:pPr>
      <w:bookmarkStart w:id="317" w:name="_Toc1524"/>
      <w:r>
        <w:rPr>
          <w:rFonts w:hint="eastAsia"/>
        </w:rPr>
        <w:t>（2）草地生态系统</w:t>
      </w:r>
      <w:bookmarkEnd w:id="317"/>
    </w:p>
    <w:p w14:paraId="0766D9FE">
      <w:pPr>
        <w:ind w:firstLine="480"/>
      </w:pPr>
      <w:r>
        <w:rPr>
          <w:rFonts w:hint="eastAsia"/>
        </w:rPr>
        <w:t>评价区草地生态系统面积为64.63</w:t>
      </w:r>
      <w:r>
        <w:t>hm</w:t>
      </w:r>
      <w:r>
        <w:rPr>
          <w:rFonts w:hint="eastAsia"/>
          <w:vertAlign w:val="superscript"/>
        </w:rPr>
        <w:t>2</w:t>
      </w:r>
      <w:r>
        <w:rPr>
          <w:rFonts w:hint="eastAsia"/>
        </w:rPr>
        <w:t>，占评价区生态系统总面积的12.87</w:t>
      </w:r>
      <w:r>
        <w:t>%</w:t>
      </w:r>
      <w:r>
        <w:rPr>
          <w:rFonts w:hint="eastAsia"/>
        </w:rPr>
        <w:t>，根据现场调查，评价区草地生态系统在评价区内</w:t>
      </w:r>
      <w:r>
        <w:t>分布比较零散，主要位于低山丘陵林的间空地，且为零星分布的小块草地，没有成片的大面积草地。区内草地植被为</w:t>
      </w:r>
      <w:r>
        <w:rPr>
          <w:rFonts w:hint="eastAsia"/>
        </w:rPr>
        <w:t>林下草地</w:t>
      </w:r>
      <w:r>
        <w:t>，低山草甸多分布在山地的林间空地。由于区内草地</w:t>
      </w:r>
      <w:r>
        <w:rPr>
          <w:rFonts w:hint="eastAsia"/>
        </w:rPr>
        <w:t>比较少，</w:t>
      </w:r>
      <w:r>
        <w:t>基本不连片，构不成完整的生态系统，故其生态功能已大大下降。本区草地生态系统植被</w:t>
      </w:r>
      <w:r>
        <w:rPr>
          <w:rFonts w:hint="eastAsia"/>
        </w:rPr>
        <w:t>主要</w:t>
      </w:r>
      <w:r>
        <w:t>为</w:t>
      </w:r>
      <w:r>
        <w:rPr>
          <w:rFonts w:hint="eastAsia"/>
        </w:rPr>
        <w:t>狗尾草</w:t>
      </w:r>
      <w:r>
        <w:t>（</w:t>
      </w:r>
      <w:r>
        <w:rPr>
          <w:i/>
          <w:iCs/>
        </w:rPr>
        <w:t>Setaria viridis</w:t>
      </w:r>
      <w:r>
        <w:rPr>
          <w:rFonts w:hint="eastAsia"/>
          <w:i/>
          <w:iCs/>
        </w:rPr>
        <w:t xml:space="preserve"> （</w:t>
      </w:r>
      <w:r>
        <w:rPr>
          <w:i/>
          <w:iCs/>
        </w:rPr>
        <w:t>L.</w:t>
      </w:r>
      <w:r>
        <w:rPr>
          <w:rFonts w:hint="eastAsia"/>
          <w:i/>
          <w:iCs/>
        </w:rPr>
        <w:t>）</w:t>
      </w:r>
      <w:r>
        <w:rPr>
          <w:i/>
          <w:iCs/>
        </w:rPr>
        <w:t>P. Beauv.</w:t>
      </w:r>
      <w:r>
        <w:t>）、</w:t>
      </w:r>
      <w:r>
        <w:rPr>
          <w:rFonts w:hint="eastAsia"/>
        </w:rPr>
        <w:t>蒌蒿（</w:t>
      </w:r>
      <w:r>
        <w:rPr>
          <w:i/>
          <w:iCs/>
        </w:rPr>
        <w:t>Artemisia selengensis Turcz. ex Bess.</w:t>
      </w:r>
      <w:r>
        <w:rPr>
          <w:rFonts w:hint="eastAsia"/>
        </w:rPr>
        <w:t>）、长萼鸡眼草</w:t>
      </w:r>
      <w:r>
        <w:t>（</w:t>
      </w:r>
      <w:r>
        <w:rPr>
          <w:i/>
          <w:iCs/>
        </w:rPr>
        <w:t>Kummerowia stipulacea</w:t>
      </w:r>
      <w:r>
        <w:rPr>
          <w:rFonts w:hint="eastAsia"/>
          <w:i/>
          <w:iCs/>
        </w:rPr>
        <w:t>（</w:t>
      </w:r>
      <w:r>
        <w:rPr>
          <w:i/>
          <w:iCs/>
        </w:rPr>
        <w:t>Maxim.</w:t>
      </w:r>
      <w:r>
        <w:rPr>
          <w:rFonts w:hint="eastAsia"/>
          <w:i/>
          <w:iCs/>
        </w:rPr>
        <w:t>）</w:t>
      </w:r>
      <w:r>
        <w:rPr>
          <w:i/>
          <w:iCs/>
        </w:rPr>
        <w:t>Makino</w:t>
      </w:r>
      <w:r>
        <w:t>）</w:t>
      </w:r>
      <w:r>
        <w:rPr>
          <w:rFonts w:hint="eastAsia"/>
        </w:rPr>
        <w:t>等。</w:t>
      </w:r>
    </w:p>
    <w:p w14:paraId="27742983">
      <w:pPr>
        <w:ind w:firstLine="480"/>
      </w:pPr>
      <w:r>
        <w:t>总的来看，本区草地类型比较简单，面积较小且分散，难以构成完整的生态系统。</w:t>
      </w:r>
    </w:p>
    <w:p w14:paraId="25624134">
      <w:pPr>
        <w:ind w:firstLine="480"/>
      </w:pPr>
      <w:bookmarkStart w:id="318" w:name="_Toc24475"/>
      <w:r>
        <w:rPr>
          <w:rFonts w:hint="eastAsia"/>
        </w:rPr>
        <w:t>（3）农田生态系统</w:t>
      </w:r>
    </w:p>
    <w:p w14:paraId="583EDC9A">
      <w:pPr>
        <w:ind w:firstLine="480"/>
      </w:pPr>
      <w:r>
        <w:rPr>
          <w:rFonts w:hint="eastAsia"/>
        </w:rPr>
        <w:t>评价区农田生态系统面积为121.88</w:t>
      </w:r>
      <w:r>
        <w:t>hm</w:t>
      </w:r>
      <w:r>
        <w:rPr>
          <w:rFonts w:hint="eastAsia"/>
          <w:vertAlign w:val="superscript"/>
        </w:rPr>
        <w:t>2</w:t>
      </w:r>
      <w:r>
        <w:rPr>
          <w:rFonts w:hint="eastAsia"/>
        </w:rPr>
        <w:t>，占评价区生态系统总面积的24.28</w:t>
      </w:r>
      <w:r>
        <w:t>%</w:t>
      </w:r>
      <w:r>
        <w:rPr>
          <w:rFonts w:hint="eastAsia"/>
        </w:rPr>
        <w:t>，根据现场调查，评价区农田生态系统在评价区内</w:t>
      </w:r>
      <w:r>
        <w:t>分布</w:t>
      </w:r>
      <w:r>
        <w:rPr>
          <w:rFonts w:hint="eastAsia"/>
        </w:rPr>
        <w:t>较集中</w:t>
      </w:r>
      <w:r>
        <w:t>，</w:t>
      </w:r>
      <w:r>
        <w:rPr>
          <w:rFonts w:hint="eastAsia"/>
        </w:rPr>
        <w:t>位于靠近城镇一侧，主要作物为大豆（</w:t>
      </w:r>
      <w:r>
        <w:rPr>
          <w:rFonts w:hint="eastAsia"/>
          <w:i/>
          <w:iCs/>
        </w:rPr>
        <w:t>Glycine max （L.） Merr.</w:t>
      </w:r>
      <w:r>
        <w:rPr>
          <w:rFonts w:hint="eastAsia"/>
        </w:rPr>
        <w:t>）。</w:t>
      </w:r>
    </w:p>
    <w:p w14:paraId="241CD494">
      <w:pPr>
        <w:ind w:firstLine="480"/>
      </w:pPr>
      <w:r>
        <w:t>总的来看，本区</w:t>
      </w:r>
      <w:r>
        <w:rPr>
          <w:rFonts w:hint="eastAsia"/>
        </w:rPr>
        <w:t>农田</w:t>
      </w:r>
      <w:r>
        <w:t>类型比较简单，面积较小且分散，难以构成完整的生态系统。</w:t>
      </w:r>
      <w:r>
        <w:rPr>
          <w:rFonts w:hint="eastAsia"/>
        </w:rPr>
        <w:t>评价区农田生态系统中分布的两爬类有中华蟾蜍（</w:t>
      </w:r>
      <w:r>
        <w:rPr>
          <w:rFonts w:hint="eastAsia"/>
          <w:i/>
          <w:iCs/>
        </w:rPr>
        <w:t>Bufo gargarizans</w:t>
      </w:r>
      <w:r>
        <w:rPr>
          <w:rFonts w:hint="eastAsia"/>
        </w:rPr>
        <w:t>）、花背蟾蜍（</w:t>
      </w:r>
      <w:r>
        <w:rPr>
          <w:i/>
          <w:iCs/>
        </w:rPr>
        <w:t>Bufo raddei Strauch</w:t>
      </w:r>
      <w:r>
        <w:rPr>
          <w:rFonts w:hint="eastAsia"/>
        </w:rPr>
        <w:t>）等，鸟类有</w:t>
      </w:r>
      <w:r>
        <w:t>家麻雀</w:t>
      </w:r>
      <w:r>
        <w:rPr>
          <w:rFonts w:hint="eastAsia"/>
        </w:rPr>
        <w:t xml:space="preserve"> （</w:t>
      </w:r>
      <w:r>
        <w:rPr>
          <w:i/>
          <w:iCs/>
        </w:rPr>
        <w:t>Passer domesticus</w:t>
      </w:r>
      <w:r>
        <w:rPr>
          <w:rFonts w:hint="eastAsia"/>
        </w:rPr>
        <w:t>）</w:t>
      </w:r>
      <w:r>
        <w:t xml:space="preserve">、灰喜鹊 </w:t>
      </w:r>
      <w:r>
        <w:rPr>
          <w:rFonts w:hint="eastAsia"/>
        </w:rPr>
        <w:t>（</w:t>
      </w:r>
      <w:r>
        <w:rPr>
          <w:i/>
          <w:iCs/>
        </w:rPr>
        <w:t>Cyanopica cyana</w:t>
      </w:r>
      <w:r>
        <w:rPr>
          <w:rFonts w:hint="eastAsia"/>
        </w:rPr>
        <w:t>）等，兽类有黑线姬鼠（</w:t>
      </w:r>
      <w:r>
        <w:rPr>
          <w:i/>
          <w:iCs/>
        </w:rPr>
        <w:t>Apodemus agrarius</w:t>
      </w:r>
      <w:r>
        <w:rPr>
          <w:rFonts w:hint="eastAsia"/>
        </w:rPr>
        <w:t>）、褐家鼠（</w:t>
      </w:r>
      <w:r>
        <w:rPr>
          <w:i/>
          <w:iCs/>
        </w:rPr>
        <w:t>Rattus norvegicus</w:t>
      </w:r>
      <w:r>
        <w:rPr>
          <w:rFonts w:hint="eastAsia"/>
        </w:rPr>
        <w:t>等）。</w:t>
      </w:r>
    </w:p>
    <w:p w14:paraId="2B042C96">
      <w:pPr>
        <w:ind w:firstLine="480"/>
      </w:pPr>
      <w:r>
        <w:rPr>
          <w:rFonts w:hint="eastAsia"/>
        </w:rPr>
        <w:t>（4）城镇生态系统</w:t>
      </w:r>
      <w:bookmarkEnd w:id="318"/>
    </w:p>
    <w:p w14:paraId="01A31FD9">
      <w:pPr>
        <w:ind w:firstLine="480"/>
      </w:pPr>
      <w:r>
        <w:rPr>
          <w:rFonts w:hint="eastAsia"/>
        </w:rPr>
        <w:t>评价区内城镇生态系统面积为12.47</w:t>
      </w:r>
      <w:r>
        <w:t>hm</w:t>
      </w:r>
      <w:r>
        <w:rPr>
          <w:rFonts w:hint="eastAsia"/>
          <w:vertAlign w:val="superscript"/>
        </w:rPr>
        <w:t>2</w:t>
      </w:r>
      <w:r>
        <w:rPr>
          <w:rFonts w:hint="eastAsia"/>
        </w:rPr>
        <w:t>，占评价区生态系统总面积的2.48</w:t>
      </w:r>
      <w:r>
        <w:t>%</w:t>
      </w:r>
      <w:r>
        <w:rPr>
          <w:rFonts w:hint="eastAsia"/>
        </w:rPr>
        <w:t>，根据现场调查，评价区内城镇生态系统基本都是工矿交通用地。</w:t>
      </w:r>
    </w:p>
    <w:p w14:paraId="3FF2946D">
      <w:pPr>
        <w:ind w:firstLine="480"/>
      </w:pPr>
      <w:bookmarkStart w:id="319" w:name="_Toc32310"/>
      <w:r>
        <w:rPr>
          <w:rFonts w:hint="eastAsia"/>
        </w:rPr>
        <w:t>（5）其他生态系统</w:t>
      </w:r>
      <w:bookmarkEnd w:id="319"/>
    </w:p>
    <w:p w14:paraId="4E6CCCC7">
      <w:pPr>
        <w:ind w:firstLine="480"/>
      </w:pPr>
      <w:r>
        <w:rPr>
          <w:rFonts w:hint="eastAsia"/>
        </w:rPr>
        <w:t>评价区内其他生态系统面积为15.46</w:t>
      </w:r>
      <w:r>
        <w:t>hm</w:t>
      </w:r>
      <w:r>
        <w:rPr>
          <w:rFonts w:hint="eastAsia"/>
          <w:vertAlign w:val="superscript"/>
        </w:rPr>
        <w:t>2</w:t>
      </w:r>
      <w:r>
        <w:rPr>
          <w:rFonts w:hint="eastAsia"/>
        </w:rPr>
        <w:t>，占评价区生态系统总面积的3.08</w:t>
      </w:r>
      <w:r>
        <w:t>%</w:t>
      </w:r>
      <w:r>
        <w:rPr>
          <w:rFonts w:hint="eastAsia"/>
        </w:rPr>
        <w:t>，根据现场调查，评价区内其他生态系统基本都是由于以前私采滥挖，已作为历史遗留矿山，地表腐殖土已经剥离，地表岩体裸露。</w:t>
      </w:r>
    </w:p>
    <w:p w14:paraId="247C88CC">
      <w:pPr>
        <w:ind w:firstLine="480"/>
      </w:pPr>
      <w:r>
        <w:rPr>
          <w:rFonts w:hint="eastAsia"/>
        </w:rPr>
        <w:t>评价区其他生态系统基本为裸地，</w:t>
      </w:r>
      <w:r>
        <w:t>地表腐殖土已经剥离，地表岩体裸露。</w:t>
      </w:r>
      <w:r>
        <w:rPr>
          <w:rFonts w:hint="eastAsia"/>
        </w:rPr>
        <w:t>根据调查，其表面基本无动物分布。</w:t>
      </w:r>
    </w:p>
    <w:p w14:paraId="15EE3A5C">
      <w:pPr>
        <w:pStyle w:val="178"/>
      </w:pPr>
      <w:r>
        <w:drawing>
          <wp:inline distT="0" distB="0" distL="114300" distR="114300">
            <wp:extent cx="5303520" cy="4070985"/>
            <wp:effectExtent l="19050" t="0" r="0" b="0"/>
            <wp:docPr id="49" name="图片 30" descr="生态系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0" descr="生态系统"/>
                    <pic:cNvPicPr>
                      <a:picLocks noChangeAspect="1"/>
                    </pic:cNvPicPr>
                  </pic:nvPicPr>
                  <pic:blipFill>
                    <a:blip r:embed="rId80"/>
                    <a:srcRect l="3690" r="4108"/>
                    <a:stretch>
                      <a:fillRect/>
                    </a:stretch>
                  </pic:blipFill>
                  <pic:spPr>
                    <a:xfrm>
                      <a:off x="0" y="0"/>
                      <a:ext cx="5304064" cy="4071257"/>
                    </a:xfrm>
                    <a:prstGeom prst="rect">
                      <a:avLst/>
                    </a:prstGeom>
                  </pic:spPr>
                </pic:pic>
              </a:graphicData>
            </a:graphic>
          </wp:inline>
        </w:drawing>
      </w:r>
    </w:p>
    <w:p w14:paraId="74ED1C27">
      <w:pPr>
        <w:pStyle w:val="178"/>
      </w:pPr>
      <w:r>
        <w:rPr>
          <w:rFonts w:hint="eastAsia"/>
        </w:rPr>
        <w:t>图4.3-4  生态类型系统图</w:t>
      </w:r>
    </w:p>
    <w:p w14:paraId="4176FAD3">
      <w:pPr>
        <w:pStyle w:val="178"/>
      </w:pPr>
    </w:p>
    <w:p w14:paraId="2B1955F8">
      <w:pPr>
        <w:ind w:firstLine="480"/>
      </w:pPr>
    </w:p>
    <w:p w14:paraId="6E5C4A2E">
      <w:pPr>
        <w:pStyle w:val="4"/>
        <w:spacing w:before="180" w:after="120"/>
        <w:rPr>
          <w:rFonts w:hAnsi="Times New Roman" w:cs="Times New Roman"/>
        </w:rPr>
      </w:pPr>
      <w:bookmarkStart w:id="320" w:name="_Toc29246"/>
      <w:r>
        <w:rPr>
          <w:rFonts w:hAnsi="Times New Roman" w:cs="Times New Roman"/>
        </w:rPr>
        <w:t>植被及植物群落</w:t>
      </w:r>
      <w:bookmarkEnd w:id="320"/>
    </w:p>
    <w:p w14:paraId="3DD05C35">
      <w:pPr>
        <w:pStyle w:val="5"/>
        <w:spacing w:before="120" w:after="120"/>
      </w:pPr>
      <w:r>
        <w:t>植物调查样方设置</w:t>
      </w:r>
    </w:p>
    <w:p w14:paraId="0725873F">
      <w:pPr>
        <w:ind w:firstLine="480"/>
      </w:pPr>
      <w:r>
        <w:rPr>
          <w:rFonts w:hint="eastAsia"/>
        </w:rPr>
        <w:t>为进一步了解拟建项目评价范围内目前生态系统的现状，根据《环境影响评价技术导则 生态影响》（HJ19-2022），一级评价每种群落类型设置的样方数量不少于5个。植物调查时间为</w:t>
      </w:r>
      <w:r>
        <w:t>202</w:t>
      </w:r>
      <w:r>
        <w:rPr>
          <w:rFonts w:hint="eastAsia"/>
        </w:rPr>
        <w:t>5</w:t>
      </w:r>
      <w:r>
        <w:t>年</w:t>
      </w:r>
      <w:r>
        <w:rPr>
          <w:rFonts w:hint="eastAsia"/>
        </w:rPr>
        <w:t>7</w:t>
      </w:r>
      <w:r>
        <w:t>月-</w:t>
      </w:r>
      <w:r>
        <w:rPr>
          <w:rFonts w:hint="eastAsia"/>
        </w:rPr>
        <w:t>8</w:t>
      </w:r>
      <w:r>
        <w:t>月</w:t>
      </w:r>
      <w:r>
        <w:rPr>
          <w:rFonts w:hint="eastAsia"/>
        </w:rPr>
        <w:t>、</w:t>
      </w:r>
      <w:r>
        <w:t>202</w:t>
      </w:r>
      <w:r>
        <w:rPr>
          <w:rFonts w:hint="eastAsia"/>
        </w:rPr>
        <w:t>6</w:t>
      </w:r>
      <w:r>
        <w:t>年</w:t>
      </w:r>
      <w:r>
        <w:rPr>
          <w:rFonts w:hint="eastAsia"/>
        </w:rPr>
        <w:t>5</w:t>
      </w:r>
      <w:r>
        <w:t>月-202</w:t>
      </w:r>
      <w:r>
        <w:rPr>
          <w:rFonts w:hint="eastAsia"/>
        </w:rPr>
        <w:t>6</w:t>
      </w:r>
      <w:r>
        <w:t>年</w:t>
      </w:r>
      <w:r>
        <w:rPr>
          <w:rFonts w:hint="eastAsia"/>
        </w:rPr>
        <w:t>6</w:t>
      </w:r>
      <w:r>
        <w:t>月</w:t>
      </w:r>
      <w:r>
        <w:rPr>
          <w:rFonts w:hint="eastAsia"/>
        </w:rPr>
        <w:t>，为植物生长旺盛时期，样方均布设在评价范围内，样方布设的整体原则是代表性、典型性、经济性、可行性，在项目占地区、间接影响均要布设样方。根据对评价区资料分析与现场调查，本工程评价范围内共涉及3种群落类型，分别为蒙古栎阔叶林、落叶松针叶林和杂草草甸，群类类型为占地范围内广泛分布植被。评价范围内共设置15个样方，其中10个乔木植被样方和5个草本植物样方。调查采用《国家植被调查规范》中的样方方法。为避免取样误差，采取两人以上进行观察记录，消除主观因素。样方调查内容包括植物种类、株数、胸径、株高、物种盖度。植物样方调查点位见图4.3-5。</w:t>
      </w:r>
    </w:p>
    <w:p w14:paraId="663B32C2">
      <w:pPr>
        <w:pStyle w:val="178"/>
      </w:pPr>
      <w:r>
        <w:rPr>
          <w:rFonts w:hint="eastAsia"/>
        </w:rPr>
        <w:t>表4.3-3  评价范围样方分布表</w:t>
      </w:r>
    </w:p>
    <w:tbl>
      <w:tblPr>
        <w:tblStyle w:val="37"/>
        <w:tblW w:w="4996"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654"/>
        <w:gridCol w:w="2610"/>
        <w:gridCol w:w="1976"/>
        <w:gridCol w:w="2053"/>
        <w:gridCol w:w="1172"/>
      </w:tblGrid>
      <w:tr w14:paraId="4EF36BE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86" w:type="pct"/>
            <w:noWrap/>
            <w:vAlign w:val="center"/>
          </w:tcPr>
          <w:p w14:paraId="4603E886">
            <w:pPr>
              <w:pStyle w:val="179"/>
              <w:widowControl w:val="0"/>
              <w:rPr>
                <w:b/>
              </w:rPr>
            </w:pPr>
            <w:r>
              <w:rPr>
                <w:b/>
              </w:rPr>
              <w:t>序号</w:t>
            </w:r>
          </w:p>
        </w:tc>
        <w:tc>
          <w:tcPr>
            <w:tcW w:w="1541" w:type="pct"/>
            <w:noWrap/>
            <w:vAlign w:val="center"/>
          </w:tcPr>
          <w:p w14:paraId="4FD8380F">
            <w:pPr>
              <w:pStyle w:val="179"/>
              <w:widowControl w:val="0"/>
              <w:rPr>
                <w:b/>
              </w:rPr>
            </w:pPr>
            <w:r>
              <w:rPr>
                <w:b/>
              </w:rPr>
              <w:t>植被类型</w:t>
            </w:r>
          </w:p>
        </w:tc>
        <w:tc>
          <w:tcPr>
            <w:tcW w:w="1167" w:type="pct"/>
            <w:noWrap/>
            <w:vAlign w:val="center"/>
          </w:tcPr>
          <w:p w14:paraId="23FD6568">
            <w:pPr>
              <w:pStyle w:val="179"/>
              <w:widowControl w:val="0"/>
              <w:rPr>
                <w:b/>
              </w:rPr>
            </w:pPr>
            <w:r>
              <w:rPr>
                <w:b/>
              </w:rPr>
              <w:t>经度（°E）</w:t>
            </w:r>
          </w:p>
        </w:tc>
        <w:tc>
          <w:tcPr>
            <w:tcW w:w="1212" w:type="pct"/>
            <w:noWrap/>
            <w:vAlign w:val="center"/>
          </w:tcPr>
          <w:p w14:paraId="5F29D7AC">
            <w:pPr>
              <w:pStyle w:val="179"/>
              <w:widowControl w:val="0"/>
              <w:rPr>
                <w:b/>
              </w:rPr>
            </w:pPr>
            <w:r>
              <w:rPr>
                <w:b/>
              </w:rPr>
              <w:t>纬度（°N）</w:t>
            </w:r>
          </w:p>
        </w:tc>
        <w:tc>
          <w:tcPr>
            <w:tcW w:w="692" w:type="pct"/>
            <w:noWrap/>
            <w:vAlign w:val="center"/>
          </w:tcPr>
          <w:p w14:paraId="5272E2B2">
            <w:pPr>
              <w:pStyle w:val="179"/>
              <w:widowControl w:val="0"/>
              <w:rPr>
                <w:b/>
              </w:rPr>
            </w:pPr>
            <w:r>
              <w:rPr>
                <w:b/>
              </w:rPr>
              <w:t>样方面积</w:t>
            </w:r>
          </w:p>
        </w:tc>
      </w:tr>
      <w:tr w14:paraId="47B3559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86" w:type="pct"/>
            <w:noWrap/>
            <w:vAlign w:val="center"/>
          </w:tcPr>
          <w:p w14:paraId="6E2127B6">
            <w:pPr>
              <w:pStyle w:val="179"/>
              <w:widowControl w:val="0"/>
            </w:pPr>
            <w:r>
              <w:t>#1</w:t>
            </w:r>
          </w:p>
        </w:tc>
        <w:tc>
          <w:tcPr>
            <w:tcW w:w="1541" w:type="pct"/>
            <w:noWrap/>
            <w:vAlign w:val="center"/>
          </w:tcPr>
          <w:p w14:paraId="7D81D566">
            <w:pPr>
              <w:pStyle w:val="179"/>
              <w:widowControl w:val="0"/>
            </w:pPr>
            <w:r>
              <w:t>蒙古栎样方1</w:t>
            </w:r>
          </w:p>
        </w:tc>
        <w:tc>
          <w:tcPr>
            <w:tcW w:w="1167" w:type="pct"/>
            <w:noWrap/>
            <w:vAlign w:val="center"/>
          </w:tcPr>
          <w:p w14:paraId="43B3C9C5">
            <w:pPr>
              <w:pStyle w:val="179"/>
              <w:widowControl w:val="0"/>
            </w:pPr>
            <w:r>
              <w:t>49°27'6.5520"N</w:t>
            </w:r>
          </w:p>
        </w:tc>
        <w:tc>
          <w:tcPr>
            <w:tcW w:w="1212" w:type="pct"/>
            <w:noWrap/>
            <w:vAlign w:val="center"/>
          </w:tcPr>
          <w:p w14:paraId="756D97B4">
            <w:pPr>
              <w:pStyle w:val="179"/>
              <w:widowControl w:val="0"/>
            </w:pPr>
            <w:r>
              <w:t>126°18'11.7720"E</w:t>
            </w:r>
          </w:p>
        </w:tc>
        <w:tc>
          <w:tcPr>
            <w:tcW w:w="692" w:type="pct"/>
            <w:noWrap/>
            <w:vAlign w:val="center"/>
          </w:tcPr>
          <w:p w14:paraId="2E048C0A">
            <w:pPr>
              <w:pStyle w:val="179"/>
              <w:widowControl w:val="0"/>
            </w:pPr>
            <w:r>
              <w:t>20m*20m</w:t>
            </w:r>
          </w:p>
        </w:tc>
      </w:tr>
      <w:tr w14:paraId="0D2DAA3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86" w:type="pct"/>
            <w:noWrap/>
            <w:vAlign w:val="center"/>
          </w:tcPr>
          <w:p w14:paraId="67791353">
            <w:pPr>
              <w:pStyle w:val="179"/>
              <w:widowControl w:val="0"/>
            </w:pPr>
            <w:r>
              <w:t>#2</w:t>
            </w:r>
          </w:p>
        </w:tc>
        <w:tc>
          <w:tcPr>
            <w:tcW w:w="1541" w:type="pct"/>
            <w:noWrap/>
            <w:vAlign w:val="center"/>
          </w:tcPr>
          <w:p w14:paraId="19F6E20B">
            <w:pPr>
              <w:pStyle w:val="179"/>
              <w:widowControl w:val="0"/>
            </w:pPr>
            <w:r>
              <w:t>蒙古栎样方2</w:t>
            </w:r>
          </w:p>
        </w:tc>
        <w:tc>
          <w:tcPr>
            <w:tcW w:w="1167" w:type="pct"/>
            <w:noWrap/>
            <w:vAlign w:val="center"/>
          </w:tcPr>
          <w:p w14:paraId="0DC67F65">
            <w:pPr>
              <w:pStyle w:val="179"/>
              <w:widowControl w:val="0"/>
            </w:pPr>
            <w:r>
              <w:t>49°26'55.5900"N</w:t>
            </w:r>
          </w:p>
        </w:tc>
        <w:tc>
          <w:tcPr>
            <w:tcW w:w="1212" w:type="pct"/>
            <w:noWrap/>
            <w:vAlign w:val="center"/>
          </w:tcPr>
          <w:p w14:paraId="4F018D7B">
            <w:pPr>
              <w:pStyle w:val="179"/>
              <w:widowControl w:val="0"/>
            </w:pPr>
            <w:r>
              <w:t>126°18'7.1172"E</w:t>
            </w:r>
          </w:p>
        </w:tc>
        <w:tc>
          <w:tcPr>
            <w:tcW w:w="692" w:type="pct"/>
            <w:noWrap/>
            <w:vAlign w:val="center"/>
          </w:tcPr>
          <w:p w14:paraId="75FF87C8">
            <w:pPr>
              <w:pStyle w:val="179"/>
              <w:widowControl w:val="0"/>
            </w:pPr>
            <w:r>
              <w:t>20m*20m</w:t>
            </w:r>
          </w:p>
        </w:tc>
      </w:tr>
      <w:tr w14:paraId="421648E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86" w:type="pct"/>
            <w:noWrap/>
            <w:vAlign w:val="center"/>
          </w:tcPr>
          <w:p w14:paraId="32878BFD">
            <w:pPr>
              <w:pStyle w:val="179"/>
              <w:widowControl w:val="0"/>
            </w:pPr>
            <w:r>
              <w:t>#3</w:t>
            </w:r>
          </w:p>
        </w:tc>
        <w:tc>
          <w:tcPr>
            <w:tcW w:w="1541" w:type="pct"/>
            <w:noWrap/>
            <w:vAlign w:val="center"/>
          </w:tcPr>
          <w:p w14:paraId="38B45F62">
            <w:pPr>
              <w:pStyle w:val="179"/>
              <w:widowControl w:val="0"/>
            </w:pPr>
            <w:r>
              <w:t>蒙古栎样方3</w:t>
            </w:r>
          </w:p>
        </w:tc>
        <w:tc>
          <w:tcPr>
            <w:tcW w:w="1167" w:type="pct"/>
            <w:noWrap/>
            <w:vAlign w:val="center"/>
          </w:tcPr>
          <w:p w14:paraId="2302BC10">
            <w:pPr>
              <w:pStyle w:val="179"/>
              <w:widowControl w:val="0"/>
            </w:pPr>
            <w:r>
              <w:t>49°26'46.1868"N</w:t>
            </w:r>
          </w:p>
        </w:tc>
        <w:tc>
          <w:tcPr>
            <w:tcW w:w="1212" w:type="pct"/>
            <w:noWrap/>
            <w:vAlign w:val="center"/>
          </w:tcPr>
          <w:p w14:paraId="27F612C4">
            <w:pPr>
              <w:pStyle w:val="179"/>
              <w:widowControl w:val="0"/>
            </w:pPr>
            <w:r>
              <w:t>126°18'19.0332"E</w:t>
            </w:r>
          </w:p>
        </w:tc>
        <w:tc>
          <w:tcPr>
            <w:tcW w:w="692" w:type="pct"/>
            <w:noWrap/>
            <w:vAlign w:val="center"/>
          </w:tcPr>
          <w:p w14:paraId="60F1D390">
            <w:pPr>
              <w:pStyle w:val="179"/>
              <w:widowControl w:val="0"/>
            </w:pPr>
            <w:r>
              <w:t>20m*20m</w:t>
            </w:r>
          </w:p>
        </w:tc>
      </w:tr>
      <w:tr w14:paraId="2746DF7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86" w:type="pct"/>
            <w:noWrap/>
            <w:vAlign w:val="center"/>
          </w:tcPr>
          <w:p w14:paraId="6CB7EC91">
            <w:pPr>
              <w:pStyle w:val="179"/>
              <w:widowControl w:val="0"/>
            </w:pPr>
            <w:r>
              <w:t>#4</w:t>
            </w:r>
          </w:p>
        </w:tc>
        <w:tc>
          <w:tcPr>
            <w:tcW w:w="1541" w:type="pct"/>
            <w:noWrap/>
            <w:vAlign w:val="center"/>
          </w:tcPr>
          <w:p w14:paraId="3A5041DB">
            <w:pPr>
              <w:pStyle w:val="179"/>
              <w:widowControl w:val="0"/>
            </w:pPr>
            <w:r>
              <w:t>蒙古栎样方4</w:t>
            </w:r>
          </w:p>
        </w:tc>
        <w:tc>
          <w:tcPr>
            <w:tcW w:w="1167" w:type="pct"/>
            <w:noWrap/>
            <w:vAlign w:val="center"/>
          </w:tcPr>
          <w:p w14:paraId="392417A8">
            <w:pPr>
              <w:pStyle w:val="179"/>
              <w:widowControl w:val="0"/>
            </w:pPr>
            <w:r>
              <w:t>49°26′58.8696″N</w:t>
            </w:r>
          </w:p>
        </w:tc>
        <w:tc>
          <w:tcPr>
            <w:tcW w:w="1212" w:type="pct"/>
            <w:noWrap/>
            <w:vAlign w:val="center"/>
          </w:tcPr>
          <w:p w14:paraId="0EF86960">
            <w:pPr>
              <w:pStyle w:val="179"/>
              <w:widowControl w:val="0"/>
            </w:pPr>
            <w:r>
              <w:t>126°18′31.7016″E</w:t>
            </w:r>
          </w:p>
        </w:tc>
        <w:tc>
          <w:tcPr>
            <w:tcW w:w="692" w:type="pct"/>
            <w:noWrap/>
            <w:vAlign w:val="center"/>
          </w:tcPr>
          <w:p w14:paraId="0C73C84A">
            <w:pPr>
              <w:pStyle w:val="179"/>
              <w:widowControl w:val="0"/>
            </w:pPr>
            <w:r>
              <w:t>20m*20m</w:t>
            </w:r>
          </w:p>
        </w:tc>
      </w:tr>
      <w:tr w14:paraId="5DC0F89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86" w:type="pct"/>
            <w:noWrap/>
            <w:vAlign w:val="center"/>
          </w:tcPr>
          <w:p w14:paraId="160B8B4E">
            <w:pPr>
              <w:pStyle w:val="179"/>
              <w:widowControl w:val="0"/>
            </w:pPr>
            <w:r>
              <w:t>#5</w:t>
            </w:r>
          </w:p>
        </w:tc>
        <w:tc>
          <w:tcPr>
            <w:tcW w:w="1541" w:type="pct"/>
            <w:noWrap/>
            <w:vAlign w:val="center"/>
          </w:tcPr>
          <w:p w14:paraId="72DECB51">
            <w:pPr>
              <w:pStyle w:val="179"/>
              <w:widowControl w:val="0"/>
            </w:pPr>
            <w:r>
              <w:t>蒙古栎样方5</w:t>
            </w:r>
          </w:p>
        </w:tc>
        <w:tc>
          <w:tcPr>
            <w:tcW w:w="1167" w:type="pct"/>
            <w:noWrap/>
            <w:vAlign w:val="center"/>
          </w:tcPr>
          <w:p w14:paraId="38806336">
            <w:pPr>
              <w:pStyle w:val="179"/>
              <w:widowControl w:val="0"/>
            </w:pPr>
            <w:r>
              <w:t>49°26′55.4338″N</w:t>
            </w:r>
          </w:p>
        </w:tc>
        <w:tc>
          <w:tcPr>
            <w:tcW w:w="1212" w:type="pct"/>
            <w:noWrap/>
            <w:vAlign w:val="center"/>
          </w:tcPr>
          <w:p w14:paraId="6B296F6C">
            <w:pPr>
              <w:pStyle w:val="179"/>
              <w:widowControl w:val="0"/>
            </w:pPr>
            <w:r>
              <w:t>126°17′17.5092″E</w:t>
            </w:r>
          </w:p>
        </w:tc>
        <w:tc>
          <w:tcPr>
            <w:tcW w:w="692" w:type="pct"/>
            <w:noWrap/>
            <w:vAlign w:val="center"/>
          </w:tcPr>
          <w:p w14:paraId="436FE8E0">
            <w:pPr>
              <w:pStyle w:val="179"/>
              <w:widowControl w:val="0"/>
            </w:pPr>
            <w:r>
              <w:t>20m*20m</w:t>
            </w:r>
          </w:p>
        </w:tc>
      </w:tr>
      <w:tr w14:paraId="497BA20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86" w:type="pct"/>
            <w:noWrap/>
            <w:vAlign w:val="center"/>
          </w:tcPr>
          <w:p w14:paraId="29A2DD86">
            <w:pPr>
              <w:pStyle w:val="179"/>
              <w:widowControl w:val="0"/>
            </w:pPr>
            <w:r>
              <w:t>#6</w:t>
            </w:r>
          </w:p>
        </w:tc>
        <w:tc>
          <w:tcPr>
            <w:tcW w:w="1541" w:type="pct"/>
            <w:noWrap/>
            <w:vAlign w:val="center"/>
          </w:tcPr>
          <w:p w14:paraId="65FC613F">
            <w:pPr>
              <w:pStyle w:val="179"/>
              <w:widowControl w:val="0"/>
            </w:pPr>
            <w:r>
              <w:t>落叶松样方1</w:t>
            </w:r>
          </w:p>
        </w:tc>
        <w:tc>
          <w:tcPr>
            <w:tcW w:w="1167" w:type="pct"/>
            <w:noWrap/>
            <w:vAlign w:val="center"/>
          </w:tcPr>
          <w:p w14:paraId="6C066036">
            <w:pPr>
              <w:pStyle w:val="179"/>
              <w:widowControl w:val="0"/>
            </w:pPr>
            <w:r>
              <w:t>49°26'20.5476"N</w:t>
            </w:r>
          </w:p>
        </w:tc>
        <w:tc>
          <w:tcPr>
            <w:tcW w:w="1212" w:type="pct"/>
            <w:noWrap/>
            <w:vAlign w:val="center"/>
          </w:tcPr>
          <w:p w14:paraId="1ABBBD63">
            <w:pPr>
              <w:pStyle w:val="179"/>
              <w:widowControl w:val="0"/>
            </w:pPr>
            <w:r>
              <w:t>126°18'9.5328"E</w:t>
            </w:r>
          </w:p>
        </w:tc>
        <w:tc>
          <w:tcPr>
            <w:tcW w:w="692" w:type="pct"/>
            <w:noWrap/>
            <w:vAlign w:val="center"/>
          </w:tcPr>
          <w:p w14:paraId="2A43369F">
            <w:pPr>
              <w:pStyle w:val="179"/>
              <w:widowControl w:val="0"/>
            </w:pPr>
            <w:r>
              <w:t>20m*20m</w:t>
            </w:r>
          </w:p>
        </w:tc>
      </w:tr>
      <w:tr w14:paraId="1C73F3A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86" w:type="pct"/>
            <w:noWrap/>
            <w:vAlign w:val="center"/>
          </w:tcPr>
          <w:p w14:paraId="1917272A">
            <w:pPr>
              <w:pStyle w:val="179"/>
              <w:widowControl w:val="0"/>
            </w:pPr>
            <w:r>
              <w:t>#7</w:t>
            </w:r>
          </w:p>
        </w:tc>
        <w:tc>
          <w:tcPr>
            <w:tcW w:w="1541" w:type="pct"/>
            <w:noWrap/>
            <w:vAlign w:val="center"/>
          </w:tcPr>
          <w:p w14:paraId="442CF2B5">
            <w:pPr>
              <w:pStyle w:val="179"/>
              <w:widowControl w:val="0"/>
            </w:pPr>
            <w:r>
              <w:t>落叶松样方2</w:t>
            </w:r>
          </w:p>
        </w:tc>
        <w:tc>
          <w:tcPr>
            <w:tcW w:w="1167" w:type="pct"/>
            <w:noWrap/>
            <w:vAlign w:val="center"/>
          </w:tcPr>
          <w:p w14:paraId="61A7F055">
            <w:pPr>
              <w:pStyle w:val="179"/>
              <w:widowControl w:val="0"/>
            </w:pPr>
            <w:r>
              <w:t>49°27′21.6684″N</w:t>
            </w:r>
          </w:p>
        </w:tc>
        <w:tc>
          <w:tcPr>
            <w:tcW w:w="1212" w:type="pct"/>
            <w:noWrap/>
            <w:vAlign w:val="center"/>
          </w:tcPr>
          <w:p w14:paraId="7CDD12A0">
            <w:pPr>
              <w:pStyle w:val="179"/>
              <w:widowControl w:val="0"/>
            </w:pPr>
            <w:r>
              <w:t>126°17′37.1652″E</w:t>
            </w:r>
          </w:p>
        </w:tc>
        <w:tc>
          <w:tcPr>
            <w:tcW w:w="692" w:type="pct"/>
            <w:noWrap/>
            <w:vAlign w:val="center"/>
          </w:tcPr>
          <w:p w14:paraId="5AE7FCB1">
            <w:pPr>
              <w:pStyle w:val="179"/>
              <w:widowControl w:val="0"/>
            </w:pPr>
            <w:r>
              <w:t>20m*20m</w:t>
            </w:r>
          </w:p>
        </w:tc>
      </w:tr>
      <w:tr w14:paraId="0B2F289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86" w:type="pct"/>
            <w:noWrap/>
            <w:vAlign w:val="center"/>
          </w:tcPr>
          <w:p w14:paraId="759A208E">
            <w:pPr>
              <w:pStyle w:val="179"/>
              <w:widowControl w:val="0"/>
            </w:pPr>
            <w:r>
              <w:t>#8</w:t>
            </w:r>
          </w:p>
        </w:tc>
        <w:tc>
          <w:tcPr>
            <w:tcW w:w="1541" w:type="pct"/>
            <w:noWrap/>
            <w:vAlign w:val="center"/>
          </w:tcPr>
          <w:p w14:paraId="492CC59B">
            <w:pPr>
              <w:pStyle w:val="179"/>
              <w:widowControl w:val="0"/>
            </w:pPr>
            <w:r>
              <w:t>落叶松样方3</w:t>
            </w:r>
          </w:p>
        </w:tc>
        <w:tc>
          <w:tcPr>
            <w:tcW w:w="1167" w:type="pct"/>
            <w:noWrap/>
            <w:vAlign w:val="center"/>
          </w:tcPr>
          <w:p w14:paraId="147CA62C">
            <w:pPr>
              <w:pStyle w:val="179"/>
              <w:widowControl w:val="0"/>
            </w:pPr>
            <w:r>
              <w:t>49°26′15.4212″N</w:t>
            </w:r>
          </w:p>
        </w:tc>
        <w:tc>
          <w:tcPr>
            <w:tcW w:w="1212" w:type="pct"/>
            <w:noWrap/>
            <w:vAlign w:val="center"/>
          </w:tcPr>
          <w:p w14:paraId="77EBE211">
            <w:pPr>
              <w:pStyle w:val="179"/>
              <w:widowControl w:val="0"/>
            </w:pPr>
            <w:r>
              <w:t>126°18′45.4500″E</w:t>
            </w:r>
          </w:p>
        </w:tc>
        <w:tc>
          <w:tcPr>
            <w:tcW w:w="692" w:type="pct"/>
            <w:noWrap/>
            <w:vAlign w:val="center"/>
          </w:tcPr>
          <w:p w14:paraId="605C0A68">
            <w:pPr>
              <w:pStyle w:val="179"/>
              <w:widowControl w:val="0"/>
            </w:pPr>
            <w:r>
              <w:t>20m*20m</w:t>
            </w:r>
          </w:p>
        </w:tc>
      </w:tr>
      <w:tr w14:paraId="35D1604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86" w:type="pct"/>
            <w:noWrap/>
            <w:vAlign w:val="center"/>
          </w:tcPr>
          <w:p w14:paraId="5A063F64">
            <w:pPr>
              <w:pStyle w:val="179"/>
              <w:widowControl w:val="0"/>
            </w:pPr>
            <w:r>
              <w:t>#9</w:t>
            </w:r>
          </w:p>
        </w:tc>
        <w:tc>
          <w:tcPr>
            <w:tcW w:w="1541" w:type="pct"/>
            <w:noWrap/>
            <w:vAlign w:val="center"/>
          </w:tcPr>
          <w:p w14:paraId="1A259C5B">
            <w:pPr>
              <w:pStyle w:val="179"/>
              <w:widowControl w:val="0"/>
            </w:pPr>
            <w:r>
              <w:t>落叶松样方4</w:t>
            </w:r>
          </w:p>
        </w:tc>
        <w:tc>
          <w:tcPr>
            <w:tcW w:w="1167" w:type="pct"/>
            <w:noWrap/>
            <w:vAlign w:val="center"/>
          </w:tcPr>
          <w:p w14:paraId="28C9D847">
            <w:pPr>
              <w:pStyle w:val="179"/>
              <w:widowControl w:val="0"/>
            </w:pPr>
            <w:r>
              <w:t>49°26′30.5916″N</w:t>
            </w:r>
          </w:p>
        </w:tc>
        <w:tc>
          <w:tcPr>
            <w:tcW w:w="1212" w:type="pct"/>
            <w:noWrap/>
            <w:vAlign w:val="center"/>
          </w:tcPr>
          <w:p w14:paraId="59FD9658">
            <w:pPr>
              <w:pStyle w:val="179"/>
              <w:widowControl w:val="0"/>
            </w:pPr>
            <w:r>
              <w:t>126°18′55.8036″E</w:t>
            </w:r>
          </w:p>
        </w:tc>
        <w:tc>
          <w:tcPr>
            <w:tcW w:w="692" w:type="pct"/>
            <w:noWrap/>
            <w:vAlign w:val="center"/>
          </w:tcPr>
          <w:p w14:paraId="094BF395">
            <w:pPr>
              <w:pStyle w:val="179"/>
              <w:widowControl w:val="0"/>
            </w:pPr>
            <w:r>
              <w:t>20m*20m</w:t>
            </w:r>
          </w:p>
        </w:tc>
      </w:tr>
      <w:tr w14:paraId="2AE003B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86" w:type="pct"/>
            <w:noWrap/>
            <w:vAlign w:val="center"/>
          </w:tcPr>
          <w:p w14:paraId="6F255C9C">
            <w:pPr>
              <w:pStyle w:val="179"/>
              <w:widowControl w:val="0"/>
            </w:pPr>
            <w:r>
              <w:t>#10</w:t>
            </w:r>
          </w:p>
        </w:tc>
        <w:tc>
          <w:tcPr>
            <w:tcW w:w="1541" w:type="pct"/>
            <w:noWrap/>
            <w:vAlign w:val="center"/>
          </w:tcPr>
          <w:p w14:paraId="246F2749">
            <w:pPr>
              <w:pStyle w:val="179"/>
              <w:widowControl w:val="0"/>
            </w:pPr>
            <w:r>
              <w:t>落叶松样方5</w:t>
            </w:r>
          </w:p>
        </w:tc>
        <w:tc>
          <w:tcPr>
            <w:tcW w:w="1167" w:type="pct"/>
            <w:noWrap/>
            <w:vAlign w:val="center"/>
          </w:tcPr>
          <w:p w14:paraId="05972788">
            <w:pPr>
              <w:pStyle w:val="179"/>
              <w:widowControl w:val="0"/>
            </w:pPr>
            <w:r>
              <w:t>49°26′59.9748″N</w:t>
            </w:r>
          </w:p>
        </w:tc>
        <w:tc>
          <w:tcPr>
            <w:tcW w:w="1212" w:type="pct"/>
            <w:noWrap/>
            <w:vAlign w:val="center"/>
          </w:tcPr>
          <w:p w14:paraId="3CEBEA77">
            <w:pPr>
              <w:pStyle w:val="179"/>
              <w:widowControl w:val="0"/>
            </w:pPr>
            <w:r>
              <w:t>126°18′51.9164″E</w:t>
            </w:r>
          </w:p>
        </w:tc>
        <w:tc>
          <w:tcPr>
            <w:tcW w:w="692" w:type="pct"/>
            <w:noWrap/>
            <w:vAlign w:val="center"/>
          </w:tcPr>
          <w:p w14:paraId="606758FF">
            <w:pPr>
              <w:pStyle w:val="179"/>
              <w:widowControl w:val="0"/>
            </w:pPr>
            <w:r>
              <w:t>20m*20m</w:t>
            </w:r>
          </w:p>
        </w:tc>
      </w:tr>
      <w:tr w14:paraId="3B9F5E8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386" w:type="pct"/>
            <w:noWrap/>
            <w:vAlign w:val="center"/>
          </w:tcPr>
          <w:p w14:paraId="4F842852">
            <w:pPr>
              <w:pStyle w:val="179"/>
              <w:widowControl w:val="0"/>
            </w:pPr>
            <w:r>
              <w:t>#11</w:t>
            </w:r>
          </w:p>
        </w:tc>
        <w:tc>
          <w:tcPr>
            <w:tcW w:w="1541" w:type="pct"/>
            <w:noWrap/>
            <w:vAlign w:val="center"/>
          </w:tcPr>
          <w:p w14:paraId="6CF24B9D">
            <w:pPr>
              <w:pStyle w:val="179"/>
              <w:widowControl w:val="0"/>
            </w:pPr>
            <w:r>
              <w:t>小叶章1</w:t>
            </w:r>
          </w:p>
        </w:tc>
        <w:tc>
          <w:tcPr>
            <w:tcW w:w="1167" w:type="pct"/>
            <w:noWrap/>
            <w:vAlign w:val="center"/>
          </w:tcPr>
          <w:p w14:paraId="1356BB21">
            <w:pPr>
              <w:pStyle w:val="179"/>
              <w:widowControl w:val="0"/>
            </w:pPr>
            <w:r>
              <w:t>49°27'5.6988"N</w:t>
            </w:r>
          </w:p>
        </w:tc>
        <w:tc>
          <w:tcPr>
            <w:tcW w:w="1212" w:type="pct"/>
            <w:noWrap/>
            <w:vAlign w:val="center"/>
          </w:tcPr>
          <w:p w14:paraId="468174CC">
            <w:pPr>
              <w:pStyle w:val="179"/>
              <w:widowControl w:val="0"/>
            </w:pPr>
            <w:r>
              <w:t>126°17'24.8064"E</w:t>
            </w:r>
          </w:p>
        </w:tc>
        <w:tc>
          <w:tcPr>
            <w:tcW w:w="692" w:type="pct"/>
            <w:noWrap/>
            <w:vAlign w:val="center"/>
          </w:tcPr>
          <w:p w14:paraId="7C31C828">
            <w:pPr>
              <w:pStyle w:val="179"/>
              <w:widowControl w:val="0"/>
            </w:pPr>
            <w:r>
              <w:rPr>
                <w:rFonts w:hint="eastAsia"/>
              </w:rPr>
              <w:t>1*1</w:t>
            </w:r>
          </w:p>
        </w:tc>
      </w:tr>
      <w:tr w14:paraId="6FF5A8E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86" w:type="pct"/>
            <w:noWrap/>
            <w:vAlign w:val="center"/>
          </w:tcPr>
          <w:p w14:paraId="0DD7B996">
            <w:pPr>
              <w:pStyle w:val="179"/>
              <w:widowControl w:val="0"/>
            </w:pPr>
            <w:r>
              <w:t>#12</w:t>
            </w:r>
          </w:p>
        </w:tc>
        <w:tc>
          <w:tcPr>
            <w:tcW w:w="1541" w:type="pct"/>
            <w:noWrap/>
            <w:vAlign w:val="center"/>
          </w:tcPr>
          <w:p w14:paraId="1D0562C9">
            <w:pPr>
              <w:pStyle w:val="179"/>
              <w:widowControl w:val="0"/>
            </w:pPr>
            <w:r>
              <w:t>小叶章2</w:t>
            </w:r>
          </w:p>
        </w:tc>
        <w:tc>
          <w:tcPr>
            <w:tcW w:w="1167" w:type="pct"/>
            <w:noWrap/>
            <w:vAlign w:val="center"/>
          </w:tcPr>
          <w:p w14:paraId="722E90A5">
            <w:pPr>
              <w:pStyle w:val="179"/>
              <w:widowControl w:val="0"/>
            </w:pPr>
            <w:r>
              <w:t>49°26′51.7632″N</w:t>
            </w:r>
          </w:p>
        </w:tc>
        <w:tc>
          <w:tcPr>
            <w:tcW w:w="1212" w:type="pct"/>
            <w:noWrap/>
            <w:vAlign w:val="center"/>
          </w:tcPr>
          <w:p w14:paraId="393BF249">
            <w:pPr>
              <w:pStyle w:val="179"/>
              <w:widowControl w:val="0"/>
            </w:pPr>
            <w:r>
              <w:t>126°17′27.2760″E</w:t>
            </w:r>
          </w:p>
        </w:tc>
        <w:tc>
          <w:tcPr>
            <w:tcW w:w="692" w:type="pct"/>
            <w:noWrap/>
            <w:vAlign w:val="center"/>
          </w:tcPr>
          <w:p w14:paraId="6AE053CC">
            <w:pPr>
              <w:pStyle w:val="179"/>
              <w:widowControl w:val="0"/>
            </w:pPr>
            <w:r>
              <w:rPr>
                <w:rFonts w:hint="eastAsia"/>
              </w:rPr>
              <w:t>1*1</w:t>
            </w:r>
          </w:p>
        </w:tc>
      </w:tr>
      <w:tr w14:paraId="0237ADE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86" w:type="pct"/>
            <w:noWrap/>
            <w:vAlign w:val="center"/>
          </w:tcPr>
          <w:p w14:paraId="0E651E6D">
            <w:pPr>
              <w:pStyle w:val="179"/>
              <w:widowControl w:val="0"/>
            </w:pPr>
            <w:r>
              <w:t>#13</w:t>
            </w:r>
          </w:p>
        </w:tc>
        <w:tc>
          <w:tcPr>
            <w:tcW w:w="1541" w:type="pct"/>
            <w:noWrap/>
            <w:vAlign w:val="center"/>
          </w:tcPr>
          <w:p w14:paraId="0A2591C0">
            <w:pPr>
              <w:pStyle w:val="179"/>
              <w:widowControl w:val="0"/>
            </w:pPr>
            <w:r>
              <w:t>小叶章3</w:t>
            </w:r>
          </w:p>
        </w:tc>
        <w:tc>
          <w:tcPr>
            <w:tcW w:w="1167" w:type="pct"/>
            <w:noWrap/>
            <w:vAlign w:val="center"/>
          </w:tcPr>
          <w:p w14:paraId="243168BA">
            <w:pPr>
              <w:pStyle w:val="179"/>
              <w:widowControl w:val="0"/>
            </w:pPr>
            <w:r>
              <w:t>49°26′35.7144″N</w:t>
            </w:r>
          </w:p>
        </w:tc>
        <w:tc>
          <w:tcPr>
            <w:tcW w:w="1212" w:type="pct"/>
            <w:noWrap/>
            <w:vAlign w:val="center"/>
          </w:tcPr>
          <w:p w14:paraId="75291915">
            <w:pPr>
              <w:pStyle w:val="179"/>
              <w:widowControl w:val="0"/>
            </w:pPr>
            <w:r>
              <w:t>126°18′21.4272″E</w:t>
            </w:r>
          </w:p>
        </w:tc>
        <w:tc>
          <w:tcPr>
            <w:tcW w:w="692" w:type="pct"/>
            <w:noWrap/>
            <w:vAlign w:val="center"/>
          </w:tcPr>
          <w:p w14:paraId="0BCC8CE5">
            <w:pPr>
              <w:pStyle w:val="179"/>
              <w:widowControl w:val="0"/>
            </w:pPr>
            <w:r>
              <w:rPr>
                <w:rFonts w:hint="eastAsia"/>
              </w:rPr>
              <w:t>1*1</w:t>
            </w:r>
          </w:p>
        </w:tc>
      </w:tr>
      <w:tr w14:paraId="653AA52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86" w:type="pct"/>
            <w:noWrap/>
            <w:vAlign w:val="center"/>
          </w:tcPr>
          <w:p w14:paraId="3450C9FE">
            <w:pPr>
              <w:pStyle w:val="179"/>
              <w:widowControl w:val="0"/>
            </w:pPr>
            <w:r>
              <w:t>#14</w:t>
            </w:r>
          </w:p>
        </w:tc>
        <w:tc>
          <w:tcPr>
            <w:tcW w:w="1541" w:type="pct"/>
            <w:noWrap/>
            <w:vAlign w:val="center"/>
          </w:tcPr>
          <w:p w14:paraId="1372DA35">
            <w:pPr>
              <w:pStyle w:val="179"/>
              <w:widowControl w:val="0"/>
            </w:pPr>
            <w:r>
              <w:t>小叶章4</w:t>
            </w:r>
          </w:p>
        </w:tc>
        <w:tc>
          <w:tcPr>
            <w:tcW w:w="1167" w:type="pct"/>
            <w:noWrap/>
            <w:vAlign w:val="center"/>
          </w:tcPr>
          <w:p w14:paraId="5D104E2F">
            <w:pPr>
              <w:pStyle w:val="179"/>
              <w:widowControl w:val="0"/>
            </w:pPr>
            <w:r>
              <w:t>49°26′11.5296″N</w:t>
            </w:r>
          </w:p>
        </w:tc>
        <w:tc>
          <w:tcPr>
            <w:tcW w:w="1212" w:type="pct"/>
            <w:noWrap/>
            <w:vAlign w:val="center"/>
          </w:tcPr>
          <w:p w14:paraId="355C96AB">
            <w:pPr>
              <w:pStyle w:val="179"/>
              <w:widowControl w:val="0"/>
            </w:pPr>
            <w:r>
              <w:t>126°18′28.3032″E</w:t>
            </w:r>
          </w:p>
        </w:tc>
        <w:tc>
          <w:tcPr>
            <w:tcW w:w="692" w:type="pct"/>
            <w:noWrap/>
            <w:vAlign w:val="center"/>
          </w:tcPr>
          <w:p w14:paraId="2CA8B8D4">
            <w:pPr>
              <w:pStyle w:val="179"/>
              <w:widowControl w:val="0"/>
            </w:pPr>
            <w:r>
              <w:rPr>
                <w:rFonts w:hint="eastAsia"/>
              </w:rPr>
              <w:t>1*1</w:t>
            </w:r>
          </w:p>
        </w:tc>
      </w:tr>
      <w:tr w14:paraId="5CE03FA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86" w:type="pct"/>
            <w:noWrap/>
            <w:vAlign w:val="center"/>
          </w:tcPr>
          <w:p w14:paraId="07C7864F">
            <w:pPr>
              <w:pStyle w:val="179"/>
              <w:widowControl w:val="0"/>
            </w:pPr>
            <w:r>
              <w:t>#15</w:t>
            </w:r>
          </w:p>
        </w:tc>
        <w:tc>
          <w:tcPr>
            <w:tcW w:w="1541" w:type="pct"/>
            <w:noWrap/>
            <w:vAlign w:val="center"/>
          </w:tcPr>
          <w:p w14:paraId="46F87BB6">
            <w:pPr>
              <w:pStyle w:val="179"/>
              <w:widowControl w:val="0"/>
            </w:pPr>
            <w:r>
              <w:t>小叶章5</w:t>
            </w:r>
          </w:p>
        </w:tc>
        <w:tc>
          <w:tcPr>
            <w:tcW w:w="1167" w:type="pct"/>
            <w:noWrap/>
            <w:vAlign w:val="center"/>
          </w:tcPr>
          <w:p w14:paraId="7287EF2F">
            <w:pPr>
              <w:pStyle w:val="179"/>
              <w:widowControl w:val="0"/>
            </w:pPr>
            <w:r>
              <w:t>49°26′39.1812″N</w:t>
            </w:r>
          </w:p>
        </w:tc>
        <w:tc>
          <w:tcPr>
            <w:tcW w:w="1212" w:type="pct"/>
            <w:noWrap/>
            <w:vAlign w:val="center"/>
          </w:tcPr>
          <w:p w14:paraId="1DF0258C">
            <w:pPr>
              <w:pStyle w:val="179"/>
              <w:widowControl w:val="0"/>
            </w:pPr>
            <w:r>
              <w:t>126°18′43.6356″E</w:t>
            </w:r>
          </w:p>
        </w:tc>
        <w:tc>
          <w:tcPr>
            <w:tcW w:w="692" w:type="pct"/>
            <w:noWrap/>
            <w:vAlign w:val="center"/>
          </w:tcPr>
          <w:p w14:paraId="5B5DBC6C">
            <w:pPr>
              <w:pStyle w:val="179"/>
              <w:widowControl w:val="0"/>
            </w:pPr>
            <w:r>
              <w:rPr>
                <w:rFonts w:hint="eastAsia"/>
              </w:rPr>
              <w:t>1*1</w:t>
            </w:r>
          </w:p>
        </w:tc>
      </w:tr>
    </w:tbl>
    <w:p w14:paraId="401E5224">
      <w:pPr>
        <w:pStyle w:val="178"/>
      </w:pPr>
      <w:r>
        <w:drawing>
          <wp:inline distT="0" distB="0" distL="114300" distR="114300">
            <wp:extent cx="5284470" cy="4067175"/>
            <wp:effectExtent l="19050" t="0" r="0" b="0"/>
            <wp:docPr id="52" name="图片 39" descr="植物样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39" descr="植物样方"/>
                    <pic:cNvPicPr>
                      <a:picLocks noChangeAspect="1"/>
                    </pic:cNvPicPr>
                  </pic:nvPicPr>
                  <pic:blipFill>
                    <a:blip r:embed="rId81"/>
                    <a:srcRect l="4240" r="3855"/>
                    <a:stretch>
                      <a:fillRect/>
                    </a:stretch>
                  </pic:blipFill>
                  <pic:spPr>
                    <a:xfrm>
                      <a:off x="0" y="0"/>
                      <a:ext cx="5284470" cy="4067695"/>
                    </a:xfrm>
                    <a:prstGeom prst="rect">
                      <a:avLst/>
                    </a:prstGeom>
                  </pic:spPr>
                </pic:pic>
              </a:graphicData>
            </a:graphic>
          </wp:inline>
        </w:drawing>
      </w:r>
    </w:p>
    <w:p w14:paraId="243C8566">
      <w:pPr>
        <w:pStyle w:val="178"/>
      </w:pPr>
      <w:r>
        <w:rPr>
          <w:rFonts w:hint="eastAsia"/>
        </w:rPr>
        <w:t>图4.3-5  植被样方点位图</w:t>
      </w:r>
    </w:p>
    <w:p w14:paraId="7B9FAF04">
      <w:pPr>
        <w:pStyle w:val="5"/>
        <w:spacing w:before="120" w:after="120"/>
      </w:pPr>
      <w:r>
        <w:rPr>
          <w:rFonts w:hint="eastAsia"/>
        </w:rPr>
        <w:t>植被现状</w:t>
      </w:r>
    </w:p>
    <w:p w14:paraId="4101FEB5">
      <w:pPr>
        <w:ind w:firstLine="480"/>
      </w:pPr>
      <w:r>
        <w:rPr>
          <w:rFonts w:hint="eastAsia"/>
        </w:rPr>
        <w:t>据《大兴安岭森林植物》（孙明学等，</w:t>
      </w:r>
      <w:r>
        <w:t>2005年），评价区位于寒温带针叶林区域，为全国8个植被区域中最北部区域，地带性植被与植物区系成分一致，以落叶松为单优势种的寒温带针叶林，常混生一些阔叶树种，以较耐旱的</w:t>
      </w:r>
      <w:r>
        <w:rPr>
          <w:rFonts w:hint="eastAsia"/>
        </w:rPr>
        <w:t>白桦、黑桦</w:t>
      </w:r>
      <w:r>
        <w:t>等为主，其次还有温带针阔叶混交林的典型树种，这种混有阔叶林的落叶松林即是评价区的地带性植被。</w:t>
      </w:r>
    </w:p>
    <w:p w14:paraId="4BA7F5BA">
      <w:pPr>
        <w:ind w:firstLine="480"/>
      </w:pPr>
      <w:r>
        <w:rPr>
          <w:rFonts w:hint="eastAsia"/>
        </w:rPr>
        <w:t>根据《中国植被》（吴征镒等，1980年）、《黑龙江省植物志》（周以良等，1985年）、《大兴安岭森林植物》（孙明学等，2005年）及相关林业调查资料，植物群落学—生态学分类原则，采用植被型组、植被型、群系等基本单位，在对现存植被进行调查的基础上，结合区域内现有植被中群系建群种与优势种的外貌，以及群系的环境生态与地理分布特征等分析，将评价区自然植被初步划分为3个植被型组、3个群系，评价区内主要植被类型见表4.3-4。项目评价范围植被类型图见图4.3-6。</w:t>
      </w:r>
    </w:p>
    <w:p w14:paraId="68FA87C5">
      <w:pPr>
        <w:ind w:firstLine="480"/>
      </w:pPr>
    </w:p>
    <w:p w14:paraId="62050730">
      <w:pPr>
        <w:ind w:firstLine="480"/>
      </w:pPr>
    </w:p>
    <w:p w14:paraId="04903841">
      <w:pPr>
        <w:pStyle w:val="178"/>
      </w:pPr>
      <w:r>
        <w:t xml:space="preserve">表4.3-4  </w:t>
      </w:r>
      <w:r>
        <w:rPr>
          <w:rFonts w:hint="eastAsia"/>
        </w:rPr>
        <w:t>植物群落调查结果统计表</w:t>
      </w:r>
    </w:p>
    <w:tbl>
      <w:tblPr>
        <w:tblStyle w:val="36"/>
        <w:tblW w:w="5000" w:type="pct"/>
        <w:jc w:val="center"/>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Layout w:type="autofit"/>
        <w:tblCellMar>
          <w:top w:w="0" w:type="dxa"/>
          <w:left w:w="108" w:type="dxa"/>
          <w:bottom w:w="0" w:type="dxa"/>
          <w:right w:w="108" w:type="dxa"/>
        </w:tblCellMar>
      </w:tblPr>
      <w:tblGrid>
        <w:gridCol w:w="1004"/>
        <w:gridCol w:w="1182"/>
        <w:gridCol w:w="1437"/>
        <w:gridCol w:w="1457"/>
        <w:gridCol w:w="1778"/>
        <w:gridCol w:w="1614"/>
      </w:tblGrid>
      <w:tr w14:paraId="6C6EFE95">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97" w:hRule="atLeast"/>
          <w:tblHeader/>
          <w:jc w:val="center"/>
        </w:trPr>
        <w:tc>
          <w:tcPr>
            <w:tcW w:w="1094" w:type="dxa"/>
            <w:vMerge w:val="restart"/>
            <w:noWrap/>
            <w:vAlign w:val="center"/>
          </w:tcPr>
          <w:p w14:paraId="4D054B52">
            <w:pPr>
              <w:pStyle w:val="179"/>
              <w:rPr>
                <w:b/>
              </w:rPr>
            </w:pPr>
            <w:r>
              <w:rPr>
                <w:b/>
              </w:rPr>
              <w:t>植被型组</w:t>
            </w:r>
          </w:p>
        </w:tc>
        <w:tc>
          <w:tcPr>
            <w:tcW w:w="1292" w:type="dxa"/>
            <w:vMerge w:val="restart"/>
            <w:noWrap/>
            <w:vAlign w:val="center"/>
          </w:tcPr>
          <w:p w14:paraId="7A01DA6C">
            <w:pPr>
              <w:pStyle w:val="179"/>
              <w:rPr>
                <w:b/>
              </w:rPr>
            </w:pPr>
            <w:r>
              <w:rPr>
                <w:b/>
              </w:rPr>
              <w:t>植被型</w:t>
            </w:r>
          </w:p>
        </w:tc>
        <w:tc>
          <w:tcPr>
            <w:tcW w:w="1576" w:type="dxa"/>
            <w:vMerge w:val="restart"/>
            <w:noWrap/>
            <w:vAlign w:val="center"/>
          </w:tcPr>
          <w:p w14:paraId="762C8D47">
            <w:pPr>
              <w:pStyle w:val="179"/>
              <w:rPr>
                <w:b/>
              </w:rPr>
            </w:pPr>
            <w:r>
              <w:rPr>
                <w:b/>
              </w:rPr>
              <w:t>植被亚型</w:t>
            </w:r>
          </w:p>
        </w:tc>
        <w:tc>
          <w:tcPr>
            <w:tcW w:w="1598" w:type="dxa"/>
            <w:vMerge w:val="restart"/>
            <w:noWrap/>
            <w:vAlign w:val="center"/>
          </w:tcPr>
          <w:p w14:paraId="4F1ECAC3">
            <w:pPr>
              <w:pStyle w:val="179"/>
              <w:rPr>
                <w:b/>
              </w:rPr>
            </w:pPr>
            <w:r>
              <w:rPr>
                <w:b/>
              </w:rPr>
              <w:t>群系</w:t>
            </w:r>
          </w:p>
        </w:tc>
        <w:tc>
          <w:tcPr>
            <w:tcW w:w="3728" w:type="dxa"/>
            <w:gridSpan w:val="2"/>
            <w:noWrap/>
            <w:vAlign w:val="center"/>
          </w:tcPr>
          <w:p w14:paraId="091732F7">
            <w:pPr>
              <w:pStyle w:val="179"/>
              <w:rPr>
                <w:b/>
              </w:rPr>
            </w:pPr>
            <w:r>
              <w:rPr>
                <w:b/>
              </w:rPr>
              <w:t>工程</w:t>
            </w:r>
            <w:r>
              <w:rPr>
                <w:rFonts w:hint="eastAsia"/>
                <w:b/>
              </w:rPr>
              <w:t>涉及</w:t>
            </w:r>
            <w:r>
              <w:rPr>
                <w:b/>
              </w:rPr>
              <w:t>情况</w:t>
            </w:r>
          </w:p>
        </w:tc>
      </w:tr>
      <w:tr w14:paraId="5E4F6E8D">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97" w:hRule="atLeast"/>
          <w:tblHeader/>
          <w:jc w:val="center"/>
        </w:trPr>
        <w:tc>
          <w:tcPr>
            <w:tcW w:w="1094" w:type="dxa"/>
            <w:vMerge w:val="continue"/>
            <w:noWrap/>
            <w:vAlign w:val="center"/>
          </w:tcPr>
          <w:p w14:paraId="2F8A7120">
            <w:pPr>
              <w:pStyle w:val="179"/>
              <w:rPr>
                <w:b/>
              </w:rPr>
            </w:pPr>
          </w:p>
        </w:tc>
        <w:tc>
          <w:tcPr>
            <w:tcW w:w="1292" w:type="dxa"/>
            <w:vMerge w:val="continue"/>
            <w:noWrap/>
            <w:vAlign w:val="center"/>
          </w:tcPr>
          <w:p w14:paraId="60A758C3">
            <w:pPr>
              <w:pStyle w:val="179"/>
              <w:rPr>
                <w:b/>
              </w:rPr>
            </w:pPr>
          </w:p>
        </w:tc>
        <w:tc>
          <w:tcPr>
            <w:tcW w:w="1576" w:type="dxa"/>
            <w:vMerge w:val="continue"/>
            <w:noWrap/>
            <w:vAlign w:val="center"/>
          </w:tcPr>
          <w:p w14:paraId="0D12D466">
            <w:pPr>
              <w:pStyle w:val="179"/>
              <w:rPr>
                <w:b/>
              </w:rPr>
            </w:pPr>
          </w:p>
        </w:tc>
        <w:tc>
          <w:tcPr>
            <w:tcW w:w="1598" w:type="dxa"/>
            <w:vMerge w:val="continue"/>
            <w:noWrap/>
            <w:vAlign w:val="center"/>
          </w:tcPr>
          <w:p w14:paraId="7DA56B6F">
            <w:pPr>
              <w:pStyle w:val="179"/>
              <w:rPr>
                <w:b/>
              </w:rPr>
            </w:pPr>
          </w:p>
        </w:tc>
        <w:tc>
          <w:tcPr>
            <w:tcW w:w="1956" w:type="dxa"/>
            <w:noWrap/>
            <w:vAlign w:val="center"/>
          </w:tcPr>
          <w:p w14:paraId="0306FBD5">
            <w:pPr>
              <w:pStyle w:val="179"/>
              <w:rPr>
                <w:b/>
              </w:rPr>
            </w:pPr>
            <w:r>
              <w:rPr>
                <w:b/>
              </w:rPr>
              <w:t>面积（hm</w:t>
            </w:r>
            <w:r>
              <w:rPr>
                <w:b/>
                <w:vertAlign w:val="superscript"/>
              </w:rPr>
              <w:t>2</w:t>
            </w:r>
            <w:r>
              <w:rPr>
                <w:rFonts w:hint="eastAsia"/>
                <w:b/>
              </w:rPr>
              <w:t>）</w:t>
            </w:r>
          </w:p>
        </w:tc>
        <w:tc>
          <w:tcPr>
            <w:tcW w:w="1772" w:type="dxa"/>
            <w:noWrap/>
            <w:vAlign w:val="center"/>
          </w:tcPr>
          <w:p w14:paraId="0D84CF22">
            <w:pPr>
              <w:pStyle w:val="179"/>
              <w:rPr>
                <w:b/>
              </w:rPr>
            </w:pPr>
            <w:r>
              <w:rPr>
                <w:b/>
              </w:rPr>
              <w:t>比例（%）</w:t>
            </w:r>
          </w:p>
        </w:tc>
      </w:tr>
      <w:tr w14:paraId="60EA56AC">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1094" w:type="dxa"/>
            <w:noWrap/>
            <w:vAlign w:val="center"/>
          </w:tcPr>
          <w:p w14:paraId="2A0EF0AC">
            <w:pPr>
              <w:pStyle w:val="179"/>
            </w:pPr>
            <w:r>
              <w:rPr>
                <w:rFonts w:hint="eastAsia"/>
              </w:rPr>
              <w:t>针叶林</w:t>
            </w:r>
          </w:p>
        </w:tc>
        <w:tc>
          <w:tcPr>
            <w:tcW w:w="1292" w:type="dxa"/>
            <w:noWrap/>
            <w:vAlign w:val="center"/>
          </w:tcPr>
          <w:p w14:paraId="557ACB52">
            <w:pPr>
              <w:pStyle w:val="179"/>
            </w:pPr>
            <w:r>
              <w:rPr>
                <w:rFonts w:hint="eastAsia"/>
              </w:rPr>
              <w:t>落叶针叶林</w:t>
            </w:r>
          </w:p>
        </w:tc>
        <w:tc>
          <w:tcPr>
            <w:tcW w:w="1576" w:type="dxa"/>
            <w:noWrap/>
            <w:vAlign w:val="center"/>
          </w:tcPr>
          <w:p w14:paraId="029BEDB9">
            <w:pPr>
              <w:pStyle w:val="179"/>
            </w:pPr>
            <w:r>
              <w:t>寒温性针叶林</w:t>
            </w:r>
          </w:p>
        </w:tc>
        <w:tc>
          <w:tcPr>
            <w:tcW w:w="1598" w:type="dxa"/>
            <w:noWrap/>
            <w:vAlign w:val="center"/>
          </w:tcPr>
          <w:p w14:paraId="6A346D68">
            <w:pPr>
              <w:pStyle w:val="179"/>
            </w:pPr>
            <w:r>
              <w:rPr>
                <w:rFonts w:hint="eastAsia"/>
              </w:rPr>
              <w:t>落叶松林</w:t>
            </w:r>
          </w:p>
        </w:tc>
        <w:tc>
          <w:tcPr>
            <w:tcW w:w="1956" w:type="dxa"/>
            <w:noWrap/>
            <w:vAlign w:val="center"/>
          </w:tcPr>
          <w:p w14:paraId="327FC9DB">
            <w:pPr>
              <w:pStyle w:val="179"/>
            </w:pPr>
            <w:r>
              <w:rPr>
                <w:rFonts w:hint="eastAsia"/>
              </w:rPr>
              <w:t>172.16</w:t>
            </w:r>
          </w:p>
        </w:tc>
        <w:tc>
          <w:tcPr>
            <w:tcW w:w="1772" w:type="dxa"/>
            <w:shd w:val="clear" w:color="auto" w:fill="auto"/>
            <w:noWrap/>
            <w:vAlign w:val="center"/>
          </w:tcPr>
          <w:p w14:paraId="33B037BB">
            <w:pPr>
              <w:pStyle w:val="179"/>
            </w:pPr>
            <w:r>
              <w:t>34.29%</w:t>
            </w:r>
          </w:p>
        </w:tc>
      </w:tr>
      <w:tr w14:paraId="1B9CB8E5">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1094" w:type="dxa"/>
            <w:noWrap/>
            <w:vAlign w:val="center"/>
          </w:tcPr>
          <w:p w14:paraId="1241C0EF">
            <w:pPr>
              <w:pStyle w:val="179"/>
            </w:pPr>
            <w:r>
              <w:t>阔叶林</w:t>
            </w:r>
          </w:p>
        </w:tc>
        <w:tc>
          <w:tcPr>
            <w:tcW w:w="1292" w:type="dxa"/>
            <w:noWrap/>
            <w:vAlign w:val="center"/>
          </w:tcPr>
          <w:p w14:paraId="6B703C7F">
            <w:pPr>
              <w:pStyle w:val="179"/>
            </w:pPr>
            <w:r>
              <w:t>落叶阔叶林</w:t>
            </w:r>
          </w:p>
        </w:tc>
        <w:tc>
          <w:tcPr>
            <w:tcW w:w="1576" w:type="dxa"/>
            <w:noWrap/>
            <w:vAlign w:val="center"/>
          </w:tcPr>
          <w:p w14:paraId="6A0156FF">
            <w:pPr>
              <w:pStyle w:val="179"/>
            </w:pPr>
            <w:r>
              <w:t>寒温性落叶阔叶林</w:t>
            </w:r>
          </w:p>
        </w:tc>
        <w:tc>
          <w:tcPr>
            <w:tcW w:w="1598" w:type="dxa"/>
            <w:noWrap/>
            <w:vAlign w:val="center"/>
          </w:tcPr>
          <w:p w14:paraId="60CD3A09">
            <w:pPr>
              <w:pStyle w:val="179"/>
            </w:pPr>
            <w:r>
              <w:rPr>
                <w:rFonts w:hint="eastAsia"/>
              </w:rPr>
              <w:t>蒙古栎</w:t>
            </w:r>
          </w:p>
        </w:tc>
        <w:tc>
          <w:tcPr>
            <w:tcW w:w="1956" w:type="dxa"/>
            <w:noWrap/>
            <w:vAlign w:val="center"/>
          </w:tcPr>
          <w:p w14:paraId="133FD54E">
            <w:pPr>
              <w:pStyle w:val="179"/>
            </w:pPr>
            <w:r>
              <w:rPr>
                <w:rFonts w:hint="eastAsia"/>
              </w:rPr>
              <w:t>102.19</w:t>
            </w:r>
          </w:p>
        </w:tc>
        <w:tc>
          <w:tcPr>
            <w:tcW w:w="1772" w:type="dxa"/>
            <w:shd w:val="clear" w:color="auto" w:fill="auto"/>
            <w:noWrap/>
            <w:vAlign w:val="center"/>
          </w:tcPr>
          <w:p w14:paraId="0F928B47">
            <w:pPr>
              <w:pStyle w:val="179"/>
            </w:pPr>
            <w:r>
              <w:t>20.36%</w:t>
            </w:r>
          </w:p>
        </w:tc>
      </w:tr>
      <w:tr w14:paraId="2B7CFBAF">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1094" w:type="dxa"/>
            <w:noWrap/>
            <w:vAlign w:val="center"/>
          </w:tcPr>
          <w:p w14:paraId="754D3A75">
            <w:pPr>
              <w:pStyle w:val="179"/>
            </w:pPr>
            <w:r>
              <w:rPr>
                <w:rFonts w:hint="eastAsia"/>
              </w:rPr>
              <w:t>草本植被</w:t>
            </w:r>
          </w:p>
        </w:tc>
        <w:tc>
          <w:tcPr>
            <w:tcW w:w="1292" w:type="dxa"/>
            <w:noWrap/>
            <w:vAlign w:val="center"/>
          </w:tcPr>
          <w:p w14:paraId="3310FCA7">
            <w:pPr>
              <w:pStyle w:val="179"/>
            </w:pPr>
            <w:r>
              <w:rPr>
                <w:rFonts w:hint="eastAsia"/>
              </w:rPr>
              <w:t>典型草甸</w:t>
            </w:r>
          </w:p>
        </w:tc>
        <w:tc>
          <w:tcPr>
            <w:tcW w:w="1576" w:type="dxa"/>
            <w:noWrap/>
            <w:vAlign w:val="center"/>
          </w:tcPr>
          <w:p w14:paraId="339EC33D">
            <w:pPr>
              <w:pStyle w:val="179"/>
            </w:pPr>
            <w:r>
              <w:rPr>
                <w:rFonts w:hint="eastAsia"/>
              </w:rPr>
              <w:t>杂草类草甸</w:t>
            </w:r>
          </w:p>
        </w:tc>
        <w:tc>
          <w:tcPr>
            <w:tcW w:w="1598" w:type="dxa"/>
            <w:noWrap/>
            <w:vAlign w:val="center"/>
          </w:tcPr>
          <w:p w14:paraId="103B3987">
            <w:pPr>
              <w:pStyle w:val="179"/>
            </w:pPr>
            <w:r>
              <w:rPr>
                <w:rFonts w:hint="eastAsia"/>
              </w:rPr>
              <w:t>杂草草丛</w:t>
            </w:r>
          </w:p>
        </w:tc>
        <w:tc>
          <w:tcPr>
            <w:tcW w:w="1956" w:type="dxa"/>
            <w:noWrap/>
            <w:vAlign w:val="center"/>
          </w:tcPr>
          <w:p w14:paraId="0420700C">
            <w:pPr>
              <w:pStyle w:val="179"/>
            </w:pPr>
            <w:r>
              <w:rPr>
                <w:rFonts w:hint="eastAsia"/>
              </w:rPr>
              <w:t>64.63</w:t>
            </w:r>
          </w:p>
        </w:tc>
        <w:tc>
          <w:tcPr>
            <w:tcW w:w="1772" w:type="dxa"/>
            <w:shd w:val="clear" w:color="auto" w:fill="auto"/>
            <w:noWrap/>
            <w:vAlign w:val="center"/>
          </w:tcPr>
          <w:p w14:paraId="20BD01BB">
            <w:pPr>
              <w:pStyle w:val="179"/>
            </w:pPr>
            <w:r>
              <w:t>12.87%</w:t>
            </w:r>
          </w:p>
        </w:tc>
      </w:tr>
    </w:tbl>
    <w:p w14:paraId="2AF1D4C9">
      <w:pPr>
        <w:pStyle w:val="179"/>
        <w:ind w:firstLine="361" w:firstLineChars="200"/>
        <w:jc w:val="left"/>
        <w:rPr>
          <w:b/>
          <w:sz w:val="18"/>
        </w:rPr>
      </w:pPr>
      <w:bookmarkStart w:id="321" w:name="_Toc26838"/>
      <w:bookmarkEnd w:id="321"/>
      <w:bookmarkStart w:id="322" w:name="_Toc24456"/>
      <w:bookmarkEnd w:id="322"/>
      <w:bookmarkStart w:id="323" w:name="_Toc25031"/>
      <w:bookmarkEnd w:id="323"/>
      <w:r>
        <w:rPr>
          <w:rFonts w:hint="eastAsia"/>
          <w:b/>
          <w:sz w:val="18"/>
        </w:rPr>
        <w:t>该植被群落类型依据实地调查并参考《中国植被》（吴征镒等，1980年）、《黑龙江省植物志》（周以良等，1985年）、《大兴安岭森林植物》（孙明学等，2005年）及相关林业调查资料，根据植物群落学—生态学分类原则进行评价</w:t>
      </w:r>
    </w:p>
    <w:p w14:paraId="6C04ACEC">
      <w:pPr>
        <w:pStyle w:val="179"/>
      </w:pPr>
      <w:r>
        <w:rPr>
          <w:rFonts w:hint="eastAsia"/>
        </w:rPr>
        <w:drawing>
          <wp:inline distT="0" distB="0" distL="114300" distR="114300">
            <wp:extent cx="5242560" cy="3706495"/>
            <wp:effectExtent l="19050" t="0" r="0" b="0"/>
            <wp:docPr id="60" name="图片 40" descr="植被类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40" descr="植被类型"/>
                    <pic:cNvPicPr>
                      <a:picLocks noChangeAspect="1"/>
                    </pic:cNvPicPr>
                  </pic:nvPicPr>
                  <pic:blipFill>
                    <a:blip r:embed="rId82"/>
                    <a:stretch>
                      <a:fillRect/>
                    </a:stretch>
                  </pic:blipFill>
                  <pic:spPr>
                    <a:xfrm>
                      <a:off x="0" y="0"/>
                      <a:ext cx="5242560" cy="3706586"/>
                    </a:xfrm>
                    <a:prstGeom prst="rect">
                      <a:avLst/>
                    </a:prstGeom>
                  </pic:spPr>
                </pic:pic>
              </a:graphicData>
            </a:graphic>
          </wp:inline>
        </w:drawing>
      </w:r>
    </w:p>
    <w:p w14:paraId="50875C90">
      <w:pPr>
        <w:pStyle w:val="178"/>
      </w:pPr>
      <w:r>
        <w:rPr>
          <w:rFonts w:hint="eastAsia"/>
        </w:rPr>
        <w:t>图4.3-6  植被类型图</w:t>
      </w:r>
    </w:p>
    <w:p w14:paraId="3DE968D3">
      <w:pPr>
        <w:pStyle w:val="179"/>
      </w:pPr>
      <w:r>
        <w:drawing>
          <wp:inline distT="0" distB="0" distL="114300" distR="114300">
            <wp:extent cx="2519680" cy="3359785"/>
            <wp:effectExtent l="19050" t="0" r="0" b="0"/>
            <wp:docPr id="65" name="图片 28" descr="20260514081239961-5-1613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28" descr="20260514081239961-5-1613180"/>
                    <pic:cNvPicPr>
                      <a:picLocks noChangeAspect="1"/>
                    </pic:cNvPicPr>
                  </pic:nvPicPr>
                  <pic:blipFill>
                    <a:blip r:embed="rId83"/>
                    <a:stretch>
                      <a:fillRect/>
                    </a:stretch>
                  </pic:blipFill>
                  <pic:spPr>
                    <a:xfrm>
                      <a:off x="0" y="0"/>
                      <a:ext cx="2520000" cy="3360336"/>
                    </a:xfrm>
                    <a:prstGeom prst="rect">
                      <a:avLst/>
                    </a:prstGeom>
                  </pic:spPr>
                </pic:pic>
              </a:graphicData>
            </a:graphic>
          </wp:inline>
        </w:drawing>
      </w:r>
      <w:r>
        <w:drawing>
          <wp:inline distT="0" distB="0" distL="114300" distR="114300">
            <wp:extent cx="2519680" cy="3359150"/>
            <wp:effectExtent l="19050" t="0" r="0" b="0"/>
            <wp:docPr id="66" name="图片 9" descr="20260514081239961-14-1113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9" descr="20260514081239961-14-1113743"/>
                    <pic:cNvPicPr>
                      <a:picLocks noChangeAspect="1"/>
                    </pic:cNvPicPr>
                  </pic:nvPicPr>
                  <pic:blipFill>
                    <a:blip r:embed="rId84"/>
                    <a:stretch>
                      <a:fillRect/>
                    </a:stretch>
                  </pic:blipFill>
                  <pic:spPr>
                    <a:xfrm>
                      <a:off x="0" y="0"/>
                      <a:ext cx="2520000" cy="3359265"/>
                    </a:xfrm>
                    <a:prstGeom prst="rect">
                      <a:avLst/>
                    </a:prstGeom>
                  </pic:spPr>
                </pic:pic>
              </a:graphicData>
            </a:graphic>
          </wp:inline>
        </w:drawing>
      </w:r>
      <w:r>
        <w:drawing>
          <wp:inline distT="0" distB="0" distL="114300" distR="114300">
            <wp:extent cx="2519680" cy="3358515"/>
            <wp:effectExtent l="19050" t="0" r="0" b="0"/>
            <wp:docPr id="67" name="图片 10" descr="20260514081239961-19-203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0" descr="20260514081239961-19-2032885"/>
                    <pic:cNvPicPr>
                      <a:picLocks noChangeAspect="1"/>
                    </pic:cNvPicPr>
                  </pic:nvPicPr>
                  <pic:blipFill>
                    <a:blip r:embed="rId85"/>
                    <a:stretch>
                      <a:fillRect/>
                    </a:stretch>
                  </pic:blipFill>
                  <pic:spPr>
                    <a:xfrm>
                      <a:off x="0" y="0"/>
                      <a:ext cx="2520000" cy="3358806"/>
                    </a:xfrm>
                    <a:prstGeom prst="rect">
                      <a:avLst/>
                    </a:prstGeom>
                  </pic:spPr>
                </pic:pic>
              </a:graphicData>
            </a:graphic>
          </wp:inline>
        </w:drawing>
      </w:r>
      <w:r>
        <w:drawing>
          <wp:inline distT="0" distB="0" distL="114300" distR="114300">
            <wp:extent cx="2519680" cy="3357880"/>
            <wp:effectExtent l="19050" t="0" r="0" b="0"/>
            <wp:docPr id="68" name="图片 14" descr="20260514081239961-27-1834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4" descr="20260514081239961-27-1834582"/>
                    <pic:cNvPicPr>
                      <a:picLocks noChangeAspect="1"/>
                    </pic:cNvPicPr>
                  </pic:nvPicPr>
                  <pic:blipFill>
                    <a:blip r:embed="rId86"/>
                    <a:stretch>
                      <a:fillRect/>
                    </a:stretch>
                  </pic:blipFill>
                  <pic:spPr>
                    <a:xfrm>
                      <a:off x="0" y="0"/>
                      <a:ext cx="2520000" cy="3358429"/>
                    </a:xfrm>
                    <a:prstGeom prst="rect">
                      <a:avLst/>
                    </a:prstGeom>
                  </pic:spPr>
                </pic:pic>
              </a:graphicData>
            </a:graphic>
          </wp:inline>
        </w:drawing>
      </w:r>
    </w:p>
    <w:p w14:paraId="1D45E7CF">
      <w:pPr>
        <w:pStyle w:val="178"/>
      </w:pPr>
      <w:r>
        <w:rPr>
          <w:rFonts w:hint="eastAsia"/>
        </w:rPr>
        <w:t>图4.3-7  现场工作照片</w:t>
      </w:r>
    </w:p>
    <w:p w14:paraId="0ED3EC9F">
      <w:pPr>
        <w:pStyle w:val="5"/>
        <w:spacing w:before="120" w:after="120"/>
      </w:pPr>
      <w:r>
        <w:rPr>
          <w:rFonts w:hint="eastAsia"/>
        </w:rPr>
        <w:t>主要植被类型特征</w:t>
      </w:r>
    </w:p>
    <w:p w14:paraId="6A366529">
      <w:pPr>
        <w:ind w:firstLine="482"/>
        <w:rPr>
          <w:b/>
          <w:bCs w:val="0"/>
        </w:rPr>
      </w:pPr>
      <w:r>
        <w:rPr>
          <w:rFonts w:hint="eastAsia"/>
          <w:b/>
        </w:rPr>
        <w:t>1、乔木植物群落</w:t>
      </w:r>
    </w:p>
    <w:p w14:paraId="150219E9">
      <w:pPr>
        <w:ind w:firstLine="480"/>
      </w:pPr>
      <w:r>
        <w:rPr>
          <w:rFonts w:hint="eastAsia"/>
        </w:rPr>
        <w:t>（1）蒙古栎</w:t>
      </w:r>
    </w:p>
    <w:p w14:paraId="4F49144E">
      <w:pPr>
        <w:ind w:firstLine="480"/>
      </w:pPr>
      <w:r>
        <w:t>评价范围内</w:t>
      </w:r>
      <w:r>
        <w:rPr>
          <w:rFonts w:hint="eastAsia"/>
        </w:rPr>
        <w:t>蒙古栎</w:t>
      </w:r>
      <w:r>
        <w:t>多为区域原生植被遭到破坏后形成的次生林，常与多种阔叶林相交，在评价范围内主要分布在采矿区、</w:t>
      </w:r>
      <w:r>
        <w:rPr>
          <w:rFonts w:hint="eastAsia"/>
        </w:rPr>
        <w:t>道路两侧</w:t>
      </w:r>
      <w:r>
        <w:t>等区域。</w:t>
      </w:r>
    </w:p>
    <w:p w14:paraId="12208286">
      <w:pPr>
        <w:ind w:firstLine="480"/>
      </w:pPr>
      <w:r>
        <w:t>乔木层郁闭度0.6，层高约</w:t>
      </w:r>
      <w:r>
        <w:rPr>
          <w:rFonts w:hint="eastAsia"/>
        </w:rPr>
        <w:t>10-20</w:t>
      </w:r>
      <w:r>
        <w:t>m</w:t>
      </w:r>
      <w:r>
        <w:rPr>
          <w:rFonts w:hint="eastAsia"/>
        </w:rPr>
        <w:t>不等</w:t>
      </w:r>
      <w:r>
        <w:t>，</w:t>
      </w:r>
      <w:r>
        <w:rPr>
          <w:rFonts w:hint="eastAsia"/>
        </w:rPr>
        <w:t>蒙古栎</w:t>
      </w:r>
      <w:r>
        <w:t>（</w:t>
      </w:r>
      <w:r>
        <w:rPr>
          <w:rFonts w:hint="eastAsia"/>
          <w:i/>
          <w:iCs/>
        </w:rPr>
        <w:t>Mongol-style building</w:t>
      </w:r>
      <w:r>
        <w:rPr>
          <w:i/>
          <w:iCs/>
        </w:rPr>
        <w:t>）</w:t>
      </w:r>
      <w:r>
        <w:t>为优势种，高15m~20m，胸径15cm~20cm，盖度70%。常见伴生植物有白桦树（</w:t>
      </w:r>
      <w:r>
        <w:rPr>
          <w:i/>
          <w:iCs/>
        </w:rPr>
        <w:t>Betula platyphyllaSukaczev</w:t>
      </w:r>
      <w:r>
        <w:t>）、落叶松</w:t>
      </w:r>
      <w:r>
        <w:rPr>
          <w:rFonts w:hint="eastAsia"/>
        </w:rPr>
        <w:t>（</w:t>
      </w:r>
      <w:r>
        <w:rPr>
          <w:rFonts w:hint="eastAsia"/>
          <w:i/>
          <w:iCs/>
        </w:rPr>
        <w:t>Larix gmelinii（Rupr.）Kuzen.</w:t>
      </w:r>
      <w:r>
        <w:rPr>
          <w:rFonts w:hint="eastAsia"/>
        </w:rPr>
        <w:t>）</w:t>
      </w:r>
      <w:r>
        <w:t>等。</w:t>
      </w:r>
    </w:p>
    <w:p w14:paraId="68160678">
      <w:pPr>
        <w:ind w:firstLine="480"/>
      </w:pPr>
      <w:r>
        <w:t>灌木层盖度10%，层高约1.5m，无明显优势种，常见植物有榆树</w:t>
      </w:r>
      <w:r>
        <w:rPr>
          <w:rFonts w:hint="eastAsia"/>
        </w:rPr>
        <w:t>（</w:t>
      </w:r>
      <w:r>
        <w:rPr>
          <w:rFonts w:hint="eastAsia"/>
          <w:i/>
          <w:iCs/>
        </w:rPr>
        <w:t>Ulmus pumilaL.</w:t>
      </w:r>
      <w:r>
        <w:rPr>
          <w:rFonts w:hint="eastAsia"/>
        </w:rPr>
        <w:t>）、</w:t>
      </w:r>
      <w:r>
        <w:t>榛子（</w:t>
      </w:r>
      <w:r>
        <w:rPr>
          <w:i/>
          <w:iCs/>
        </w:rPr>
        <w:t>Corylus heterophyllaFisch. ex Trautv.</w:t>
      </w:r>
      <w:r>
        <w:t>）、胡枝子（</w:t>
      </w:r>
      <w:r>
        <w:rPr>
          <w:i/>
          <w:iCs/>
        </w:rPr>
        <w:t>Lespedeza bicolor Turcz.</w:t>
      </w:r>
      <w:r>
        <w:t xml:space="preserve">）等。 </w:t>
      </w:r>
    </w:p>
    <w:p w14:paraId="28C5F452">
      <w:pPr>
        <w:ind w:firstLine="480"/>
      </w:pPr>
      <w:r>
        <w:t>草本层盖度35%，层高约0.35m，无明显优势种，常见林下植物主要分布有</w:t>
      </w:r>
      <w:r>
        <w:rPr>
          <w:rFonts w:hint="eastAsia"/>
        </w:rPr>
        <w:t>狗尾草</w:t>
      </w:r>
      <w:r>
        <w:t>（</w:t>
      </w:r>
      <w:r>
        <w:rPr>
          <w:i/>
          <w:iCs/>
        </w:rPr>
        <w:t>Setaria viridis</w:t>
      </w:r>
      <w:r>
        <w:rPr>
          <w:rFonts w:hint="eastAsia"/>
          <w:i/>
          <w:iCs/>
        </w:rPr>
        <w:t xml:space="preserve"> （</w:t>
      </w:r>
      <w:r>
        <w:rPr>
          <w:i/>
          <w:iCs/>
        </w:rPr>
        <w:t>L.</w:t>
      </w:r>
      <w:r>
        <w:rPr>
          <w:rFonts w:hint="eastAsia"/>
          <w:i/>
          <w:iCs/>
        </w:rPr>
        <w:t>）</w:t>
      </w:r>
      <w:r>
        <w:rPr>
          <w:i/>
          <w:iCs/>
        </w:rPr>
        <w:t>P. Beauv.</w:t>
      </w:r>
      <w:r>
        <w:t>）、</w:t>
      </w:r>
      <w:r>
        <w:rPr>
          <w:rFonts w:hint="eastAsia"/>
        </w:rPr>
        <w:t>蒌蒿（</w:t>
      </w:r>
      <w:r>
        <w:rPr>
          <w:i/>
          <w:iCs/>
        </w:rPr>
        <w:t>Artemisia selengensis Turcz. ex Bess.</w:t>
      </w:r>
      <w:r>
        <w:rPr>
          <w:rFonts w:hint="eastAsia"/>
        </w:rPr>
        <w:t>）、长萼鸡眼草</w:t>
      </w:r>
      <w:r>
        <w:t>（</w:t>
      </w:r>
      <w:r>
        <w:rPr>
          <w:i/>
          <w:iCs/>
        </w:rPr>
        <w:t>Kummerowia stipulacea</w:t>
      </w:r>
      <w:r>
        <w:rPr>
          <w:rFonts w:hint="eastAsia"/>
          <w:i/>
          <w:iCs/>
        </w:rPr>
        <w:t>（</w:t>
      </w:r>
      <w:r>
        <w:rPr>
          <w:i/>
          <w:iCs/>
        </w:rPr>
        <w:t>Maxim.</w:t>
      </w:r>
      <w:r>
        <w:rPr>
          <w:rFonts w:hint="eastAsia"/>
          <w:i/>
          <w:iCs/>
        </w:rPr>
        <w:t>）</w:t>
      </w:r>
      <w:r>
        <w:rPr>
          <w:i/>
          <w:iCs/>
        </w:rPr>
        <w:t>Makino</w:t>
      </w:r>
      <w:r>
        <w:t>）</w:t>
      </w:r>
      <w:r>
        <w:rPr>
          <w:rFonts w:hint="eastAsia"/>
        </w:rPr>
        <w:t>等草本植物群落。</w:t>
      </w:r>
    </w:p>
    <w:p w14:paraId="7D90D716">
      <w:pPr>
        <w:ind w:firstLine="480"/>
      </w:pPr>
      <w:r>
        <w:rPr>
          <w:rFonts w:hint="eastAsia"/>
        </w:rPr>
        <w:t>（2）落叶松</w:t>
      </w:r>
    </w:p>
    <w:p w14:paraId="19036EBD">
      <w:pPr>
        <w:ind w:firstLine="480"/>
      </w:pPr>
      <w:r>
        <w:rPr>
          <w:rFonts w:hint="eastAsia"/>
        </w:rPr>
        <w:t>评价范围内</w:t>
      </w:r>
      <w:r>
        <w:t>落叶松林多为区域内原生植被经过破坏后与落叶阔叶林自然演替形成混交林。广泛分布于</w:t>
      </w:r>
      <w:r>
        <w:rPr>
          <w:rFonts w:hint="eastAsia"/>
        </w:rPr>
        <w:t>评价范围内</w:t>
      </w:r>
      <w:r>
        <w:t>各地，</w:t>
      </w:r>
      <w:r>
        <w:rPr>
          <w:rFonts w:hint="eastAsia"/>
        </w:rPr>
        <w:t>采矿区</w:t>
      </w:r>
      <w:r>
        <w:t>周围</w:t>
      </w:r>
      <w:r>
        <w:rPr>
          <w:rFonts w:hint="eastAsia"/>
        </w:rPr>
        <w:t>及</w:t>
      </w:r>
      <w:r>
        <w:t>道路两侧也均有分布。</w:t>
      </w:r>
    </w:p>
    <w:p w14:paraId="23E639EA">
      <w:pPr>
        <w:ind w:firstLine="480"/>
      </w:pPr>
      <w:r>
        <w:t>乔木层郁闭度0.6，层均高20m；优势种为</w:t>
      </w:r>
      <w:r>
        <w:rPr>
          <w:rFonts w:hint="eastAsia"/>
        </w:rPr>
        <w:t>落叶</w:t>
      </w:r>
      <w:r>
        <w:t>松林（</w:t>
      </w:r>
      <w:r>
        <w:rPr>
          <w:rFonts w:hint="eastAsia"/>
          <w:i/>
          <w:iCs/>
        </w:rPr>
        <w:t>Larix gmelinii（Rupr.）Kuzen.</w:t>
      </w:r>
      <w:r>
        <w:t>），盖度70%，高15</w:t>
      </w:r>
      <w:r>
        <w:rPr>
          <w:rFonts w:hint="eastAsia"/>
        </w:rPr>
        <w:t>m</w:t>
      </w:r>
      <w:r>
        <w:t>~20m，胸径10</w:t>
      </w:r>
      <w:r>
        <w:rPr>
          <w:rFonts w:hint="eastAsia"/>
        </w:rPr>
        <w:t>cm</w:t>
      </w:r>
      <w:r>
        <w:t>~15cm；伴生种有白桦（</w:t>
      </w:r>
      <w:r>
        <w:rPr>
          <w:i/>
          <w:iCs/>
        </w:rPr>
        <w:t>Betula platyphyllaSukaczev</w:t>
      </w:r>
      <w:r>
        <w:t>）、杨树（</w:t>
      </w:r>
      <w:r>
        <w:rPr>
          <w:i/>
          <w:iCs/>
        </w:rPr>
        <w:t>Populus davidianaDode</w:t>
      </w:r>
      <w:r>
        <w:t>）等。</w:t>
      </w:r>
    </w:p>
    <w:p w14:paraId="32E8F0A6">
      <w:pPr>
        <w:ind w:firstLine="480"/>
      </w:pPr>
      <w:r>
        <w:t>灌木层盖度15%，层均高1.2m；无明显优势种。常见植物有山刺玫（</w:t>
      </w:r>
      <w:r>
        <w:rPr>
          <w:rFonts w:hint="eastAsia"/>
          <w:i/>
          <w:iCs/>
        </w:rPr>
        <w:t>Rosa davurica Pall.</w:t>
      </w:r>
      <w:r>
        <w:t>）、榛（</w:t>
      </w:r>
      <w:r>
        <w:rPr>
          <w:i/>
          <w:iCs/>
        </w:rPr>
        <w:t>Corylus heterophyllaFisch. ex Trautv.</w:t>
      </w:r>
      <w:r>
        <w:t>）、土庄绣线菊（</w:t>
      </w:r>
      <w:r>
        <w:rPr>
          <w:i/>
          <w:iCs/>
        </w:rPr>
        <w:t>Spiraea pubescensTurcz.</w:t>
      </w:r>
      <w:r>
        <w:t>）等。</w:t>
      </w:r>
    </w:p>
    <w:p w14:paraId="3E065808">
      <w:pPr>
        <w:ind w:firstLine="480"/>
      </w:pPr>
      <w:r>
        <w:t>草本层盖度20%，无明显优势种，常见植物有铃兰（</w:t>
      </w:r>
      <w:r>
        <w:rPr>
          <w:i/>
          <w:iCs/>
        </w:rPr>
        <w:t>Convallaria majalis</w:t>
      </w:r>
      <w:r>
        <w:t>）、球穗苔草（</w:t>
      </w:r>
      <w:r>
        <w:rPr>
          <w:i/>
          <w:iCs/>
        </w:rPr>
        <w:t>Carex globularis</w:t>
      </w:r>
      <w:r>
        <w:t>）、红花鹿蹄草（</w:t>
      </w:r>
      <w:r>
        <w:rPr>
          <w:i/>
          <w:iCs/>
        </w:rPr>
        <w:t>Pyrola incarnata Fisch</w:t>
      </w:r>
      <w:r>
        <w:t>）、轮叶沙参（</w:t>
      </w:r>
      <w:r>
        <w:rPr>
          <w:i/>
          <w:iCs/>
        </w:rPr>
        <w:t>Adenophora tetraphylla</w:t>
      </w:r>
      <w:r>
        <w:t>）、蚊子草（</w:t>
      </w:r>
      <w:r>
        <w:rPr>
          <w:i/>
          <w:iCs/>
        </w:rPr>
        <w:t>Filipendula Palmata</w:t>
      </w:r>
      <w:r>
        <w:t>）、老鹳草（</w:t>
      </w:r>
      <w:r>
        <w:rPr>
          <w:i/>
          <w:iCs/>
        </w:rPr>
        <w:t>Geranium wilfordii</w:t>
      </w:r>
      <w:r>
        <w:t>）、耧斗菜（</w:t>
      </w:r>
      <w:r>
        <w:rPr>
          <w:i/>
          <w:iCs/>
        </w:rPr>
        <w:t>Aquilegia viridiflora .</w:t>
      </w:r>
      <w:r>
        <w:t>）、广布野豌豆（</w:t>
      </w:r>
      <w:r>
        <w:rPr>
          <w:i/>
          <w:iCs/>
        </w:rPr>
        <w:t>Vicia cracca</w:t>
      </w:r>
      <w:r>
        <w:t>）、小白花地榆（</w:t>
      </w:r>
      <w:r>
        <w:rPr>
          <w:i/>
          <w:iCs/>
        </w:rPr>
        <w:t>Sanguisorba tenuifolia</w:t>
      </w:r>
      <w:r>
        <w:t>）、越桔（</w:t>
      </w:r>
      <w:r>
        <w:rPr>
          <w:i/>
          <w:iCs/>
        </w:rPr>
        <w:t>Vaccinium vitisidaea</w:t>
      </w:r>
      <w:r>
        <w:t>）等</w:t>
      </w:r>
      <w:r>
        <w:rPr>
          <w:rFonts w:hint="eastAsia"/>
        </w:rPr>
        <w:t>。</w:t>
      </w:r>
    </w:p>
    <w:p w14:paraId="4A73E90C">
      <w:pPr>
        <w:ind w:firstLine="482"/>
        <w:rPr>
          <w:b/>
          <w:bCs w:val="0"/>
        </w:rPr>
      </w:pPr>
      <w:bookmarkStart w:id="324" w:name="_Toc26439"/>
      <w:bookmarkStart w:id="325" w:name="_Toc4569"/>
      <w:bookmarkStart w:id="326" w:name="_Toc29320"/>
      <w:bookmarkStart w:id="327" w:name="_Toc12672"/>
      <w:r>
        <w:rPr>
          <w:rFonts w:hint="eastAsia"/>
          <w:b/>
        </w:rPr>
        <w:t>2、草本</w:t>
      </w:r>
      <w:bookmarkEnd w:id="324"/>
      <w:bookmarkEnd w:id="325"/>
      <w:bookmarkEnd w:id="326"/>
      <w:bookmarkEnd w:id="327"/>
      <w:r>
        <w:rPr>
          <w:rFonts w:hint="eastAsia"/>
          <w:b/>
        </w:rPr>
        <w:t>植物群落</w:t>
      </w:r>
    </w:p>
    <w:p w14:paraId="1FCA28EE">
      <w:pPr>
        <w:adjustRightInd w:val="0"/>
        <w:ind w:firstLine="480"/>
        <w:rPr>
          <w:rFonts w:cs="Times New Roman"/>
        </w:rPr>
      </w:pPr>
      <w:r>
        <w:rPr>
          <w:rFonts w:hint="eastAsia" w:hAnsi="Times New Roman" w:cs="Times New Roman"/>
        </w:rPr>
        <w:t>评价范围内草地生态系统面积为</w:t>
      </w:r>
      <w:r>
        <w:rPr>
          <w:rFonts w:hAnsi="Times New Roman" w:cs="Times New Roman"/>
        </w:rPr>
        <w:t>48.98hm</w:t>
      </w:r>
      <w:r>
        <w:rPr>
          <w:rFonts w:hAnsi="Times New Roman" w:cs="Times New Roman"/>
          <w:vertAlign w:val="superscript"/>
        </w:rPr>
        <w:t>2</w:t>
      </w:r>
      <w:r>
        <w:rPr>
          <w:rFonts w:hAnsi="Times New Roman" w:cs="Times New Roman"/>
        </w:rPr>
        <w:t>，占评价范围内生态系统总面积的0.78%，根据现场调查，评价范围内草地生态系统主要分布在</w:t>
      </w:r>
      <w:r>
        <w:rPr>
          <w:rFonts w:hint="eastAsia" w:hAnsi="Times New Roman" w:cs="Times New Roman"/>
        </w:rPr>
        <w:t>道</w:t>
      </w:r>
      <w:r>
        <w:rPr>
          <w:rFonts w:hAnsi="Times New Roman" w:cs="Times New Roman"/>
        </w:rPr>
        <w:t>路</w:t>
      </w:r>
      <w:r>
        <w:rPr>
          <w:rFonts w:hint="eastAsia" w:hAnsi="Times New Roman" w:cs="Times New Roman"/>
        </w:rPr>
        <w:t>、农田</w:t>
      </w:r>
      <w:r>
        <w:rPr>
          <w:rFonts w:hAnsi="Times New Roman" w:cs="Times New Roman"/>
        </w:rPr>
        <w:t>或林缘以及</w:t>
      </w:r>
      <w:r>
        <w:rPr>
          <w:rFonts w:hint="eastAsia" w:hAnsi="Times New Roman" w:cs="Times New Roman"/>
        </w:rPr>
        <w:t>河流</w:t>
      </w:r>
      <w:r>
        <w:rPr>
          <w:rFonts w:hAnsi="Times New Roman" w:cs="Times New Roman"/>
        </w:rPr>
        <w:t>河岸周边。</w:t>
      </w:r>
    </w:p>
    <w:p w14:paraId="4B1D8710">
      <w:pPr>
        <w:adjustRightInd w:val="0"/>
        <w:ind w:firstLine="480"/>
        <w:rPr>
          <w:rFonts w:cs="Times New Roman"/>
        </w:rPr>
      </w:pPr>
      <w:r>
        <w:rPr>
          <w:rFonts w:hint="eastAsia" w:hAnsi="Times New Roman" w:cs="Times New Roman"/>
        </w:rPr>
        <w:t>草地生态系统以</w:t>
      </w:r>
      <w:r>
        <w:rPr>
          <w:rFonts w:hint="eastAsia" w:cs="Times New Roman"/>
        </w:rPr>
        <w:t>小叶章</w:t>
      </w:r>
      <w:r>
        <w:rPr>
          <w:rFonts w:hint="eastAsia" w:hAnsi="Times New Roman" w:cs="Times New Roman"/>
        </w:rPr>
        <w:t>占优势，在评价范围内常见的群系有</w:t>
      </w:r>
      <w:r>
        <w:rPr>
          <w:rFonts w:hint="eastAsia" w:cs="Times New Roman"/>
        </w:rPr>
        <w:t>小叶章群系（</w:t>
      </w:r>
      <w:r>
        <w:rPr>
          <w:rFonts w:hint="eastAsia" w:cs="Times New Roman"/>
          <w:i/>
          <w:iCs/>
        </w:rPr>
        <w:t>Xiao Yezhang</w:t>
      </w:r>
      <w:r>
        <w:rPr>
          <w:rFonts w:hint="eastAsia" w:cs="Times New Roman"/>
        </w:rPr>
        <w:t>）</w:t>
      </w:r>
      <w:r>
        <w:rPr>
          <w:rFonts w:hint="eastAsia"/>
        </w:rPr>
        <w:t>、狗尾草</w:t>
      </w:r>
      <w:r>
        <w:t>（</w:t>
      </w:r>
      <w:r>
        <w:rPr>
          <w:i/>
          <w:iCs/>
        </w:rPr>
        <w:t>Setaria viridis</w:t>
      </w:r>
      <w:r>
        <w:rPr>
          <w:rFonts w:hint="eastAsia"/>
          <w:i/>
          <w:iCs/>
        </w:rPr>
        <w:t xml:space="preserve"> （</w:t>
      </w:r>
      <w:r>
        <w:rPr>
          <w:i/>
          <w:iCs/>
        </w:rPr>
        <w:t>L.</w:t>
      </w:r>
      <w:r>
        <w:rPr>
          <w:rFonts w:hint="eastAsia"/>
          <w:i/>
          <w:iCs/>
        </w:rPr>
        <w:t>）</w:t>
      </w:r>
      <w:r>
        <w:rPr>
          <w:i/>
          <w:iCs/>
        </w:rPr>
        <w:t>P. Beauv.</w:t>
      </w:r>
      <w:r>
        <w:t>）、</w:t>
      </w:r>
      <w:r>
        <w:rPr>
          <w:rFonts w:hint="eastAsia"/>
        </w:rPr>
        <w:t>蒌蒿（</w:t>
      </w:r>
      <w:r>
        <w:rPr>
          <w:i/>
          <w:iCs/>
        </w:rPr>
        <w:t>Artemisia selengensis Turcz. ex Bess.</w:t>
      </w:r>
      <w:r>
        <w:rPr>
          <w:rFonts w:hint="eastAsia"/>
        </w:rPr>
        <w:t>）、长萼鸡眼草</w:t>
      </w:r>
      <w:r>
        <w:t>（</w:t>
      </w:r>
      <w:r>
        <w:rPr>
          <w:i/>
          <w:iCs/>
        </w:rPr>
        <w:t>Kummerowia stipulacea</w:t>
      </w:r>
      <w:r>
        <w:rPr>
          <w:rFonts w:hint="eastAsia"/>
          <w:i/>
          <w:iCs/>
        </w:rPr>
        <w:t>（</w:t>
      </w:r>
      <w:r>
        <w:rPr>
          <w:i/>
          <w:iCs/>
        </w:rPr>
        <w:t>Maxim.</w:t>
      </w:r>
      <w:r>
        <w:rPr>
          <w:rFonts w:hint="eastAsia"/>
          <w:i/>
          <w:iCs/>
        </w:rPr>
        <w:t>）</w:t>
      </w:r>
      <w:r>
        <w:rPr>
          <w:i/>
          <w:iCs/>
        </w:rPr>
        <w:t>Makino</w:t>
      </w:r>
      <w:r>
        <w:t>）</w:t>
      </w:r>
      <w:r>
        <w:rPr>
          <w:rFonts w:hint="eastAsia" w:hAnsi="Times New Roman" w:cs="Times New Roman"/>
        </w:rPr>
        <w:t>等</w:t>
      </w:r>
      <w:r>
        <w:rPr>
          <w:rFonts w:hAnsi="Times New Roman" w:cs="Times New Roman"/>
        </w:rPr>
        <w:t>。</w:t>
      </w:r>
    </w:p>
    <w:p w14:paraId="02D2BCCF">
      <w:pPr>
        <w:pStyle w:val="5"/>
        <w:spacing w:before="120" w:after="120"/>
      </w:pPr>
      <w:r>
        <w:t>景观生态类型现状与评价</w:t>
      </w:r>
    </w:p>
    <w:p w14:paraId="3A445BCC">
      <w:pPr>
        <w:ind w:firstLine="480"/>
      </w:pPr>
      <w:r>
        <w:rPr>
          <w:rFonts w:hint="eastAsia"/>
        </w:rPr>
        <w:t>（1）景观生态类型及生物多样性评价</w:t>
      </w:r>
    </w:p>
    <w:p w14:paraId="59DFF68E">
      <w:pPr>
        <w:ind w:firstLine="480"/>
      </w:pPr>
      <w:r>
        <w:t>景观生态系统质量的优劣取决于系统要素的性质与特征，以及结构和时空格局的分布。一般来说，森林比灌丛和灌草丛有更为复杂的群落结构、更高的生物生产力，同样其生态潜力也较高，对环境质量的影响也更大。农田、果园及其他人工群落，具有结构简单、种类单一、靠人工施肥和管理维持等特点，因此相对于自然植被来说，自身的稳定性与对外界干扰的抵抗力都较弱。</w:t>
      </w:r>
    </w:p>
    <w:p w14:paraId="408281C7">
      <w:pPr>
        <w:ind w:firstLine="480"/>
      </w:pPr>
      <w:r>
        <w:t>以植被分类系统为基础，结合土地利用现状资料，利用</w:t>
      </w:r>
      <w:r>
        <w:rPr>
          <w:rFonts w:hint="eastAsia"/>
        </w:rPr>
        <w:t>“</w:t>
      </w:r>
      <w:r>
        <w:t>3S</w:t>
      </w:r>
      <w:r>
        <w:rPr>
          <w:rFonts w:hint="eastAsia"/>
        </w:rPr>
        <w:t>”</w:t>
      </w:r>
      <w:r>
        <w:t>技术，结合实地调查资料并参考相关图件资料，制作完成</w:t>
      </w:r>
      <w:r>
        <w:rPr>
          <w:rFonts w:hint="eastAsia"/>
        </w:rPr>
        <w:t>嫩江嫩江市塔溪乡马厂河采石场</w:t>
      </w:r>
      <w:r>
        <w:t>评价区的植被类型图。图中植被类型上图单位为</w:t>
      </w:r>
      <w:r>
        <w:rPr>
          <w:rFonts w:hint="eastAsia"/>
        </w:rPr>
        <w:t>7</w:t>
      </w:r>
      <w:r>
        <w:t>个，全部共</w:t>
      </w:r>
      <w:r>
        <w:rPr>
          <w:rFonts w:hint="eastAsia"/>
        </w:rPr>
        <w:t>34</w:t>
      </w:r>
      <w:r>
        <w:t>个斑块。项目评价区景观生态系统组成见下表</w:t>
      </w:r>
      <w:r>
        <w:rPr>
          <w:rFonts w:hint="eastAsia"/>
        </w:rPr>
        <w:t>。</w:t>
      </w:r>
    </w:p>
    <w:p w14:paraId="5BF886B3">
      <w:pPr>
        <w:ind w:firstLine="480"/>
      </w:pPr>
      <w:r>
        <w:rPr>
          <w:rFonts w:hint="eastAsia"/>
        </w:rPr>
        <w:t>（2）</w:t>
      </w:r>
      <w:r>
        <w:t>景观结构及功能现状</w:t>
      </w:r>
    </w:p>
    <w:p w14:paraId="4C862C17">
      <w:pPr>
        <w:ind w:firstLine="480"/>
      </w:pPr>
      <w:r>
        <w:t>在景观/生态系统结构单元中，通常分为三种基本组分，即斑块（patch）、廊道（corridor）和基底（matrix）。斑块泛指与周围环境在外貌或性质上不同，并具有一定内部均质性的空间单元，斑块可</w:t>
      </w:r>
      <w:r>
        <w:rPr>
          <w:rFonts w:hint="eastAsia"/>
        </w:rPr>
        <w:t>以</w:t>
      </w:r>
      <w:r>
        <w:t>是植物群落、居民点及建筑用地、农田等等。廊道是指景观中与相邻两边环境不同的线性或条带结构，如河流、道路、峡谷等。基底则是指景观中分布最广、连续性最大的背景结构，常见如森林基底、农田基底等。基底是景观的背景地域类型，是一种重要的景观结构单元类型，在很大程度上决定了景观的性质，对景观的动态起着主导作用。本次评价采用平均斑块面积、景观破碎度、景观优势度和景观多样性指数分析景观结构现状。</w:t>
      </w:r>
    </w:p>
    <w:p w14:paraId="335D59AB">
      <w:pPr>
        <w:pStyle w:val="178"/>
      </w:pPr>
      <w:r>
        <w:rPr>
          <w:rFonts w:hint="eastAsia"/>
        </w:rPr>
        <w:t>表4.3-5  本项目评价区景观格局指数表</w:t>
      </w:r>
    </w:p>
    <w:tbl>
      <w:tblPr>
        <w:tblStyle w:val="36"/>
        <w:tblW w:w="4998"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
      <w:tblGrid>
        <w:gridCol w:w="482"/>
        <w:gridCol w:w="924"/>
        <w:gridCol w:w="948"/>
        <w:gridCol w:w="963"/>
        <w:gridCol w:w="425"/>
        <w:gridCol w:w="709"/>
        <w:gridCol w:w="850"/>
        <w:gridCol w:w="851"/>
        <w:gridCol w:w="875"/>
        <w:gridCol w:w="670"/>
        <w:gridCol w:w="670"/>
      </w:tblGrid>
      <w:tr w14:paraId="51DFD65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tblHeader/>
          <w:jc w:val="center"/>
        </w:trPr>
        <w:tc>
          <w:tcPr>
            <w:tcW w:w="482" w:type="dxa"/>
            <w:vAlign w:val="center"/>
          </w:tcPr>
          <w:p w14:paraId="3E40B857">
            <w:pPr>
              <w:pStyle w:val="179"/>
              <w:rPr>
                <w:b/>
              </w:rPr>
            </w:pPr>
            <w:r>
              <w:rPr>
                <w:b/>
              </w:rPr>
              <w:t>序号</w:t>
            </w:r>
          </w:p>
        </w:tc>
        <w:tc>
          <w:tcPr>
            <w:tcW w:w="924" w:type="dxa"/>
            <w:vAlign w:val="center"/>
          </w:tcPr>
          <w:p w14:paraId="7F0DA8A8">
            <w:pPr>
              <w:pStyle w:val="179"/>
              <w:rPr>
                <w:b/>
              </w:rPr>
            </w:pPr>
            <w:r>
              <w:rPr>
                <w:b/>
              </w:rPr>
              <w:t>类型</w:t>
            </w:r>
          </w:p>
        </w:tc>
        <w:tc>
          <w:tcPr>
            <w:tcW w:w="948" w:type="dxa"/>
            <w:vAlign w:val="center"/>
          </w:tcPr>
          <w:p w14:paraId="762BB60E">
            <w:pPr>
              <w:pStyle w:val="179"/>
              <w:rPr>
                <w:b/>
              </w:rPr>
            </w:pPr>
            <w:r>
              <w:rPr>
                <w:rFonts w:hint="eastAsia"/>
                <w:b/>
              </w:rPr>
              <w:t>CA（hm</w:t>
            </w:r>
            <w:r>
              <w:rPr>
                <w:rFonts w:hint="eastAsia"/>
                <w:b/>
                <w:vertAlign w:val="superscript"/>
              </w:rPr>
              <w:t>2</w:t>
            </w:r>
            <w:r>
              <w:rPr>
                <w:rFonts w:hint="eastAsia"/>
                <w:b/>
              </w:rPr>
              <w:t>）</w:t>
            </w:r>
          </w:p>
        </w:tc>
        <w:tc>
          <w:tcPr>
            <w:tcW w:w="963" w:type="dxa"/>
            <w:vAlign w:val="center"/>
          </w:tcPr>
          <w:p w14:paraId="5C1B40E6">
            <w:pPr>
              <w:pStyle w:val="179"/>
              <w:rPr>
                <w:b/>
              </w:rPr>
            </w:pPr>
            <w:r>
              <w:rPr>
                <w:b/>
              </w:rPr>
              <w:t>PLAND</w:t>
            </w:r>
          </w:p>
        </w:tc>
        <w:tc>
          <w:tcPr>
            <w:tcW w:w="425" w:type="dxa"/>
            <w:vAlign w:val="center"/>
          </w:tcPr>
          <w:p w14:paraId="4B939F5D">
            <w:pPr>
              <w:pStyle w:val="179"/>
              <w:rPr>
                <w:b/>
              </w:rPr>
            </w:pPr>
            <w:r>
              <w:rPr>
                <w:b/>
              </w:rPr>
              <w:t>NP</w:t>
            </w:r>
          </w:p>
        </w:tc>
        <w:tc>
          <w:tcPr>
            <w:tcW w:w="709" w:type="dxa"/>
            <w:vAlign w:val="center"/>
          </w:tcPr>
          <w:p w14:paraId="70C0C64F">
            <w:pPr>
              <w:pStyle w:val="179"/>
              <w:rPr>
                <w:b/>
              </w:rPr>
            </w:pPr>
            <w:r>
              <w:rPr>
                <w:rFonts w:hint="eastAsia"/>
                <w:b/>
              </w:rPr>
              <w:t>PD</w:t>
            </w:r>
          </w:p>
        </w:tc>
        <w:tc>
          <w:tcPr>
            <w:tcW w:w="850" w:type="dxa"/>
            <w:vAlign w:val="center"/>
          </w:tcPr>
          <w:p w14:paraId="2999EBF7">
            <w:pPr>
              <w:pStyle w:val="179"/>
              <w:rPr>
                <w:b/>
              </w:rPr>
            </w:pPr>
            <w:r>
              <w:rPr>
                <w:rFonts w:hint="eastAsia"/>
                <w:b/>
              </w:rPr>
              <w:t>LPI</w:t>
            </w:r>
          </w:p>
        </w:tc>
        <w:tc>
          <w:tcPr>
            <w:tcW w:w="851" w:type="dxa"/>
            <w:vAlign w:val="center"/>
          </w:tcPr>
          <w:p w14:paraId="396CD89A">
            <w:pPr>
              <w:pStyle w:val="179"/>
              <w:rPr>
                <w:b/>
              </w:rPr>
            </w:pPr>
            <w:r>
              <w:rPr>
                <w:rFonts w:hint="eastAsia"/>
                <w:b/>
              </w:rPr>
              <w:t>IJI</w:t>
            </w:r>
          </w:p>
        </w:tc>
        <w:tc>
          <w:tcPr>
            <w:tcW w:w="875" w:type="dxa"/>
            <w:vAlign w:val="center"/>
          </w:tcPr>
          <w:p w14:paraId="11285C9F">
            <w:pPr>
              <w:pStyle w:val="179"/>
              <w:rPr>
                <w:b/>
              </w:rPr>
            </w:pPr>
            <w:r>
              <w:rPr>
                <w:rFonts w:hint="eastAsia"/>
                <w:b/>
              </w:rPr>
              <w:t>AI</w:t>
            </w:r>
          </w:p>
        </w:tc>
        <w:tc>
          <w:tcPr>
            <w:tcW w:w="670" w:type="dxa"/>
            <w:vAlign w:val="center"/>
          </w:tcPr>
          <w:p w14:paraId="54A9DD52">
            <w:pPr>
              <w:pStyle w:val="179"/>
              <w:rPr>
                <w:b/>
              </w:rPr>
            </w:pPr>
            <w:r>
              <w:rPr>
                <w:b/>
              </w:rPr>
              <w:t>CONTAG</w:t>
            </w:r>
          </w:p>
        </w:tc>
        <w:tc>
          <w:tcPr>
            <w:tcW w:w="670" w:type="dxa"/>
            <w:vAlign w:val="center"/>
          </w:tcPr>
          <w:p w14:paraId="47452322">
            <w:pPr>
              <w:pStyle w:val="179"/>
              <w:rPr>
                <w:b/>
              </w:rPr>
            </w:pPr>
            <w:r>
              <w:rPr>
                <w:rFonts w:hint="eastAsia"/>
                <w:b/>
              </w:rPr>
              <w:t>SHDI</w:t>
            </w:r>
          </w:p>
        </w:tc>
      </w:tr>
      <w:tr w14:paraId="4F1CA96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482" w:type="dxa"/>
            <w:vAlign w:val="center"/>
          </w:tcPr>
          <w:p w14:paraId="20025665">
            <w:pPr>
              <w:pStyle w:val="179"/>
            </w:pPr>
            <w:r>
              <w:t>1</w:t>
            </w:r>
          </w:p>
        </w:tc>
        <w:tc>
          <w:tcPr>
            <w:tcW w:w="924" w:type="dxa"/>
            <w:vAlign w:val="center"/>
          </w:tcPr>
          <w:p w14:paraId="41509AB2">
            <w:pPr>
              <w:pStyle w:val="179"/>
            </w:pPr>
            <w:r>
              <w:rPr>
                <w:rFonts w:hint="eastAsia"/>
              </w:rPr>
              <w:t>城镇住宅用地</w:t>
            </w:r>
          </w:p>
        </w:tc>
        <w:tc>
          <w:tcPr>
            <w:tcW w:w="948" w:type="dxa"/>
            <w:vAlign w:val="center"/>
          </w:tcPr>
          <w:p w14:paraId="14479E25">
            <w:pPr>
              <w:pStyle w:val="179"/>
            </w:pPr>
            <w:r>
              <w:rPr>
                <w:rFonts w:hint="eastAsia"/>
              </w:rPr>
              <w:t>121.88</w:t>
            </w:r>
          </w:p>
        </w:tc>
        <w:tc>
          <w:tcPr>
            <w:tcW w:w="963" w:type="dxa"/>
            <w:shd w:val="clear" w:color="auto" w:fill="auto"/>
            <w:vAlign w:val="center"/>
          </w:tcPr>
          <w:p w14:paraId="514DCEA9">
            <w:pPr>
              <w:pStyle w:val="179"/>
            </w:pPr>
            <w:r>
              <w:rPr>
                <w:rFonts w:hint="eastAsia"/>
              </w:rPr>
              <w:t>4.0442</w:t>
            </w:r>
          </w:p>
        </w:tc>
        <w:tc>
          <w:tcPr>
            <w:tcW w:w="425" w:type="dxa"/>
            <w:shd w:val="clear" w:color="auto" w:fill="auto"/>
            <w:vAlign w:val="center"/>
          </w:tcPr>
          <w:p w14:paraId="40B03263">
            <w:pPr>
              <w:pStyle w:val="179"/>
            </w:pPr>
            <w:r>
              <w:rPr>
                <w:rFonts w:hint="eastAsia"/>
              </w:rPr>
              <w:t>4</w:t>
            </w:r>
          </w:p>
        </w:tc>
        <w:tc>
          <w:tcPr>
            <w:tcW w:w="709" w:type="dxa"/>
            <w:vAlign w:val="center"/>
          </w:tcPr>
          <w:p w14:paraId="6C49E1B4">
            <w:pPr>
              <w:pStyle w:val="179"/>
            </w:pPr>
            <w:r>
              <w:rPr>
                <w:rFonts w:hint="eastAsia"/>
              </w:rPr>
              <w:t>0.336</w:t>
            </w:r>
          </w:p>
        </w:tc>
        <w:tc>
          <w:tcPr>
            <w:tcW w:w="850" w:type="dxa"/>
            <w:vAlign w:val="center"/>
          </w:tcPr>
          <w:p w14:paraId="0FEC47CF">
            <w:pPr>
              <w:pStyle w:val="179"/>
            </w:pPr>
            <w:r>
              <w:rPr>
                <w:rFonts w:hint="eastAsia"/>
              </w:rPr>
              <w:t>1.8243</w:t>
            </w:r>
          </w:p>
        </w:tc>
        <w:tc>
          <w:tcPr>
            <w:tcW w:w="851" w:type="dxa"/>
            <w:vAlign w:val="center"/>
          </w:tcPr>
          <w:p w14:paraId="2E6D93C6">
            <w:pPr>
              <w:pStyle w:val="179"/>
            </w:pPr>
            <w:r>
              <w:rPr>
                <w:rFonts w:hint="eastAsia"/>
              </w:rPr>
              <w:t>54.3594</w:t>
            </w:r>
          </w:p>
        </w:tc>
        <w:tc>
          <w:tcPr>
            <w:tcW w:w="875" w:type="dxa"/>
            <w:vAlign w:val="center"/>
          </w:tcPr>
          <w:p w14:paraId="1C5129F7">
            <w:pPr>
              <w:pStyle w:val="179"/>
            </w:pPr>
            <w:r>
              <w:rPr>
                <w:rFonts w:hint="eastAsia"/>
              </w:rPr>
              <w:t>97.1973</w:t>
            </w:r>
          </w:p>
        </w:tc>
        <w:tc>
          <w:tcPr>
            <w:tcW w:w="670" w:type="dxa"/>
            <w:vMerge w:val="restart"/>
            <w:vAlign w:val="center"/>
          </w:tcPr>
          <w:p w14:paraId="12CFBFF5">
            <w:pPr>
              <w:pStyle w:val="179"/>
            </w:pPr>
            <w:r>
              <w:rPr>
                <w:rFonts w:hint="eastAsia"/>
              </w:rPr>
              <w:t>71.0936</w:t>
            </w:r>
          </w:p>
        </w:tc>
        <w:tc>
          <w:tcPr>
            <w:tcW w:w="670" w:type="dxa"/>
            <w:vMerge w:val="restart"/>
            <w:vAlign w:val="center"/>
          </w:tcPr>
          <w:p w14:paraId="325F314A">
            <w:pPr>
              <w:pStyle w:val="179"/>
            </w:pPr>
            <w:r>
              <w:rPr>
                <w:rFonts w:hint="eastAsia"/>
              </w:rPr>
              <w:t>1.0623</w:t>
            </w:r>
          </w:p>
        </w:tc>
      </w:tr>
      <w:tr w14:paraId="45DBCCA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482" w:type="dxa"/>
            <w:vAlign w:val="center"/>
          </w:tcPr>
          <w:p w14:paraId="4861619E">
            <w:pPr>
              <w:pStyle w:val="179"/>
            </w:pPr>
            <w:r>
              <w:t>2</w:t>
            </w:r>
          </w:p>
        </w:tc>
        <w:tc>
          <w:tcPr>
            <w:tcW w:w="924" w:type="dxa"/>
            <w:vAlign w:val="center"/>
          </w:tcPr>
          <w:p w14:paraId="7439BD88">
            <w:pPr>
              <w:pStyle w:val="179"/>
            </w:pPr>
            <w:r>
              <w:rPr>
                <w:rFonts w:hint="eastAsia"/>
              </w:rPr>
              <w:t>公路用地</w:t>
            </w:r>
          </w:p>
        </w:tc>
        <w:tc>
          <w:tcPr>
            <w:tcW w:w="948" w:type="dxa"/>
            <w:vAlign w:val="center"/>
          </w:tcPr>
          <w:p w14:paraId="28A1B8BF">
            <w:pPr>
              <w:pStyle w:val="179"/>
            </w:pPr>
            <w:r>
              <w:rPr>
                <w:rFonts w:hint="eastAsia"/>
              </w:rPr>
              <w:t>12.47</w:t>
            </w:r>
          </w:p>
        </w:tc>
        <w:tc>
          <w:tcPr>
            <w:tcW w:w="963" w:type="dxa"/>
            <w:vAlign w:val="center"/>
          </w:tcPr>
          <w:p w14:paraId="4767435C">
            <w:pPr>
              <w:pStyle w:val="179"/>
            </w:pPr>
            <w:r>
              <w:rPr>
                <w:rFonts w:hint="eastAsia"/>
              </w:rPr>
              <w:t>0.4208</w:t>
            </w:r>
          </w:p>
        </w:tc>
        <w:tc>
          <w:tcPr>
            <w:tcW w:w="425" w:type="dxa"/>
            <w:vAlign w:val="center"/>
          </w:tcPr>
          <w:p w14:paraId="148A5385">
            <w:pPr>
              <w:pStyle w:val="179"/>
            </w:pPr>
            <w:r>
              <w:rPr>
                <w:rFonts w:hint="eastAsia"/>
              </w:rPr>
              <w:t>4</w:t>
            </w:r>
          </w:p>
        </w:tc>
        <w:tc>
          <w:tcPr>
            <w:tcW w:w="709" w:type="dxa"/>
            <w:vAlign w:val="center"/>
          </w:tcPr>
          <w:p w14:paraId="48E83EFD">
            <w:pPr>
              <w:pStyle w:val="179"/>
            </w:pPr>
            <w:r>
              <w:rPr>
                <w:rFonts w:hint="eastAsia"/>
              </w:rPr>
              <w:t>0.336</w:t>
            </w:r>
          </w:p>
        </w:tc>
        <w:tc>
          <w:tcPr>
            <w:tcW w:w="850" w:type="dxa"/>
            <w:vAlign w:val="center"/>
          </w:tcPr>
          <w:p w14:paraId="222D4B42">
            <w:pPr>
              <w:pStyle w:val="179"/>
            </w:pPr>
            <w:r>
              <w:rPr>
                <w:rFonts w:hint="eastAsia"/>
              </w:rPr>
              <w:t>0.1932</w:t>
            </w:r>
          </w:p>
        </w:tc>
        <w:tc>
          <w:tcPr>
            <w:tcW w:w="851" w:type="dxa"/>
            <w:vAlign w:val="center"/>
          </w:tcPr>
          <w:p w14:paraId="630954CD">
            <w:pPr>
              <w:pStyle w:val="179"/>
            </w:pPr>
            <w:r>
              <w:rPr>
                <w:rFonts w:hint="eastAsia"/>
              </w:rPr>
              <w:t>44.4192</w:t>
            </w:r>
          </w:p>
        </w:tc>
        <w:tc>
          <w:tcPr>
            <w:tcW w:w="875" w:type="dxa"/>
            <w:vAlign w:val="center"/>
          </w:tcPr>
          <w:p w14:paraId="67BB9967">
            <w:pPr>
              <w:pStyle w:val="179"/>
            </w:pPr>
            <w:r>
              <w:rPr>
                <w:rFonts w:hint="eastAsia"/>
              </w:rPr>
              <w:t>93.6259</w:t>
            </w:r>
          </w:p>
        </w:tc>
        <w:tc>
          <w:tcPr>
            <w:tcW w:w="670" w:type="dxa"/>
            <w:vMerge w:val="continue"/>
            <w:vAlign w:val="center"/>
          </w:tcPr>
          <w:p w14:paraId="01D2CC27">
            <w:pPr>
              <w:pStyle w:val="179"/>
            </w:pPr>
          </w:p>
        </w:tc>
        <w:tc>
          <w:tcPr>
            <w:tcW w:w="670" w:type="dxa"/>
            <w:vMerge w:val="continue"/>
            <w:vAlign w:val="center"/>
          </w:tcPr>
          <w:p w14:paraId="111E53A0">
            <w:pPr>
              <w:pStyle w:val="179"/>
            </w:pPr>
          </w:p>
        </w:tc>
      </w:tr>
      <w:tr w14:paraId="42C564C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482" w:type="dxa"/>
            <w:vAlign w:val="center"/>
          </w:tcPr>
          <w:p w14:paraId="68AE4775">
            <w:pPr>
              <w:pStyle w:val="179"/>
            </w:pPr>
            <w:r>
              <w:t>3</w:t>
            </w:r>
          </w:p>
        </w:tc>
        <w:tc>
          <w:tcPr>
            <w:tcW w:w="924" w:type="dxa"/>
            <w:vAlign w:val="center"/>
          </w:tcPr>
          <w:p w14:paraId="19F4B820">
            <w:pPr>
              <w:pStyle w:val="179"/>
            </w:pPr>
            <w:r>
              <w:rPr>
                <w:rFonts w:hint="eastAsia"/>
              </w:rPr>
              <w:t>水面</w:t>
            </w:r>
          </w:p>
        </w:tc>
        <w:tc>
          <w:tcPr>
            <w:tcW w:w="948" w:type="dxa"/>
            <w:vAlign w:val="center"/>
          </w:tcPr>
          <w:p w14:paraId="5326AA8C">
            <w:pPr>
              <w:pStyle w:val="179"/>
            </w:pPr>
            <w:r>
              <w:rPr>
                <w:rFonts w:hint="eastAsia"/>
              </w:rPr>
              <w:t>13.24</w:t>
            </w:r>
          </w:p>
        </w:tc>
        <w:tc>
          <w:tcPr>
            <w:tcW w:w="963" w:type="dxa"/>
            <w:vAlign w:val="center"/>
          </w:tcPr>
          <w:p w14:paraId="60FA6F77">
            <w:pPr>
              <w:pStyle w:val="179"/>
            </w:pPr>
            <w:r>
              <w:rPr>
                <w:rFonts w:hint="eastAsia"/>
              </w:rPr>
              <w:t>3.0539</w:t>
            </w:r>
          </w:p>
        </w:tc>
        <w:tc>
          <w:tcPr>
            <w:tcW w:w="425" w:type="dxa"/>
            <w:vAlign w:val="center"/>
          </w:tcPr>
          <w:p w14:paraId="7A9C5122">
            <w:pPr>
              <w:pStyle w:val="179"/>
            </w:pPr>
            <w:r>
              <w:rPr>
                <w:rFonts w:hint="eastAsia"/>
              </w:rPr>
              <w:t>2</w:t>
            </w:r>
          </w:p>
        </w:tc>
        <w:tc>
          <w:tcPr>
            <w:tcW w:w="709" w:type="dxa"/>
            <w:vAlign w:val="center"/>
          </w:tcPr>
          <w:p w14:paraId="3DE6D49F">
            <w:pPr>
              <w:pStyle w:val="179"/>
            </w:pPr>
            <w:r>
              <w:rPr>
                <w:rFonts w:hint="eastAsia"/>
              </w:rPr>
              <w:t>0.168</w:t>
            </w:r>
          </w:p>
        </w:tc>
        <w:tc>
          <w:tcPr>
            <w:tcW w:w="850" w:type="dxa"/>
            <w:vAlign w:val="center"/>
          </w:tcPr>
          <w:p w14:paraId="776E395C">
            <w:pPr>
              <w:pStyle w:val="179"/>
            </w:pPr>
            <w:r>
              <w:rPr>
                <w:rFonts w:hint="eastAsia"/>
              </w:rPr>
              <w:t>1.6773</w:t>
            </w:r>
          </w:p>
        </w:tc>
        <w:tc>
          <w:tcPr>
            <w:tcW w:w="851" w:type="dxa"/>
            <w:vAlign w:val="center"/>
          </w:tcPr>
          <w:p w14:paraId="06309D6E">
            <w:pPr>
              <w:pStyle w:val="179"/>
            </w:pPr>
            <w:r>
              <w:rPr>
                <w:rFonts w:hint="eastAsia"/>
              </w:rPr>
              <w:t>51.1507</w:t>
            </w:r>
          </w:p>
        </w:tc>
        <w:tc>
          <w:tcPr>
            <w:tcW w:w="875" w:type="dxa"/>
            <w:vAlign w:val="center"/>
          </w:tcPr>
          <w:p w14:paraId="64B13787">
            <w:pPr>
              <w:pStyle w:val="179"/>
            </w:pPr>
            <w:r>
              <w:rPr>
                <w:rFonts w:hint="eastAsia"/>
              </w:rPr>
              <w:t>88.1555</w:t>
            </w:r>
          </w:p>
        </w:tc>
        <w:tc>
          <w:tcPr>
            <w:tcW w:w="670" w:type="dxa"/>
            <w:vMerge w:val="continue"/>
            <w:vAlign w:val="center"/>
          </w:tcPr>
          <w:p w14:paraId="37CB34FA">
            <w:pPr>
              <w:pStyle w:val="179"/>
            </w:pPr>
          </w:p>
        </w:tc>
        <w:tc>
          <w:tcPr>
            <w:tcW w:w="670" w:type="dxa"/>
            <w:vMerge w:val="continue"/>
            <w:vAlign w:val="center"/>
          </w:tcPr>
          <w:p w14:paraId="70DEA0F9">
            <w:pPr>
              <w:pStyle w:val="179"/>
            </w:pPr>
          </w:p>
        </w:tc>
      </w:tr>
      <w:tr w14:paraId="3BF06B5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482" w:type="dxa"/>
            <w:vAlign w:val="center"/>
          </w:tcPr>
          <w:p w14:paraId="686B2771">
            <w:pPr>
              <w:pStyle w:val="179"/>
            </w:pPr>
            <w:r>
              <w:rPr>
                <w:rFonts w:hint="eastAsia"/>
              </w:rPr>
              <w:t>4</w:t>
            </w:r>
          </w:p>
        </w:tc>
        <w:tc>
          <w:tcPr>
            <w:tcW w:w="924" w:type="dxa"/>
            <w:vAlign w:val="center"/>
          </w:tcPr>
          <w:p w14:paraId="5443C7B6">
            <w:pPr>
              <w:pStyle w:val="179"/>
            </w:pPr>
            <w:r>
              <w:rPr>
                <w:rFonts w:hint="eastAsia"/>
              </w:rPr>
              <w:t>蒙古栎</w:t>
            </w:r>
          </w:p>
        </w:tc>
        <w:tc>
          <w:tcPr>
            <w:tcW w:w="948" w:type="dxa"/>
            <w:vAlign w:val="center"/>
          </w:tcPr>
          <w:p w14:paraId="364F0D1D">
            <w:pPr>
              <w:pStyle w:val="179"/>
            </w:pPr>
            <w:r>
              <w:rPr>
                <w:rFonts w:hint="eastAsia"/>
              </w:rPr>
              <w:t>172.16</w:t>
            </w:r>
          </w:p>
        </w:tc>
        <w:tc>
          <w:tcPr>
            <w:tcW w:w="963" w:type="dxa"/>
            <w:vAlign w:val="center"/>
          </w:tcPr>
          <w:p w14:paraId="5544C464">
            <w:pPr>
              <w:pStyle w:val="179"/>
            </w:pPr>
            <w:r>
              <w:rPr>
                <w:rFonts w:hint="eastAsia"/>
              </w:rPr>
              <w:t>59.8535</w:t>
            </w:r>
          </w:p>
        </w:tc>
        <w:tc>
          <w:tcPr>
            <w:tcW w:w="425" w:type="dxa"/>
            <w:vAlign w:val="center"/>
          </w:tcPr>
          <w:p w14:paraId="2624C5E7">
            <w:pPr>
              <w:pStyle w:val="179"/>
            </w:pPr>
            <w:r>
              <w:rPr>
                <w:rFonts w:hint="eastAsia"/>
              </w:rPr>
              <w:t>3</w:t>
            </w:r>
          </w:p>
        </w:tc>
        <w:tc>
          <w:tcPr>
            <w:tcW w:w="709" w:type="dxa"/>
            <w:vAlign w:val="center"/>
          </w:tcPr>
          <w:p w14:paraId="674C5904">
            <w:pPr>
              <w:pStyle w:val="179"/>
            </w:pPr>
            <w:r>
              <w:rPr>
                <w:rFonts w:hint="eastAsia"/>
              </w:rPr>
              <w:t>0.252</w:t>
            </w:r>
          </w:p>
        </w:tc>
        <w:tc>
          <w:tcPr>
            <w:tcW w:w="850" w:type="dxa"/>
            <w:vAlign w:val="center"/>
          </w:tcPr>
          <w:p w14:paraId="689FCF65">
            <w:pPr>
              <w:pStyle w:val="179"/>
            </w:pPr>
            <w:r>
              <w:rPr>
                <w:rFonts w:hint="eastAsia"/>
              </w:rPr>
              <w:t>40.2044</w:t>
            </w:r>
          </w:p>
        </w:tc>
        <w:tc>
          <w:tcPr>
            <w:tcW w:w="851" w:type="dxa"/>
            <w:vAlign w:val="center"/>
          </w:tcPr>
          <w:p w14:paraId="126C0371">
            <w:pPr>
              <w:pStyle w:val="179"/>
            </w:pPr>
            <w:r>
              <w:rPr>
                <w:rFonts w:hint="eastAsia"/>
              </w:rPr>
              <w:t>73.2428</w:t>
            </w:r>
          </w:p>
        </w:tc>
        <w:tc>
          <w:tcPr>
            <w:tcW w:w="875" w:type="dxa"/>
            <w:vAlign w:val="center"/>
          </w:tcPr>
          <w:p w14:paraId="0E847EBB">
            <w:pPr>
              <w:pStyle w:val="179"/>
            </w:pPr>
            <w:r>
              <w:rPr>
                <w:rFonts w:hint="eastAsia"/>
              </w:rPr>
              <w:t>98.8407</w:t>
            </w:r>
          </w:p>
        </w:tc>
        <w:tc>
          <w:tcPr>
            <w:tcW w:w="670" w:type="dxa"/>
            <w:vMerge w:val="continue"/>
            <w:vAlign w:val="center"/>
          </w:tcPr>
          <w:p w14:paraId="53AD80CE">
            <w:pPr>
              <w:pStyle w:val="179"/>
            </w:pPr>
          </w:p>
        </w:tc>
        <w:tc>
          <w:tcPr>
            <w:tcW w:w="670" w:type="dxa"/>
            <w:vMerge w:val="continue"/>
            <w:vAlign w:val="center"/>
          </w:tcPr>
          <w:p w14:paraId="7DA3A473">
            <w:pPr>
              <w:pStyle w:val="179"/>
            </w:pPr>
          </w:p>
        </w:tc>
      </w:tr>
      <w:tr w14:paraId="175F1B2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482" w:type="dxa"/>
            <w:vAlign w:val="center"/>
          </w:tcPr>
          <w:p w14:paraId="2746EE36">
            <w:pPr>
              <w:pStyle w:val="179"/>
            </w:pPr>
            <w:r>
              <w:rPr>
                <w:rFonts w:hint="eastAsia"/>
              </w:rPr>
              <w:t>5</w:t>
            </w:r>
          </w:p>
        </w:tc>
        <w:tc>
          <w:tcPr>
            <w:tcW w:w="924" w:type="dxa"/>
            <w:vAlign w:val="center"/>
          </w:tcPr>
          <w:p w14:paraId="3C2FEC93">
            <w:pPr>
              <w:pStyle w:val="179"/>
            </w:pPr>
            <w:r>
              <w:rPr>
                <w:rFonts w:hint="eastAsia"/>
              </w:rPr>
              <w:t>落叶松</w:t>
            </w:r>
          </w:p>
        </w:tc>
        <w:tc>
          <w:tcPr>
            <w:tcW w:w="948" w:type="dxa"/>
            <w:vAlign w:val="center"/>
          </w:tcPr>
          <w:p w14:paraId="4D695DDF">
            <w:pPr>
              <w:pStyle w:val="179"/>
            </w:pPr>
            <w:r>
              <w:rPr>
                <w:rFonts w:hint="eastAsia"/>
              </w:rPr>
              <w:t>102.19</w:t>
            </w:r>
          </w:p>
        </w:tc>
        <w:tc>
          <w:tcPr>
            <w:tcW w:w="963" w:type="dxa"/>
            <w:vAlign w:val="center"/>
          </w:tcPr>
          <w:p w14:paraId="204979A2">
            <w:pPr>
              <w:pStyle w:val="179"/>
            </w:pPr>
            <w:r>
              <w:rPr>
                <w:rFonts w:hint="eastAsia"/>
              </w:rPr>
              <w:t>29.4854</w:t>
            </w:r>
          </w:p>
        </w:tc>
        <w:tc>
          <w:tcPr>
            <w:tcW w:w="425" w:type="dxa"/>
            <w:vAlign w:val="center"/>
          </w:tcPr>
          <w:p w14:paraId="4D3182CC">
            <w:pPr>
              <w:pStyle w:val="179"/>
            </w:pPr>
            <w:r>
              <w:rPr>
                <w:rFonts w:hint="eastAsia"/>
              </w:rPr>
              <w:t>6</w:t>
            </w:r>
          </w:p>
        </w:tc>
        <w:tc>
          <w:tcPr>
            <w:tcW w:w="709" w:type="dxa"/>
            <w:vAlign w:val="center"/>
          </w:tcPr>
          <w:p w14:paraId="7D685A4E">
            <w:pPr>
              <w:pStyle w:val="179"/>
            </w:pPr>
            <w:r>
              <w:rPr>
                <w:rFonts w:hint="eastAsia"/>
              </w:rPr>
              <w:t>0.504</w:t>
            </w:r>
          </w:p>
        </w:tc>
        <w:tc>
          <w:tcPr>
            <w:tcW w:w="850" w:type="dxa"/>
            <w:vAlign w:val="center"/>
          </w:tcPr>
          <w:p w14:paraId="05CF5A2D">
            <w:pPr>
              <w:pStyle w:val="179"/>
            </w:pPr>
            <w:r>
              <w:rPr>
                <w:rFonts w:hint="eastAsia"/>
              </w:rPr>
              <w:t>18.411</w:t>
            </w:r>
          </w:p>
        </w:tc>
        <w:tc>
          <w:tcPr>
            <w:tcW w:w="851" w:type="dxa"/>
            <w:vAlign w:val="center"/>
          </w:tcPr>
          <w:p w14:paraId="1E5F8101">
            <w:pPr>
              <w:pStyle w:val="179"/>
            </w:pPr>
            <w:r>
              <w:rPr>
                <w:rFonts w:hint="eastAsia"/>
              </w:rPr>
              <w:t>79.5598</w:t>
            </w:r>
          </w:p>
        </w:tc>
        <w:tc>
          <w:tcPr>
            <w:tcW w:w="875" w:type="dxa"/>
            <w:vAlign w:val="center"/>
          </w:tcPr>
          <w:p w14:paraId="153A903D">
            <w:pPr>
              <w:pStyle w:val="179"/>
            </w:pPr>
            <w:r>
              <w:rPr>
                <w:rFonts w:hint="eastAsia"/>
              </w:rPr>
              <w:t>97.5786</w:t>
            </w:r>
          </w:p>
        </w:tc>
        <w:tc>
          <w:tcPr>
            <w:tcW w:w="670" w:type="dxa"/>
            <w:vMerge w:val="continue"/>
            <w:vAlign w:val="center"/>
          </w:tcPr>
          <w:p w14:paraId="447555AD">
            <w:pPr>
              <w:pStyle w:val="179"/>
            </w:pPr>
          </w:p>
        </w:tc>
        <w:tc>
          <w:tcPr>
            <w:tcW w:w="670" w:type="dxa"/>
            <w:vMerge w:val="continue"/>
            <w:vAlign w:val="center"/>
          </w:tcPr>
          <w:p w14:paraId="510032F4">
            <w:pPr>
              <w:pStyle w:val="179"/>
            </w:pPr>
          </w:p>
        </w:tc>
      </w:tr>
      <w:tr w14:paraId="39D6AD2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482" w:type="dxa"/>
            <w:vAlign w:val="center"/>
          </w:tcPr>
          <w:p w14:paraId="48BD86F2">
            <w:pPr>
              <w:pStyle w:val="179"/>
            </w:pPr>
            <w:r>
              <w:rPr>
                <w:rFonts w:hint="eastAsia"/>
              </w:rPr>
              <w:t>6</w:t>
            </w:r>
          </w:p>
        </w:tc>
        <w:tc>
          <w:tcPr>
            <w:tcW w:w="924" w:type="dxa"/>
            <w:vAlign w:val="center"/>
          </w:tcPr>
          <w:p w14:paraId="49B3581B">
            <w:pPr>
              <w:pStyle w:val="179"/>
            </w:pPr>
            <w:r>
              <w:rPr>
                <w:rFonts w:hint="eastAsia"/>
              </w:rPr>
              <w:t>裸土地</w:t>
            </w:r>
          </w:p>
        </w:tc>
        <w:tc>
          <w:tcPr>
            <w:tcW w:w="948" w:type="dxa"/>
            <w:vAlign w:val="center"/>
          </w:tcPr>
          <w:p w14:paraId="4684A0F4">
            <w:pPr>
              <w:pStyle w:val="179"/>
            </w:pPr>
            <w:r>
              <w:rPr>
                <w:rFonts w:hint="eastAsia"/>
              </w:rPr>
              <w:t>15.46</w:t>
            </w:r>
          </w:p>
        </w:tc>
        <w:tc>
          <w:tcPr>
            <w:tcW w:w="963" w:type="dxa"/>
            <w:vAlign w:val="center"/>
          </w:tcPr>
          <w:p w14:paraId="6266BF8A">
            <w:pPr>
              <w:pStyle w:val="179"/>
            </w:pPr>
            <w:r>
              <w:rPr>
                <w:rFonts w:hint="eastAsia"/>
              </w:rPr>
              <w:t>0.5653</w:t>
            </w:r>
          </w:p>
        </w:tc>
        <w:tc>
          <w:tcPr>
            <w:tcW w:w="425" w:type="dxa"/>
            <w:vAlign w:val="center"/>
          </w:tcPr>
          <w:p w14:paraId="398821D8">
            <w:pPr>
              <w:pStyle w:val="179"/>
            </w:pPr>
            <w:r>
              <w:rPr>
                <w:rFonts w:hint="eastAsia"/>
              </w:rPr>
              <w:t>1</w:t>
            </w:r>
          </w:p>
        </w:tc>
        <w:tc>
          <w:tcPr>
            <w:tcW w:w="709" w:type="dxa"/>
            <w:vAlign w:val="center"/>
          </w:tcPr>
          <w:p w14:paraId="3FCF8CD3">
            <w:pPr>
              <w:pStyle w:val="179"/>
            </w:pPr>
            <w:r>
              <w:rPr>
                <w:rFonts w:hint="eastAsia"/>
              </w:rPr>
              <w:t>0.084</w:t>
            </w:r>
          </w:p>
        </w:tc>
        <w:tc>
          <w:tcPr>
            <w:tcW w:w="850" w:type="dxa"/>
            <w:vAlign w:val="center"/>
          </w:tcPr>
          <w:p w14:paraId="7E6D1871">
            <w:pPr>
              <w:pStyle w:val="179"/>
            </w:pPr>
            <w:r>
              <w:rPr>
                <w:rFonts w:hint="eastAsia"/>
              </w:rPr>
              <w:t>0.5653</w:t>
            </w:r>
          </w:p>
        </w:tc>
        <w:tc>
          <w:tcPr>
            <w:tcW w:w="851" w:type="dxa"/>
            <w:vAlign w:val="center"/>
          </w:tcPr>
          <w:p w14:paraId="4E0FFDE7">
            <w:pPr>
              <w:pStyle w:val="179"/>
            </w:pPr>
            <w:r>
              <w:rPr>
                <w:rFonts w:hint="eastAsia"/>
              </w:rPr>
              <w:t>23.7248</w:t>
            </w:r>
          </w:p>
        </w:tc>
        <w:tc>
          <w:tcPr>
            <w:tcW w:w="875" w:type="dxa"/>
            <w:vAlign w:val="center"/>
          </w:tcPr>
          <w:p w14:paraId="5056BF48">
            <w:pPr>
              <w:pStyle w:val="179"/>
            </w:pPr>
            <w:r>
              <w:rPr>
                <w:rFonts w:hint="eastAsia"/>
              </w:rPr>
              <w:t>96.4451</w:t>
            </w:r>
          </w:p>
        </w:tc>
        <w:tc>
          <w:tcPr>
            <w:tcW w:w="670" w:type="dxa"/>
            <w:vMerge w:val="continue"/>
            <w:vAlign w:val="center"/>
          </w:tcPr>
          <w:p w14:paraId="324A909E">
            <w:pPr>
              <w:pStyle w:val="179"/>
            </w:pPr>
          </w:p>
        </w:tc>
        <w:tc>
          <w:tcPr>
            <w:tcW w:w="670" w:type="dxa"/>
            <w:vMerge w:val="continue"/>
            <w:vAlign w:val="center"/>
          </w:tcPr>
          <w:p w14:paraId="538825CA">
            <w:pPr>
              <w:pStyle w:val="179"/>
            </w:pPr>
          </w:p>
        </w:tc>
      </w:tr>
      <w:tr w14:paraId="63AB5E0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482" w:type="dxa"/>
            <w:vAlign w:val="center"/>
          </w:tcPr>
          <w:p w14:paraId="50692A1B">
            <w:pPr>
              <w:pStyle w:val="179"/>
            </w:pPr>
            <w:r>
              <w:rPr>
                <w:rFonts w:hint="eastAsia"/>
              </w:rPr>
              <w:t>7</w:t>
            </w:r>
          </w:p>
        </w:tc>
        <w:tc>
          <w:tcPr>
            <w:tcW w:w="924" w:type="dxa"/>
            <w:vAlign w:val="center"/>
          </w:tcPr>
          <w:p w14:paraId="3814B5C0">
            <w:pPr>
              <w:pStyle w:val="179"/>
            </w:pPr>
            <w:r>
              <w:rPr>
                <w:rFonts w:hint="eastAsia"/>
              </w:rPr>
              <w:t>草甸</w:t>
            </w:r>
          </w:p>
        </w:tc>
        <w:tc>
          <w:tcPr>
            <w:tcW w:w="948" w:type="dxa"/>
            <w:vAlign w:val="center"/>
          </w:tcPr>
          <w:p w14:paraId="44140030">
            <w:pPr>
              <w:pStyle w:val="179"/>
            </w:pPr>
            <w:r>
              <w:rPr>
                <w:rFonts w:hint="eastAsia"/>
              </w:rPr>
              <w:t>64.63</w:t>
            </w:r>
          </w:p>
        </w:tc>
        <w:tc>
          <w:tcPr>
            <w:tcW w:w="963" w:type="dxa"/>
            <w:vAlign w:val="center"/>
          </w:tcPr>
          <w:p w14:paraId="6DD1A656">
            <w:pPr>
              <w:pStyle w:val="179"/>
            </w:pPr>
            <w:r>
              <w:rPr>
                <w:rFonts w:hint="eastAsia"/>
              </w:rPr>
              <w:t>2.109</w:t>
            </w:r>
          </w:p>
        </w:tc>
        <w:tc>
          <w:tcPr>
            <w:tcW w:w="425" w:type="dxa"/>
            <w:vAlign w:val="center"/>
          </w:tcPr>
          <w:p w14:paraId="066444AC">
            <w:pPr>
              <w:pStyle w:val="179"/>
            </w:pPr>
            <w:r>
              <w:rPr>
                <w:rFonts w:hint="eastAsia"/>
              </w:rPr>
              <w:t>3</w:t>
            </w:r>
          </w:p>
        </w:tc>
        <w:tc>
          <w:tcPr>
            <w:tcW w:w="709" w:type="dxa"/>
            <w:vAlign w:val="center"/>
          </w:tcPr>
          <w:p w14:paraId="4C1DB084">
            <w:pPr>
              <w:pStyle w:val="179"/>
            </w:pPr>
            <w:r>
              <w:rPr>
                <w:rFonts w:hint="eastAsia"/>
              </w:rPr>
              <w:t>0.252</w:t>
            </w:r>
          </w:p>
        </w:tc>
        <w:tc>
          <w:tcPr>
            <w:tcW w:w="850" w:type="dxa"/>
            <w:vAlign w:val="center"/>
          </w:tcPr>
          <w:p w14:paraId="04E49D7E">
            <w:pPr>
              <w:pStyle w:val="179"/>
            </w:pPr>
            <w:r>
              <w:rPr>
                <w:rFonts w:hint="eastAsia"/>
              </w:rPr>
              <w:t>1.6656</w:t>
            </w:r>
          </w:p>
        </w:tc>
        <w:tc>
          <w:tcPr>
            <w:tcW w:w="851" w:type="dxa"/>
            <w:vAlign w:val="center"/>
          </w:tcPr>
          <w:p w14:paraId="043CCD7C">
            <w:pPr>
              <w:pStyle w:val="179"/>
            </w:pPr>
            <w:r>
              <w:rPr>
                <w:rFonts w:hint="eastAsia"/>
              </w:rPr>
              <w:t>45.3981</w:t>
            </w:r>
          </w:p>
        </w:tc>
        <w:tc>
          <w:tcPr>
            <w:tcW w:w="875" w:type="dxa"/>
            <w:vAlign w:val="center"/>
          </w:tcPr>
          <w:p w14:paraId="7036CDA8">
            <w:pPr>
              <w:pStyle w:val="179"/>
            </w:pPr>
            <w:r>
              <w:rPr>
                <w:rFonts w:hint="eastAsia"/>
              </w:rPr>
              <w:t>81.3046</w:t>
            </w:r>
          </w:p>
        </w:tc>
        <w:tc>
          <w:tcPr>
            <w:tcW w:w="670" w:type="dxa"/>
            <w:vMerge w:val="continue"/>
            <w:vAlign w:val="center"/>
          </w:tcPr>
          <w:p w14:paraId="22338975">
            <w:pPr>
              <w:pStyle w:val="179"/>
            </w:pPr>
          </w:p>
        </w:tc>
        <w:tc>
          <w:tcPr>
            <w:tcW w:w="670" w:type="dxa"/>
            <w:vMerge w:val="continue"/>
            <w:vAlign w:val="center"/>
          </w:tcPr>
          <w:p w14:paraId="6FBC63D2">
            <w:pPr>
              <w:pStyle w:val="179"/>
            </w:pPr>
          </w:p>
        </w:tc>
      </w:tr>
    </w:tbl>
    <w:p w14:paraId="2476C031">
      <w:pPr>
        <w:ind w:firstLine="480"/>
      </w:pPr>
      <w:r>
        <w:rPr>
          <w:rFonts w:hint="eastAsia"/>
        </w:rPr>
        <w:t>评价区景观类型可划分为7个类型，蒙古栎林景观占据绝对优势，优势度值为评价区最高，蒙古栎林景观在评价区内属于主导地位的景观类型。</w:t>
      </w:r>
    </w:p>
    <w:p w14:paraId="3FDCDAF4">
      <w:pPr>
        <w:ind w:firstLine="480"/>
      </w:pPr>
      <w:r>
        <w:rPr>
          <w:rFonts w:hint="eastAsia"/>
        </w:rPr>
        <w:t>在类型尺度上，蒙古栎林景观的CA值最大，蒙古栎林斑块为评价范围内主要斑块类型。LPI值是判定景观中模地的重要指标，LPI值最大的为，蒙古栎林，为40.2044，表明，蒙古栎林景观是区域景观中的模地类型，占据优势地位。IJI和AI能够反映景观的离散和聚集程度。IJI值较高的景观有蒙古栎、落叶松等，表明区域内该地类斑块与较多的其他类型斑块相邻接，分布相对离散。景观聚合度指数较高，表明区域内景观的保护程度较好，破碎化程度不高。</w:t>
      </w:r>
    </w:p>
    <w:p w14:paraId="0BC70720">
      <w:pPr>
        <w:ind w:firstLine="480"/>
      </w:pPr>
      <w:r>
        <w:rPr>
          <w:rFonts w:hint="eastAsia"/>
        </w:rPr>
        <w:t>在景观尺度上，SHDI值为1.0623，表明其斑块类型较为单一，异质性较低。从项目评价范围宏观角度上看，AI均值为93.306，评价范围地类的聚集度指数较高，则表明评价范围景观的聚集程度较高，破碎化程度低。</w:t>
      </w:r>
    </w:p>
    <w:p w14:paraId="24B104E2">
      <w:pPr>
        <w:ind w:firstLine="480"/>
      </w:pPr>
      <w:r>
        <w:rPr>
          <w:rFonts w:hint="eastAsia"/>
        </w:rPr>
        <w:t>由上表可见，蔓延度指数（范围：0&lt;CONTAG≤100）的结果为71.0936%，数值较高，表明本项目生境类型中的农作物作为优势斑块类型连通度较高。</w:t>
      </w:r>
    </w:p>
    <w:p w14:paraId="53CE1AF1">
      <w:pPr>
        <w:pStyle w:val="5"/>
        <w:spacing w:before="120" w:after="120"/>
      </w:pPr>
      <w:r>
        <w:t>植物资源现状调查及评价</w:t>
      </w:r>
    </w:p>
    <w:p w14:paraId="5D5BE13B">
      <w:pPr>
        <w:ind w:firstLine="482"/>
        <w:rPr>
          <w:b/>
          <w:bCs w:val="0"/>
        </w:rPr>
      </w:pPr>
      <w:bookmarkStart w:id="328" w:name="_Toc21112"/>
      <w:r>
        <w:rPr>
          <w:rFonts w:hint="eastAsia"/>
          <w:b/>
        </w:rPr>
        <w:t>1、</w:t>
      </w:r>
      <w:r>
        <w:rPr>
          <w:b/>
        </w:rPr>
        <w:t>植被区划</w:t>
      </w:r>
      <w:bookmarkEnd w:id="328"/>
    </w:p>
    <w:p w14:paraId="7D37C71A">
      <w:pPr>
        <w:ind w:firstLine="480"/>
      </w:pPr>
      <w:r>
        <w:rPr>
          <w:rFonts w:hint="eastAsia"/>
        </w:rPr>
        <w:t>按《黑龙江植被》区划划分，评价区域内植被类型主要为森林植被，主要是落叶阔叶林、针叶林及阔叶灌丛。</w:t>
      </w:r>
    </w:p>
    <w:p w14:paraId="5F8D9933">
      <w:pPr>
        <w:ind w:firstLine="482"/>
        <w:rPr>
          <w:b/>
          <w:bCs w:val="0"/>
        </w:rPr>
      </w:pPr>
      <w:bookmarkStart w:id="329" w:name="_Toc4663"/>
      <w:r>
        <w:rPr>
          <w:rFonts w:hint="eastAsia"/>
          <w:b/>
        </w:rPr>
        <w:t>2、</w:t>
      </w:r>
      <w:r>
        <w:rPr>
          <w:b/>
        </w:rPr>
        <w:t>植被区系</w:t>
      </w:r>
      <w:bookmarkEnd w:id="329"/>
    </w:p>
    <w:p w14:paraId="3BFEB358">
      <w:pPr>
        <w:ind w:firstLine="480"/>
      </w:pPr>
      <w:r>
        <w:rPr>
          <w:rFonts w:hint="eastAsia"/>
        </w:rPr>
        <w:t>评价区域范围内主要森林植被为主，草甸植被主要是林下草丛以及评价区域内路边草丛、河岸边草丛及田间草丛，评价范围内没有单独大片草丛分布。</w:t>
      </w:r>
    </w:p>
    <w:p w14:paraId="69897F54">
      <w:pPr>
        <w:ind w:firstLine="482"/>
        <w:rPr>
          <w:b/>
          <w:bCs w:val="0"/>
        </w:rPr>
      </w:pPr>
      <w:bookmarkStart w:id="330" w:name="_Toc27908"/>
      <w:r>
        <w:rPr>
          <w:rFonts w:hint="eastAsia"/>
          <w:b/>
        </w:rPr>
        <w:t>3、</w:t>
      </w:r>
      <w:r>
        <w:rPr>
          <w:b/>
        </w:rPr>
        <w:t>植被群落</w:t>
      </w:r>
      <w:bookmarkEnd w:id="330"/>
    </w:p>
    <w:p w14:paraId="3C3D0644">
      <w:pPr>
        <w:ind w:firstLine="480"/>
      </w:pPr>
      <w:r>
        <w:t>评价区的植被分类单位采用了《中国植被》和《</w:t>
      </w:r>
      <w:r>
        <w:rPr>
          <w:rFonts w:hint="eastAsia"/>
        </w:rPr>
        <w:t>黑龙江</w:t>
      </w:r>
      <w:r>
        <w:t>植被》的分类单位，其主要分类单位划分为五个等级。本区采用的分类系统是：</w:t>
      </w:r>
    </w:p>
    <w:p w14:paraId="3DE89282">
      <w:pPr>
        <w:ind w:firstLine="480"/>
      </w:pPr>
      <w:r>
        <w:t>植被型组（</w:t>
      </w:r>
      <w:r>
        <w:rPr>
          <w:i/>
          <w:iCs/>
        </w:rPr>
        <w:t>Vegetation type group</w:t>
      </w:r>
      <w:r>
        <w:t>）</w:t>
      </w:r>
    </w:p>
    <w:p w14:paraId="5DD9303A">
      <w:pPr>
        <w:ind w:firstLine="960" w:firstLineChars="400"/>
      </w:pPr>
      <w:r>
        <w:t>植被型（</w:t>
      </w:r>
      <w:r>
        <w:rPr>
          <w:i/>
          <w:iCs/>
        </w:rPr>
        <w:t>Vegetation type</w:t>
      </w:r>
      <w:r>
        <w:t>）</w:t>
      </w:r>
    </w:p>
    <w:p w14:paraId="1EF4EB8F">
      <w:pPr>
        <w:ind w:firstLine="1440" w:firstLineChars="600"/>
      </w:pPr>
      <w:r>
        <w:t>植被亚型（</w:t>
      </w:r>
      <w:r>
        <w:rPr>
          <w:i/>
          <w:iCs/>
        </w:rPr>
        <w:t>Vegetation subtype</w:t>
      </w:r>
      <w:r>
        <w:t>）</w:t>
      </w:r>
    </w:p>
    <w:p w14:paraId="5BED2400">
      <w:pPr>
        <w:ind w:firstLine="1920" w:firstLineChars="800"/>
      </w:pPr>
      <w:r>
        <w:t>群系（</w:t>
      </w:r>
      <w:r>
        <w:rPr>
          <w:i/>
          <w:iCs/>
        </w:rPr>
        <w:t>Formation</w:t>
      </w:r>
      <w:r>
        <w:t>）</w:t>
      </w:r>
    </w:p>
    <w:p w14:paraId="7449CF66">
      <w:pPr>
        <w:ind w:firstLine="2160" w:firstLineChars="900"/>
      </w:pPr>
      <w:r>
        <w:t>群丛（</w:t>
      </w:r>
      <w:r>
        <w:rPr>
          <w:i/>
          <w:iCs/>
        </w:rPr>
        <w:t>Association</w:t>
      </w:r>
      <w:r>
        <w:t>）</w:t>
      </w:r>
    </w:p>
    <w:p w14:paraId="1E5235C8">
      <w:pPr>
        <w:ind w:firstLine="480"/>
      </w:pPr>
      <w:r>
        <w:rPr>
          <w:rFonts w:hint="eastAsia" w:hAnsi="Times New Roman"/>
        </w:rPr>
        <w:t>通过实地调查，评价区内有</w:t>
      </w:r>
      <w:r>
        <w:rPr>
          <w:rFonts w:hint="eastAsia"/>
        </w:rPr>
        <w:t>落叶阔叶林、针叶林、灌木和杂草草丛</w:t>
      </w:r>
      <w:r>
        <w:rPr>
          <w:rFonts w:hint="eastAsia" w:hAnsi="Times New Roman"/>
        </w:rPr>
        <w:t>。</w:t>
      </w:r>
    </w:p>
    <w:p w14:paraId="00BFDB03">
      <w:pPr>
        <w:pStyle w:val="178"/>
      </w:pPr>
      <w:r>
        <w:rPr>
          <w:rFonts w:hint="eastAsia"/>
        </w:rPr>
        <w:t>表4.3-6  评价区主要植被区系</w:t>
      </w:r>
    </w:p>
    <w:tbl>
      <w:tblPr>
        <w:tblStyle w:val="36"/>
        <w:tblW w:w="499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060"/>
        <w:gridCol w:w="1416"/>
        <w:gridCol w:w="2001"/>
        <w:gridCol w:w="1228"/>
        <w:gridCol w:w="1386"/>
        <w:gridCol w:w="1379"/>
      </w:tblGrid>
      <w:tr w14:paraId="0017E3A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156" w:type="dxa"/>
            <w:vMerge w:val="restart"/>
            <w:vAlign w:val="center"/>
          </w:tcPr>
          <w:p w14:paraId="0EAF1F15">
            <w:pPr>
              <w:pStyle w:val="179"/>
              <w:rPr>
                <w:b/>
              </w:rPr>
            </w:pPr>
            <w:r>
              <w:rPr>
                <w:rFonts w:hint="eastAsia"/>
                <w:b/>
              </w:rPr>
              <w:t>植被型组</w:t>
            </w:r>
          </w:p>
        </w:tc>
        <w:tc>
          <w:tcPr>
            <w:tcW w:w="1553" w:type="dxa"/>
            <w:vMerge w:val="restart"/>
            <w:vAlign w:val="center"/>
          </w:tcPr>
          <w:p w14:paraId="3A4C2F68">
            <w:pPr>
              <w:pStyle w:val="179"/>
              <w:rPr>
                <w:b/>
              </w:rPr>
            </w:pPr>
            <w:r>
              <w:rPr>
                <w:rFonts w:hint="eastAsia"/>
                <w:b/>
              </w:rPr>
              <w:t>植被型</w:t>
            </w:r>
          </w:p>
        </w:tc>
        <w:tc>
          <w:tcPr>
            <w:tcW w:w="2205" w:type="dxa"/>
            <w:vMerge w:val="restart"/>
            <w:vAlign w:val="center"/>
          </w:tcPr>
          <w:p w14:paraId="4617FE3D">
            <w:pPr>
              <w:pStyle w:val="179"/>
              <w:rPr>
                <w:b/>
              </w:rPr>
            </w:pPr>
            <w:r>
              <w:rPr>
                <w:rFonts w:hint="eastAsia"/>
                <w:b/>
              </w:rPr>
              <w:t>植被亚型</w:t>
            </w:r>
          </w:p>
        </w:tc>
        <w:tc>
          <w:tcPr>
            <w:tcW w:w="1343" w:type="dxa"/>
            <w:vMerge w:val="restart"/>
            <w:vAlign w:val="center"/>
          </w:tcPr>
          <w:p w14:paraId="4FBEE860">
            <w:pPr>
              <w:pStyle w:val="179"/>
              <w:rPr>
                <w:b/>
              </w:rPr>
            </w:pPr>
            <w:r>
              <w:rPr>
                <w:rFonts w:hint="eastAsia"/>
                <w:b/>
              </w:rPr>
              <w:t>群系</w:t>
            </w:r>
          </w:p>
        </w:tc>
        <w:tc>
          <w:tcPr>
            <w:tcW w:w="3030" w:type="dxa"/>
            <w:gridSpan w:val="2"/>
            <w:vAlign w:val="center"/>
          </w:tcPr>
          <w:p w14:paraId="1365C140">
            <w:pPr>
              <w:pStyle w:val="179"/>
              <w:rPr>
                <w:b/>
              </w:rPr>
            </w:pPr>
            <w:r>
              <w:rPr>
                <w:rFonts w:hint="eastAsia"/>
                <w:b/>
              </w:rPr>
              <w:t>评价区植被分布情况</w:t>
            </w:r>
          </w:p>
        </w:tc>
      </w:tr>
      <w:tr w14:paraId="154FE3A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156" w:type="dxa"/>
            <w:vMerge w:val="continue"/>
            <w:vAlign w:val="center"/>
          </w:tcPr>
          <w:p w14:paraId="574657DB">
            <w:pPr>
              <w:pStyle w:val="179"/>
              <w:rPr>
                <w:b/>
              </w:rPr>
            </w:pPr>
          </w:p>
        </w:tc>
        <w:tc>
          <w:tcPr>
            <w:tcW w:w="1553" w:type="dxa"/>
            <w:vMerge w:val="continue"/>
            <w:vAlign w:val="center"/>
          </w:tcPr>
          <w:p w14:paraId="48B9996B">
            <w:pPr>
              <w:pStyle w:val="179"/>
              <w:rPr>
                <w:b/>
              </w:rPr>
            </w:pPr>
          </w:p>
        </w:tc>
        <w:tc>
          <w:tcPr>
            <w:tcW w:w="2205" w:type="dxa"/>
            <w:vMerge w:val="continue"/>
            <w:vAlign w:val="center"/>
          </w:tcPr>
          <w:p w14:paraId="5C16945F">
            <w:pPr>
              <w:pStyle w:val="179"/>
              <w:rPr>
                <w:b/>
              </w:rPr>
            </w:pPr>
          </w:p>
        </w:tc>
        <w:tc>
          <w:tcPr>
            <w:tcW w:w="1343" w:type="dxa"/>
            <w:vMerge w:val="continue"/>
            <w:vAlign w:val="center"/>
          </w:tcPr>
          <w:p w14:paraId="0A7A3A34">
            <w:pPr>
              <w:pStyle w:val="179"/>
              <w:rPr>
                <w:b/>
              </w:rPr>
            </w:pPr>
          </w:p>
        </w:tc>
        <w:tc>
          <w:tcPr>
            <w:tcW w:w="1519" w:type="dxa"/>
            <w:vAlign w:val="center"/>
          </w:tcPr>
          <w:p w14:paraId="1AFFF3A2">
            <w:pPr>
              <w:pStyle w:val="179"/>
              <w:rPr>
                <w:b/>
              </w:rPr>
            </w:pPr>
            <w:r>
              <w:rPr>
                <w:rFonts w:hint="eastAsia"/>
                <w:b/>
              </w:rPr>
              <w:t>分布面积（hm</w:t>
            </w:r>
            <w:r>
              <w:rPr>
                <w:rFonts w:hint="eastAsia"/>
                <w:b/>
                <w:vertAlign w:val="superscript"/>
              </w:rPr>
              <w:t>2</w:t>
            </w:r>
            <w:r>
              <w:rPr>
                <w:rFonts w:hint="eastAsia"/>
                <w:b/>
              </w:rPr>
              <w:t>）</w:t>
            </w:r>
          </w:p>
        </w:tc>
        <w:tc>
          <w:tcPr>
            <w:tcW w:w="1511" w:type="dxa"/>
            <w:vAlign w:val="center"/>
          </w:tcPr>
          <w:p w14:paraId="62108CDF">
            <w:pPr>
              <w:pStyle w:val="179"/>
              <w:rPr>
                <w:b/>
              </w:rPr>
            </w:pPr>
            <w:r>
              <w:rPr>
                <w:rFonts w:hint="eastAsia"/>
                <w:b/>
              </w:rPr>
              <w:t>比例</w:t>
            </w:r>
            <w:r>
              <w:rPr>
                <w:b/>
              </w:rPr>
              <w:t>（%）</w:t>
            </w:r>
          </w:p>
        </w:tc>
      </w:tr>
      <w:tr w14:paraId="58F8186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156" w:type="dxa"/>
            <w:vAlign w:val="center"/>
          </w:tcPr>
          <w:p w14:paraId="1DDF3BF4">
            <w:pPr>
              <w:pStyle w:val="179"/>
            </w:pPr>
            <w:r>
              <w:rPr>
                <w:rFonts w:hint="eastAsia"/>
              </w:rPr>
              <w:t>阔叶林</w:t>
            </w:r>
          </w:p>
        </w:tc>
        <w:tc>
          <w:tcPr>
            <w:tcW w:w="1553" w:type="dxa"/>
            <w:vAlign w:val="center"/>
          </w:tcPr>
          <w:p w14:paraId="06FA84DF">
            <w:pPr>
              <w:pStyle w:val="179"/>
            </w:pPr>
            <w:r>
              <w:rPr>
                <w:rFonts w:hint="eastAsia"/>
              </w:rPr>
              <w:t>落叶阔叶林</w:t>
            </w:r>
          </w:p>
        </w:tc>
        <w:tc>
          <w:tcPr>
            <w:tcW w:w="2205" w:type="dxa"/>
            <w:vAlign w:val="center"/>
          </w:tcPr>
          <w:p w14:paraId="62A13810">
            <w:pPr>
              <w:pStyle w:val="179"/>
            </w:pPr>
            <w:r>
              <w:t>寒温性落叶阔叶林</w:t>
            </w:r>
          </w:p>
        </w:tc>
        <w:tc>
          <w:tcPr>
            <w:tcW w:w="1343" w:type="dxa"/>
            <w:vAlign w:val="center"/>
          </w:tcPr>
          <w:p w14:paraId="76490259">
            <w:pPr>
              <w:pStyle w:val="179"/>
            </w:pPr>
            <w:r>
              <w:rPr>
                <w:rFonts w:hint="eastAsia"/>
              </w:rPr>
              <w:t>蒙古栎</w:t>
            </w:r>
          </w:p>
        </w:tc>
        <w:tc>
          <w:tcPr>
            <w:tcW w:w="1519" w:type="dxa"/>
            <w:vAlign w:val="center"/>
          </w:tcPr>
          <w:p w14:paraId="10B90DCD">
            <w:pPr>
              <w:pStyle w:val="179"/>
            </w:pPr>
            <w:r>
              <w:rPr>
                <w:rFonts w:hint="eastAsia"/>
              </w:rPr>
              <w:t>102.19</w:t>
            </w:r>
          </w:p>
        </w:tc>
        <w:tc>
          <w:tcPr>
            <w:tcW w:w="1511" w:type="dxa"/>
            <w:vAlign w:val="center"/>
          </w:tcPr>
          <w:p w14:paraId="68F8F122">
            <w:pPr>
              <w:pStyle w:val="179"/>
            </w:pPr>
            <w:r>
              <w:rPr>
                <w:rFonts w:hint="eastAsia"/>
              </w:rPr>
              <w:t>30.14</w:t>
            </w:r>
          </w:p>
        </w:tc>
      </w:tr>
      <w:tr w14:paraId="1A13231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156" w:type="dxa"/>
            <w:vAlign w:val="center"/>
          </w:tcPr>
          <w:p w14:paraId="31E73E26">
            <w:pPr>
              <w:pStyle w:val="179"/>
            </w:pPr>
            <w:r>
              <w:rPr>
                <w:rFonts w:hint="eastAsia"/>
              </w:rPr>
              <w:t>针叶林</w:t>
            </w:r>
          </w:p>
        </w:tc>
        <w:tc>
          <w:tcPr>
            <w:tcW w:w="1553" w:type="dxa"/>
            <w:vAlign w:val="center"/>
          </w:tcPr>
          <w:p w14:paraId="654AE294">
            <w:pPr>
              <w:pStyle w:val="179"/>
            </w:pPr>
            <w:r>
              <w:rPr>
                <w:rFonts w:hint="eastAsia"/>
              </w:rPr>
              <w:t>落叶针叶林</w:t>
            </w:r>
          </w:p>
        </w:tc>
        <w:tc>
          <w:tcPr>
            <w:tcW w:w="2205" w:type="dxa"/>
            <w:vAlign w:val="center"/>
          </w:tcPr>
          <w:p w14:paraId="188DE9C6">
            <w:pPr>
              <w:pStyle w:val="179"/>
            </w:pPr>
            <w:r>
              <w:t>寒温性针叶林</w:t>
            </w:r>
          </w:p>
        </w:tc>
        <w:tc>
          <w:tcPr>
            <w:tcW w:w="1343" w:type="dxa"/>
            <w:vAlign w:val="center"/>
          </w:tcPr>
          <w:p w14:paraId="16687367">
            <w:pPr>
              <w:pStyle w:val="179"/>
            </w:pPr>
            <w:r>
              <w:rPr>
                <w:rFonts w:hint="eastAsia"/>
              </w:rPr>
              <w:t>落叶松林</w:t>
            </w:r>
          </w:p>
        </w:tc>
        <w:tc>
          <w:tcPr>
            <w:tcW w:w="1519" w:type="dxa"/>
            <w:vAlign w:val="center"/>
          </w:tcPr>
          <w:p w14:paraId="3A2C7CA7">
            <w:pPr>
              <w:pStyle w:val="179"/>
            </w:pPr>
            <w:r>
              <w:rPr>
                <w:rFonts w:hint="eastAsia"/>
              </w:rPr>
              <w:t>172.16</w:t>
            </w:r>
          </w:p>
        </w:tc>
        <w:tc>
          <w:tcPr>
            <w:tcW w:w="1511" w:type="dxa"/>
            <w:vAlign w:val="center"/>
          </w:tcPr>
          <w:p w14:paraId="70400C26">
            <w:pPr>
              <w:pStyle w:val="179"/>
            </w:pPr>
            <w:r>
              <w:rPr>
                <w:rFonts w:hint="eastAsia"/>
              </w:rPr>
              <w:t>50.79</w:t>
            </w:r>
          </w:p>
        </w:tc>
      </w:tr>
      <w:tr w14:paraId="21DBA9A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156" w:type="dxa"/>
            <w:vAlign w:val="center"/>
          </w:tcPr>
          <w:p w14:paraId="0B506A0D">
            <w:pPr>
              <w:pStyle w:val="179"/>
            </w:pPr>
            <w:r>
              <w:rPr>
                <w:rFonts w:hint="eastAsia"/>
              </w:rPr>
              <w:t>草本植被</w:t>
            </w:r>
          </w:p>
        </w:tc>
        <w:tc>
          <w:tcPr>
            <w:tcW w:w="1553" w:type="dxa"/>
            <w:vAlign w:val="center"/>
          </w:tcPr>
          <w:p w14:paraId="776AF733">
            <w:pPr>
              <w:pStyle w:val="179"/>
            </w:pPr>
            <w:r>
              <w:rPr>
                <w:rFonts w:hint="eastAsia"/>
              </w:rPr>
              <w:t>典型草甸</w:t>
            </w:r>
          </w:p>
        </w:tc>
        <w:tc>
          <w:tcPr>
            <w:tcW w:w="2205" w:type="dxa"/>
            <w:vAlign w:val="center"/>
          </w:tcPr>
          <w:p w14:paraId="626F79B4">
            <w:pPr>
              <w:pStyle w:val="179"/>
            </w:pPr>
            <w:r>
              <w:rPr>
                <w:rFonts w:hint="eastAsia"/>
              </w:rPr>
              <w:t>杂草类草甸</w:t>
            </w:r>
          </w:p>
        </w:tc>
        <w:tc>
          <w:tcPr>
            <w:tcW w:w="1343" w:type="dxa"/>
            <w:vAlign w:val="center"/>
          </w:tcPr>
          <w:p w14:paraId="14E62F96">
            <w:pPr>
              <w:pStyle w:val="179"/>
            </w:pPr>
            <w:r>
              <w:rPr>
                <w:rFonts w:hint="eastAsia"/>
              </w:rPr>
              <w:t>杂草草丛</w:t>
            </w:r>
          </w:p>
        </w:tc>
        <w:tc>
          <w:tcPr>
            <w:tcW w:w="1519" w:type="dxa"/>
            <w:vAlign w:val="center"/>
          </w:tcPr>
          <w:p w14:paraId="312A9660">
            <w:pPr>
              <w:pStyle w:val="179"/>
            </w:pPr>
            <w:r>
              <w:rPr>
                <w:rFonts w:hint="eastAsia"/>
              </w:rPr>
              <w:t>64.63</w:t>
            </w:r>
          </w:p>
        </w:tc>
        <w:tc>
          <w:tcPr>
            <w:tcW w:w="1511" w:type="dxa"/>
            <w:vAlign w:val="center"/>
          </w:tcPr>
          <w:p w14:paraId="0D12A272">
            <w:pPr>
              <w:pStyle w:val="179"/>
            </w:pPr>
            <w:r>
              <w:rPr>
                <w:rFonts w:hint="eastAsia"/>
              </w:rPr>
              <w:t>19.07</w:t>
            </w:r>
          </w:p>
        </w:tc>
      </w:tr>
      <w:tr w14:paraId="09C14F7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257" w:type="dxa"/>
            <w:gridSpan w:val="4"/>
            <w:vAlign w:val="center"/>
          </w:tcPr>
          <w:p w14:paraId="5CC4612A">
            <w:pPr>
              <w:pStyle w:val="179"/>
            </w:pPr>
            <w:r>
              <w:rPr>
                <w:rFonts w:hint="eastAsia"/>
              </w:rPr>
              <w:t>合计</w:t>
            </w:r>
          </w:p>
        </w:tc>
        <w:tc>
          <w:tcPr>
            <w:tcW w:w="1519" w:type="dxa"/>
            <w:vAlign w:val="center"/>
          </w:tcPr>
          <w:p w14:paraId="476A8D32">
            <w:pPr>
              <w:pStyle w:val="179"/>
            </w:pPr>
            <w:r>
              <w:rPr>
                <w:rFonts w:hint="eastAsia"/>
              </w:rPr>
              <w:t>338.98</w:t>
            </w:r>
          </w:p>
        </w:tc>
        <w:tc>
          <w:tcPr>
            <w:tcW w:w="1511" w:type="dxa"/>
            <w:vAlign w:val="center"/>
          </w:tcPr>
          <w:p w14:paraId="3810EE10">
            <w:pPr>
              <w:pStyle w:val="179"/>
            </w:pPr>
            <w:r>
              <w:rPr>
                <w:rFonts w:hint="eastAsia"/>
              </w:rPr>
              <w:t>100</w:t>
            </w:r>
          </w:p>
        </w:tc>
      </w:tr>
    </w:tbl>
    <w:p w14:paraId="29624F11">
      <w:pPr>
        <w:ind w:firstLine="482"/>
        <w:rPr>
          <w:b/>
        </w:rPr>
      </w:pPr>
      <w:r>
        <w:rPr>
          <w:rFonts w:hint="eastAsia"/>
          <w:b/>
        </w:rPr>
        <w:t>4、</w:t>
      </w:r>
      <w:r>
        <w:rPr>
          <w:b/>
        </w:rPr>
        <w:t>植被类型及分布</w:t>
      </w:r>
    </w:p>
    <w:p w14:paraId="3131A295">
      <w:pPr>
        <w:ind w:firstLine="480"/>
      </w:pPr>
      <w:r>
        <w:t>根据卫星解译结果，评价区植被分布总面积</w:t>
      </w:r>
      <w:r>
        <w:rPr>
          <w:rFonts w:hint="eastAsia"/>
        </w:rPr>
        <w:t>338.98</w:t>
      </w:r>
      <w:r>
        <w:t>hm</w:t>
      </w:r>
      <w:r>
        <w:rPr>
          <w:vertAlign w:val="superscript"/>
        </w:rPr>
        <w:t>2</w:t>
      </w:r>
      <w:r>
        <w:t>，其中落叶阔叶林面积</w:t>
      </w:r>
      <w:r>
        <w:rPr>
          <w:rFonts w:hint="eastAsia"/>
        </w:rPr>
        <w:t>102.19</w:t>
      </w:r>
      <w:r>
        <w:t>hm</w:t>
      </w:r>
      <w:r>
        <w:rPr>
          <w:vertAlign w:val="superscript"/>
        </w:rPr>
        <w:t>2</w:t>
      </w:r>
      <w:r>
        <w:t>，占评价区植被总面积的</w:t>
      </w:r>
      <w:r>
        <w:rPr>
          <w:rFonts w:hint="eastAsia"/>
        </w:rPr>
        <w:t>30.14</w:t>
      </w:r>
      <w:r>
        <w:t>%；</w:t>
      </w:r>
      <w:r>
        <w:rPr>
          <w:rFonts w:hint="eastAsia"/>
        </w:rPr>
        <w:t>落叶针叶林</w:t>
      </w:r>
      <w:r>
        <w:t>面积</w:t>
      </w:r>
      <w:r>
        <w:rPr>
          <w:rFonts w:hint="eastAsia"/>
        </w:rPr>
        <w:t>172.16</w:t>
      </w:r>
      <w:r>
        <w:t>hm</w:t>
      </w:r>
      <w:r>
        <w:rPr>
          <w:vertAlign w:val="superscript"/>
        </w:rPr>
        <w:t>2</w:t>
      </w:r>
      <w:r>
        <w:t>，占评价区植被总面积的</w:t>
      </w:r>
      <w:r>
        <w:rPr>
          <w:rFonts w:hint="eastAsia"/>
        </w:rPr>
        <w:t>50.79</w:t>
      </w:r>
      <w:r>
        <w:t>%；</w:t>
      </w:r>
      <w:r>
        <w:rPr>
          <w:rFonts w:hint="eastAsia"/>
        </w:rPr>
        <w:t>杂草草丛</w:t>
      </w:r>
      <w:r>
        <w:t>面积</w:t>
      </w:r>
      <w:r>
        <w:rPr>
          <w:rFonts w:hint="eastAsia"/>
        </w:rPr>
        <w:t>64.63</w:t>
      </w:r>
      <w:r>
        <w:t>hm</w:t>
      </w:r>
      <w:r>
        <w:rPr>
          <w:vertAlign w:val="superscript"/>
        </w:rPr>
        <w:t>2</w:t>
      </w:r>
      <w:r>
        <w:t>，占评价区植被总面积的</w:t>
      </w:r>
      <w:r>
        <w:rPr>
          <w:rFonts w:hint="eastAsia"/>
        </w:rPr>
        <w:t>19.07</w:t>
      </w:r>
      <w:r>
        <w:t>%</w:t>
      </w:r>
      <w:r>
        <w:rPr>
          <w:rFonts w:hint="eastAsia"/>
        </w:rPr>
        <w:t>；</w:t>
      </w:r>
    </w:p>
    <w:p w14:paraId="7E03719D">
      <w:pPr>
        <w:pStyle w:val="178"/>
      </w:pPr>
      <w:r>
        <w:rPr>
          <w:rFonts w:hint="eastAsia"/>
        </w:rPr>
        <w:t>表4.3-7  评价区植被面积及比例</w:t>
      </w:r>
    </w:p>
    <w:tbl>
      <w:tblPr>
        <w:tblStyle w:val="36"/>
        <w:tblW w:w="4996"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873"/>
        <w:gridCol w:w="2995"/>
        <w:gridCol w:w="2161"/>
        <w:gridCol w:w="2436"/>
      </w:tblGrid>
      <w:tr w14:paraId="2234CAB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35" w:type="pct"/>
            <w:noWrap/>
            <w:vAlign w:val="center"/>
          </w:tcPr>
          <w:p w14:paraId="43C5C6C0">
            <w:pPr>
              <w:pStyle w:val="179"/>
              <w:rPr>
                <w:b/>
              </w:rPr>
            </w:pPr>
            <w:r>
              <w:rPr>
                <w:b/>
              </w:rPr>
              <w:t>序号</w:t>
            </w:r>
          </w:p>
        </w:tc>
        <w:tc>
          <w:tcPr>
            <w:tcW w:w="1888" w:type="pct"/>
            <w:noWrap/>
            <w:vAlign w:val="center"/>
          </w:tcPr>
          <w:p w14:paraId="4F820269">
            <w:pPr>
              <w:pStyle w:val="179"/>
              <w:rPr>
                <w:b/>
              </w:rPr>
            </w:pPr>
            <w:r>
              <w:rPr>
                <w:b/>
              </w:rPr>
              <w:t>类型</w:t>
            </w:r>
          </w:p>
        </w:tc>
        <w:tc>
          <w:tcPr>
            <w:tcW w:w="1164" w:type="pct"/>
            <w:noWrap/>
            <w:vAlign w:val="center"/>
          </w:tcPr>
          <w:p w14:paraId="35A9C7EC">
            <w:pPr>
              <w:pStyle w:val="179"/>
              <w:rPr>
                <w:b/>
              </w:rPr>
            </w:pPr>
            <w:r>
              <w:rPr>
                <w:b/>
              </w:rPr>
              <w:t>面积（hm</w:t>
            </w:r>
            <w:r>
              <w:rPr>
                <w:b/>
                <w:vertAlign w:val="superscript"/>
              </w:rPr>
              <w:t>2</w:t>
            </w:r>
            <w:r>
              <w:rPr>
                <w:b/>
              </w:rPr>
              <w:t>）</w:t>
            </w:r>
          </w:p>
        </w:tc>
        <w:tc>
          <w:tcPr>
            <w:tcW w:w="1312" w:type="pct"/>
            <w:noWrap/>
            <w:vAlign w:val="center"/>
          </w:tcPr>
          <w:p w14:paraId="4309913A">
            <w:pPr>
              <w:pStyle w:val="179"/>
              <w:rPr>
                <w:b/>
              </w:rPr>
            </w:pPr>
            <w:r>
              <w:rPr>
                <w:b/>
              </w:rPr>
              <w:t>比例%</w:t>
            </w:r>
          </w:p>
        </w:tc>
      </w:tr>
      <w:tr w14:paraId="31089CF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35" w:type="pct"/>
            <w:noWrap/>
            <w:vAlign w:val="center"/>
          </w:tcPr>
          <w:p w14:paraId="6EAB03C0">
            <w:pPr>
              <w:pStyle w:val="179"/>
            </w:pPr>
            <w:r>
              <w:t>1</w:t>
            </w:r>
          </w:p>
        </w:tc>
        <w:tc>
          <w:tcPr>
            <w:tcW w:w="1888" w:type="pct"/>
            <w:noWrap/>
            <w:vAlign w:val="center"/>
          </w:tcPr>
          <w:p w14:paraId="487361E8">
            <w:pPr>
              <w:pStyle w:val="179"/>
            </w:pPr>
            <w:r>
              <w:t>落叶阔叶林</w:t>
            </w:r>
          </w:p>
        </w:tc>
        <w:tc>
          <w:tcPr>
            <w:tcW w:w="2161" w:type="dxa"/>
            <w:noWrap/>
            <w:vAlign w:val="center"/>
          </w:tcPr>
          <w:p w14:paraId="68DCB80D">
            <w:pPr>
              <w:pStyle w:val="179"/>
            </w:pPr>
            <w:r>
              <w:rPr>
                <w:rFonts w:hint="eastAsia"/>
              </w:rPr>
              <w:t>102.19</w:t>
            </w:r>
          </w:p>
        </w:tc>
        <w:tc>
          <w:tcPr>
            <w:tcW w:w="2436" w:type="dxa"/>
            <w:noWrap/>
            <w:vAlign w:val="center"/>
          </w:tcPr>
          <w:p w14:paraId="05455D33">
            <w:pPr>
              <w:pStyle w:val="179"/>
            </w:pPr>
            <w:r>
              <w:rPr>
                <w:rFonts w:hint="eastAsia"/>
              </w:rPr>
              <w:t>30.14</w:t>
            </w:r>
          </w:p>
        </w:tc>
      </w:tr>
      <w:tr w14:paraId="4928C78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35" w:type="pct"/>
            <w:noWrap/>
            <w:vAlign w:val="center"/>
          </w:tcPr>
          <w:p w14:paraId="35312D7A">
            <w:pPr>
              <w:pStyle w:val="179"/>
            </w:pPr>
            <w:r>
              <w:rPr>
                <w:rFonts w:hint="eastAsia"/>
              </w:rPr>
              <w:t>2</w:t>
            </w:r>
          </w:p>
        </w:tc>
        <w:tc>
          <w:tcPr>
            <w:tcW w:w="1888" w:type="pct"/>
            <w:noWrap/>
            <w:vAlign w:val="center"/>
          </w:tcPr>
          <w:p w14:paraId="391D5565">
            <w:pPr>
              <w:pStyle w:val="179"/>
            </w:pPr>
            <w:r>
              <w:rPr>
                <w:rFonts w:hint="eastAsia"/>
              </w:rPr>
              <w:t>落叶针叶林</w:t>
            </w:r>
          </w:p>
        </w:tc>
        <w:tc>
          <w:tcPr>
            <w:tcW w:w="2161" w:type="dxa"/>
            <w:noWrap/>
            <w:vAlign w:val="center"/>
          </w:tcPr>
          <w:p w14:paraId="330F0915">
            <w:pPr>
              <w:pStyle w:val="179"/>
            </w:pPr>
            <w:r>
              <w:rPr>
                <w:rFonts w:hint="eastAsia"/>
              </w:rPr>
              <w:t>172.16</w:t>
            </w:r>
          </w:p>
        </w:tc>
        <w:tc>
          <w:tcPr>
            <w:tcW w:w="2436" w:type="dxa"/>
            <w:noWrap/>
            <w:vAlign w:val="center"/>
          </w:tcPr>
          <w:p w14:paraId="13D53A09">
            <w:pPr>
              <w:pStyle w:val="179"/>
            </w:pPr>
            <w:r>
              <w:rPr>
                <w:rFonts w:hint="eastAsia"/>
              </w:rPr>
              <w:t>50.79</w:t>
            </w:r>
          </w:p>
        </w:tc>
      </w:tr>
      <w:tr w14:paraId="0DCAFD5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35" w:type="pct"/>
            <w:noWrap/>
            <w:vAlign w:val="center"/>
          </w:tcPr>
          <w:p w14:paraId="582DE00D">
            <w:pPr>
              <w:pStyle w:val="179"/>
            </w:pPr>
            <w:r>
              <w:rPr>
                <w:rFonts w:hint="eastAsia"/>
              </w:rPr>
              <w:t>3</w:t>
            </w:r>
          </w:p>
        </w:tc>
        <w:tc>
          <w:tcPr>
            <w:tcW w:w="1888" w:type="pct"/>
            <w:noWrap/>
            <w:vAlign w:val="center"/>
          </w:tcPr>
          <w:p w14:paraId="737979C2">
            <w:pPr>
              <w:pStyle w:val="179"/>
            </w:pPr>
            <w:r>
              <w:t>草</w:t>
            </w:r>
            <w:r>
              <w:rPr>
                <w:rFonts w:hint="eastAsia"/>
              </w:rPr>
              <w:t>地</w:t>
            </w:r>
          </w:p>
        </w:tc>
        <w:tc>
          <w:tcPr>
            <w:tcW w:w="2161" w:type="dxa"/>
            <w:noWrap/>
            <w:vAlign w:val="center"/>
          </w:tcPr>
          <w:p w14:paraId="2D8D168C">
            <w:pPr>
              <w:pStyle w:val="179"/>
            </w:pPr>
            <w:r>
              <w:rPr>
                <w:rFonts w:hint="eastAsia"/>
              </w:rPr>
              <w:t>64.63</w:t>
            </w:r>
          </w:p>
        </w:tc>
        <w:tc>
          <w:tcPr>
            <w:tcW w:w="2436" w:type="dxa"/>
            <w:noWrap/>
            <w:vAlign w:val="center"/>
          </w:tcPr>
          <w:p w14:paraId="4C2B5C4E">
            <w:pPr>
              <w:pStyle w:val="179"/>
            </w:pPr>
            <w:r>
              <w:rPr>
                <w:rFonts w:hint="eastAsia"/>
              </w:rPr>
              <w:t>19.07</w:t>
            </w:r>
          </w:p>
        </w:tc>
      </w:tr>
      <w:tr w14:paraId="7190490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523" w:type="pct"/>
            <w:gridSpan w:val="2"/>
            <w:noWrap/>
            <w:vAlign w:val="center"/>
          </w:tcPr>
          <w:p w14:paraId="184190E5">
            <w:pPr>
              <w:pStyle w:val="179"/>
            </w:pPr>
            <w:r>
              <w:t>合计</w:t>
            </w:r>
          </w:p>
        </w:tc>
        <w:tc>
          <w:tcPr>
            <w:tcW w:w="1164" w:type="pct"/>
            <w:noWrap/>
            <w:vAlign w:val="center"/>
          </w:tcPr>
          <w:p w14:paraId="5984DC5A">
            <w:pPr>
              <w:pStyle w:val="179"/>
            </w:pPr>
            <w:r>
              <w:rPr>
                <w:rFonts w:hint="eastAsia"/>
              </w:rPr>
              <w:t>338.98</w:t>
            </w:r>
          </w:p>
        </w:tc>
        <w:tc>
          <w:tcPr>
            <w:tcW w:w="1312" w:type="pct"/>
            <w:noWrap/>
            <w:vAlign w:val="center"/>
          </w:tcPr>
          <w:p w14:paraId="2AA0A617">
            <w:pPr>
              <w:pStyle w:val="179"/>
            </w:pPr>
            <w:r>
              <w:t>100</w:t>
            </w:r>
          </w:p>
        </w:tc>
      </w:tr>
    </w:tbl>
    <w:p w14:paraId="30AF9BBE">
      <w:pPr>
        <w:ind w:firstLine="482"/>
        <w:rPr>
          <w:b/>
        </w:rPr>
      </w:pPr>
      <w:r>
        <w:rPr>
          <w:rFonts w:hint="eastAsia"/>
          <w:b/>
        </w:rPr>
        <w:t>5、植被分布特征</w:t>
      </w:r>
    </w:p>
    <w:p w14:paraId="152EDB62">
      <w:pPr>
        <w:ind w:firstLine="480"/>
      </w:pPr>
      <w:r>
        <w:rPr>
          <w:rFonts w:hint="eastAsia"/>
        </w:rPr>
        <w:t>本评价区地处小兴安岭西麓、兴安针阔混交林与松嫩草甸草原过渡地带，原生原始林稀少，以次生植被为主，整体按地形分梯度分布：低山丘陵坡面集中分布蒙古栎（柞树）、白桦、山杨、兴安落叶松针阔 / 阔叶次生林，林下优势灌木为榛、胡枝子；河谷马厂河两岸低洼地带发育沼柳、柴桦灌丛与小叶章、苔草草甸；采石场区及周边缓坡、废弃荒地、田间地头散布杂类草草丛，优势草本为蒌蒿、狗尾草、贝加尔针茅、地榆等；耕地地块以大豆、小麦人工农田植被为主。区内无大面积连片原始林，植被破碎化程度中等，全部为区域广布常见乡土物种，仅零星分布国家二级保护植物黄檗、水曲柳，且不在矿区占地范围内；植被垂直分层清晰，乔木层、灌木层、草本层结构完整，河谷灌丛水源涵养功能突出，坡面次生林具备较好水土保持能力，矿区拟开挖区域以榛灌丛为主，乔木分布较少。</w:t>
      </w:r>
    </w:p>
    <w:p w14:paraId="2CB7C85A">
      <w:pPr>
        <w:pStyle w:val="5"/>
        <w:spacing w:before="120" w:after="120"/>
      </w:pPr>
      <w:r>
        <w:t>评价区植被覆盖度</w:t>
      </w:r>
    </w:p>
    <w:p w14:paraId="146A48C3">
      <w:pPr>
        <w:ind w:firstLine="480"/>
      </w:pPr>
      <w:r>
        <w:rPr>
          <w:rFonts w:hint="eastAsia"/>
        </w:rPr>
        <w:t>植被覆盖度可用于定量分析评价范围内的植被现状。采用归一化植被指数（NDVI）估算评价区植被覆盖度。</w:t>
      </w:r>
    </w:p>
    <w:p w14:paraId="540F417F">
      <w:pPr>
        <w:ind w:firstLine="480"/>
      </w:pPr>
      <w:r>
        <w:rPr>
          <w:rFonts w:hint="eastAsia"/>
        </w:rPr>
        <w:t>采用归一化植被指数（</w:t>
      </w:r>
      <w:r>
        <w:t>NDVI</w:t>
      </w:r>
      <w:r>
        <w:rPr>
          <w:rFonts w:hint="eastAsia"/>
        </w:rPr>
        <w:t>）估算植被覆盖度的方法如下：</w:t>
      </w:r>
    </w:p>
    <w:p w14:paraId="15C3C9EF">
      <w:pPr>
        <w:ind w:firstLine="480"/>
        <w:jc w:val="center"/>
      </w:pPr>
      <w:r>
        <w:t>FVC=</w:t>
      </w:r>
      <w:r>
        <w:rPr>
          <w:rFonts w:hint="eastAsia"/>
        </w:rPr>
        <w:t>（</w:t>
      </w:r>
      <w:r>
        <w:t>NDVI-NDVIs</w:t>
      </w:r>
      <w:r>
        <w:rPr>
          <w:rFonts w:hint="eastAsia"/>
        </w:rPr>
        <w:t>）</w:t>
      </w:r>
      <w:r>
        <w:t>/</w:t>
      </w:r>
      <w:r>
        <w:rPr>
          <w:rFonts w:hint="eastAsia"/>
        </w:rPr>
        <w:t>（</w:t>
      </w:r>
      <w:r>
        <w:t>NDVIv-NDVIs</w:t>
      </w:r>
      <w:r>
        <w:rPr>
          <w:rFonts w:hint="eastAsia"/>
        </w:rPr>
        <w:t>）</w:t>
      </w:r>
    </w:p>
    <w:p w14:paraId="272F5BD8">
      <w:pPr>
        <w:ind w:firstLine="480"/>
      </w:pPr>
      <w:r>
        <w:rPr>
          <w:rFonts w:hint="eastAsia"/>
        </w:rPr>
        <w:t>式中：</w:t>
      </w:r>
      <w:r>
        <w:t>FVC</w:t>
      </w:r>
      <w:r>
        <w:rPr>
          <w:rFonts w:hint="eastAsia"/>
        </w:rPr>
        <w:t>——所计算像元的植被覆盖度；</w:t>
      </w:r>
    </w:p>
    <w:p w14:paraId="37C67E02">
      <w:pPr>
        <w:ind w:firstLine="1200" w:firstLineChars="500"/>
      </w:pPr>
      <w:r>
        <w:t>NDVI</w:t>
      </w:r>
      <w:r>
        <w:rPr>
          <w:rFonts w:hint="eastAsia"/>
        </w:rPr>
        <w:t>——所计算像元的</w:t>
      </w:r>
      <w:r>
        <w:t>NDVI</w:t>
      </w:r>
      <w:r>
        <w:rPr>
          <w:rFonts w:hint="eastAsia"/>
        </w:rPr>
        <w:t>值；</w:t>
      </w:r>
    </w:p>
    <w:p w14:paraId="29E866AE">
      <w:pPr>
        <w:ind w:firstLine="1200" w:firstLineChars="500"/>
      </w:pPr>
      <w:r>
        <w:t>NDVIv</w:t>
      </w:r>
      <w:r>
        <w:rPr>
          <w:rFonts w:hint="eastAsia"/>
        </w:rPr>
        <w:t>——纯植物像元的</w:t>
      </w:r>
      <w:r>
        <w:t>NDVI</w:t>
      </w:r>
      <w:r>
        <w:rPr>
          <w:rFonts w:hint="eastAsia"/>
        </w:rPr>
        <w:t>值；</w:t>
      </w:r>
    </w:p>
    <w:p w14:paraId="6A1C880D">
      <w:pPr>
        <w:ind w:firstLine="1200" w:firstLineChars="500"/>
      </w:pPr>
      <w:r>
        <w:t>NDVIs</w:t>
      </w:r>
      <w:r>
        <w:rPr>
          <w:rFonts w:hint="eastAsia"/>
        </w:rPr>
        <w:t>——完全无植被覆盖像元的</w:t>
      </w:r>
      <w:r>
        <w:t>NDVI</w:t>
      </w:r>
      <w:r>
        <w:rPr>
          <w:rFonts w:hint="eastAsia"/>
        </w:rPr>
        <w:t>值。</w:t>
      </w:r>
    </w:p>
    <w:p w14:paraId="3DE0C5CC">
      <w:pPr>
        <w:ind w:firstLine="480"/>
      </w:pPr>
      <w:r>
        <w:t>根据评价区NDVI计算得到的植被覆盖度，评价区植被覆盖度</w:t>
      </w:r>
      <w:r>
        <w:rPr>
          <w:rFonts w:hint="eastAsia"/>
        </w:rPr>
        <w:t>图</w:t>
      </w:r>
      <w:r>
        <w:t>见图</w:t>
      </w:r>
      <w:r>
        <w:rPr>
          <w:rFonts w:hint="eastAsia"/>
        </w:rPr>
        <w:t>4.3-8。</w:t>
      </w:r>
    </w:p>
    <w:p w14:paraId="73B306A6">
      <w:pPr>
        <w:pStyle w:val="178"/>
      </w:pPr>
      <w:r>
        <w:rPr>
          <w:rFonts w:hint="eastAsia"/>
        </w:rPr>
        <w:t>表4.3-8  评价范围植被覆盖度估算结果</w:t>
      </w:r>
    </w:p>
    <w:tbl>
      <w:tblPr>
        <w:tblStyle w:val="36"/>
        <w:tblW w:w="5000" w:type="pct"/>
        <w:jc w:val="center"/>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Layout w:type="fixed"/>
        <w:tblCellMar>
          <w:top w:w="0" w:type="dxa"/>
          <w:left w:w="108" w:type="dxa"/>
          <w:bottom w:w="0" w:type="dxa"/>
          <w:right w:w="108" w:type="dxa"/>
        </w:tblCellMar>
      </w:tblPr>
      <w:tblGrid>
        <w:gridCol w:w="985"/>
        <w:gridCol w:w="3658"/>
        <w:gridCol w:w="2322"/>
        <w:gridCol w:w="2322"/>
      </w:tblGrid>
      <w:tr w14:paraId="63769729">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970" w:type="dxa"/>
            <w:noWrap/>
            <w:vAlign w:val="center"/>
          </w:tcPr>
          <w:p w14:paraId="24E37071">
            <w:pPr>
              <w:pStyle w:val="179"/>
            </w:pPr>
            <w:r>
              <w:t>序号</w:t>
            </w:r>
          </w:p>
        </w:tc>
        <w:tc>
          <w:tcPr>
            <w:tcW w:w="3673" w:type="dxa"/>
            <w:noWrap/>
            <w:vAlign w:val="center"/>
          </w:tcPr>
          <w:p w14:paraId="12D42713">
            <w:pPr>
              <w:pStyle w:val="179"/>
            </w:pPr>
            <w:r>
              <w:t>植被覆盖度</w:t>
            </w:r>
          </w:p>
        </w:tc>
        <w:tc>
          <w:tcPr>
            <w:tcW w:w="2322" w:type="dxa"/>
            <w:noWrap/>
            <w:vAlign w:val="center"/>
          </w:tcPr>
          <w:p w14:paraId="2D946E1B">
            <w:pPr>
              <w:pStyle w:val="179"/>
            </w:pPr>
            <w:r>
              <w:t>面积（hm</w:t>
            </w:r>
            <w:r>
              <w:rPr>
                <w:vertAlign w:val="superscript"/>
              </w:rPr>
              <w:t>2</w:t>
            </w:r>
            <w:r>
              <w:rPr>
                <w:rFonts w:hint="eastAsia"/>
              </w:rPr>
              <w:t>）</w:t>
            </w:r>
          </w:p>
        </w:tc>
        <w:tc>
          <w:tcPr>
            <w:tcW w:w="2322" w:type="dxa"/>
            <w:noWrap/>
            <w:vAlign w:val="center"/>
          </w:tcPr>
          <w:p w14:paraId="06AF2192">
            <w:pPr>
              <w:pStyle w:val="179"/>
            </w:pPr>
            <w:r>
              <w:t>比例（%）</w:t>
            </w:r>
          </w:p>
        </w:tc>
      </w:tr>
      <w:tr w14:paraId="3AE7A6C6">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970" w:type="dxa"/>
            <w:noWrap/>
            <w:vAlign w:val="center"/>
          </w:tcPr>
          <w:p w14:paraId="0916DF27">
            <w:pPr>
              <w:pStyle w:val="179"/>
            </w:pPr>
            <w:r>
              <w:t>1</w:t>
            </w:r>
          </w:p>
        </w:tc>
        <w:tc>
          <w:tcPr>
            <w:tcW w:w="3673" w:type="dxa"/>
            <w:noWrap/>
            <w:vAlign w:val="center"/>
          </w:tcPr>
          <w:p w14:paraId="5B8F5524">
            <w:pPr>
              <w:pStyle w:val="179"/>
            </w:pPr>
            <w:r>
              <w:t>低植被覆盖度（&lt;20%）</w:t>
            </w:r>
          </w:p>
        </w:tc>
        <w:tc>
          <w:tcPr>
            <w:tcW w:w="2322" w:type="dxa"/>
            <w:noWrap/>
            <w:vAlign w:val="center"/>
          </w:tcPr>
          <w:p w14:paraId="2E826E64">
            <w:pPr>
              <w:pStyle w:val="179"/>
            </w:pPr>
            <w:r>
              <w:t>25.71</w:t>
            </w:r>
          </w:p>
        </w:tc>
        <w:tc>
          <w:tcPr>
            <w:tcW w:w="2322" w:type="dxa"/>
            <w:noWrap/>
            <w:vAlign w:val="center"/>
          </w:tcPr>
          <w:p w14:paraId="2676FC5C">
            <w:pPr>
              <w:pStyle w:val="179"/>
            </w:pPr>
            <w:r>
              <w:t>5.12%</w:t>
            </w:r>
          </w:p>
        </w:tc>
      </w:tr>
      <w:tr w14:paraId="42C46ECD">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970" w:type="dxa"/>
            <w:noWrap/>
            <w:vAlign w:val="center"/>
          </w:tcPr>
          <w:p w14:paraId="77C87E66">
            <w:pPr>
              <w:pStyle w:val="179"/>
            </w:pPr>
            <w:r>
              <w:t>2</w:t>
            </w:r>
          </w:p>
        </w:tc>
        <w:tc>
          <w:tcPr>
            <w:tcW w:w="3673" w:type="dxa"/>
            <w:noWrap/>
            <w:vAlign w:val="center"/>
          </w:tcPr>
          <w:p w14:paraId="5C517BDE">
            <w:pPr>
              <w:pStyle w:val="179"/>
            </w:pPr>
            <w:r>
              <w:t>较低植被覆盖度（20%-40%）</w:t>
            </w:r>
          </w:p>
        </w:tc>
        <w:tc>
          <w:tcPr>
            <w:tcW w:w="2322" w:type="dxa"/>
            <w:noWrap/>
            <w:vAlign w:val="center"/>
          </w:tcPr>
          <w:p w14:paraId="4CFA721E">
            <w:pPr>
              <w:pStyle w:val="179"/>
            </w:pPr>
            <w:r>
              <w:t>15.46</w:t>
            </w:r>
          </w:p>
        </w:tc>
        <w:tc>
          <w:tcPr>
            <w:tcW w:w="2322" w:type="dxa"/>
            <w:noWrap/>
            <w:vAlign w:val="center"/>
          </w:tcPr>
          <w:p w14:paraId="4642E22F">
            <w:pPr>
              <w:pStyle w:val="179"/>
            </w:pPr>
            <w:r>
              <w:t>3.08%</w:t>
            </w:r>
          </w:p>
        </w:tc>
      </w:tr>
      <w:tr w14:paraId="2283931A">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970" w:type="dxa"/>
            <w:noWrap/>
            <w:vAlign w:val="center"/>
          </w:tcPr>
          <w:p w14:paraId="07A629BA">
            <w:pPr>
              <w:pStyle w:val="179"/>
            </w:pPr>
            <w:r>
              <w:t>3</w:t>
            </w:r>
          </w:p>
        </w:tc>
        <w:tc>
          <w:tcPr>
            <w:tcW w:w="3673" w:type="dxa"/>
            <w:noWrap/>
            <w:vAlign w:val="center"/>
          </w:tcPr>
          <w:p w14:paraId="66A3A26D">
            <w:pPr>
              <w:pStyle w:val="179"/>
            </w:pPr>
            <w:r>
              <w:t>中度植被覆盖度（40%-60%）</w:t>
            </w:r>
          </w:p>
        </w:tc>
        <w:tc>
          <w:tcPr>
            <w:tcW w:w="2322" w:type="dxa"/>
            <w:noWrap/>
            <w:vAlign w:val="center"/>
          </w:tcPr>
          <w:p w14:paraId="23AE1361">
            <w:pPr>
              <w:pStyle w:val="179"/>
            </w:pPr>
            <w:r>
              <w:t>121.88</w:t>
            </w:r>
          </w:p>
        </w:tc>
        <w:tc>
          <w:tcPr>
            <w:tcW w:w="2322" w:type="dxa"/>
            <w:noWrap/>
            <w:vAlign w:val="center"/>
          </w:tcPr>
          <w:p w14:paraId="1C146B4B">
            <w:pPr>
              <w:pStyle w:val="179"/>
            </w:pPr>
            <w:r>
              <w:t>24.28%</w:t>
            </w:r>
          </w:p>
        </w:tc>
      </w:tr>
      <w:tr w14:paraId="5A626007">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970" w:type="dxa"/>
            <w:noWrap/>
            <w:vAlign w:val="center"/>
          </w:tcPr>
          <w:p w14:paraId="545DFA10">
            <w:pPr>
              <w:pStyle w:val="179"/>
            </w:pPr>
            <w:r>
              <w:t>4</w:t>
            </w:r>
          </w:p>
        </w:tc>
        <w:tc>
          <w:tcPr>
            <w:tcW w:w="3673" w:type="dxa"/>
            <w:noWrap/>
            <w:vAlign w:val="center"/>
          </w:tcPr>
          <w:p w14:paraId="249E172E">
            <w:pPr>
              <w:pStyle w:val="179"/>
            </w:pPr>
            <w:r>
              <w:t>较高植被覆盖度（60%-80%）</w:t>
            </w:r>
          </w:p>
        </w:tc>
        <w:tc>
          <w:tcPr>
            <w:tcW w:w="2322" w:type="dxa"/>
            <w:noWrap/>
            <w:vAlign w:val="center"/>
          </w:tcPr>
          <w:p w14:paraId="21D97552">
            <w:pPr>
              <w:pStyle w:val="179"/>
            </w:pPr>
            <w:r>
              <w:t>64.63</w:t>
            </w:r>
          </w:p>
        </w:tc>
        <w:tc>
          <w:tcPr>
            <w:tcW w:w="2322" w:type="dxa"/>
            <w:noWrap/>
            <w:vAlign w:val="center"/>
          </w:tcPr>
          <w:p w14:paraId="0496B0DF">
            <w:pPr>
              <w:pStyle w:val="179"/>
            </w:pPr>
            <w:r>
              <w:t>12.87%</w:t>
            </w:r>
          </w:p>
        </w:tc>
      </w:tr>
      <w:tr w14:paraId="006E7D95">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970" w:type="dxa"/>
            <w:noWrap/>
            <w:vAlign w:val="center"/>
          </w:tcPr>
          <w:p w14:paraId="425F4E5D">
            <w:pPr>
              <w:pStyle w:val="179"/>
            </w:pPr>
            <w:r>
              <w:t>5</w:t>
            </w:r>
          </w:p>
        </w:tc>
        <w:tc>
          <w:tcPr>
            <w:tcW w:w="3673" w:type="dxa"/>
            <w:noWrap/>
            <w:vAlign w:val="center"/>
          </w:tcPr>
          <w:p w14:paraId="1037C49B">
            <w:pPr>
              <w:pStyle w:val="179"/>
            </w:pPr>
            <w:r>
              <w:t>高植被覆盖度（&gt;80%）</w:t>
            </w:r>
          </w:p>
        </w:tc>
        <w:tc>
          <w:tcPr>
            <w:tcW w:w="2322" w:type="dxa"/>
            <w:noWrap/>
            <w:vAlign w:val="center"/>
          </w:tcPr>
          <w:p w14:paraId="7CA18752">
            <w:pPr>
              <w:pStyle w:val="179"/>
            </w:pPr>
            <w:r>
              <w:t>274.35</w:t>
            </w:r>
          </w:p>
        </w:tc>
        <w:tc>
          <w:tcPr>
            <w:tcW w:w="2322" w:type="dxa"/>
            <w:noWrap/>
            <w:vAlign w:val="center"/>
          </w:tcPr>
          <w:p w14:paraId="6D9A9B36">
            <w:pPr>
              <w:pStyle w:val="179"/>
            </w:pPr>
            <w:r>
              <w:t>54.65%</w:t>
            </w:r>
          </w:p>
        </w:tc>
      </w:tr>
      <w:tr w14:paraId="067B466A">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4643" w:type="dxa"/>
            <w:gridSpan w:val="2"/>
            <w:noWrap/>
            <w:vAlign w:val="center"/>
          </w:tcPr>
          <w:p w14:paraId="099EE48A">
            <w:pPr>
              <w:pStyle w:val="179"/>
            </w:pPr>
            <w:r>
              <w:t>合计</w:t>
            </w:r>
          </w:p>
        </w:tc>
        <w:tc>
          <w:tcPr>
            <w:tcW w:w="2322" w:type="dxa"/>
            <w:noWrap/>
            <w:vAlign w:val="center"/>
          </w:tcPr>
          <w:p w14:paraId="70802DE2">
            <w:pPr>
              <w:pStyle w:val="179"/>
            </w:pPr>
            <w:r>
              <w:rPr>
                <w:rFonts w:hint="eastAsia"/>
              </w:rPr>
              <w:t>502.03</w:t>
            </w:r>
          </w:p>
        </w:tc>
        <w:tc>
          <w:tcPr>
            <w:tcW w:w="2322" w:type="dxa"/>
            <w:noWrap/>
            <w:vAlign w:val="center"/>
          </w:tcPr>
          <w:p w14:paraId="1EB71FA5">
            <w:pPr>
              <w:pStyle w:val="179"/>
            </w:pPr>
            <w:r>
              <w:t>100</w:t>
            </w:r>
          </w:p>
        </w:tc>
      </w:tr>
    </w:tbl>
    <w:p w14:paraId="730CA315">
      <w:pPr>
        <w:ind w:firstLine="480"/>
      </w:pPr>
      <w:r>
        <w:t>评价区内高植被覆盖度（&gt;80%）区域分布最广，</w:t>
      </w:r>
      <w:r>
        <w:rPr>
          <w:rFonts w:hint="eastAsia"/>
        </w:rPr>
        <w:t>广泛</w:t>
      </w:r>
      <w:r>
        <w:t>分布在评价区</w:t>
      </w:r>
      <w:r>
        <w:rPr>
          <w:rFonts w:hint="eastAsia"/>
        </w:rPr>
        <w:t>内，</w:t>
      </w:r>
      <w:r>
        <w:t>占评价区</w:t>
      </w:r>
      <w:r>
        <w:rPr>
          <w:rFonts w:hint="eastAsia"/>
        </w:rPr>
        <w:t>总面积的</w:t>
      </w:r>
      <w:r>
        <w:t>的</w:t>
      </w:r>
      <w:r>
        <w:rPr>
          <w:rFonts w:hint="eastAsia"/>
        </w:rPr>
        <w:t>54.65</w:t>
      </w:r>
      <w:r>
        <w:t>%</w:t>
      </w:r>
      <w:r>
        <w:rPr>
          <w:rFonts w:hint="eastAsia"/>
        </w:rPr>
        <w:t>。</w:t>
      </w:r>
      <w:r>
        <w:t>其次为</w:t>
      </w:r>
      <w:r>
        <w:rPr>
          <w:rFonts w:hint="eastAsia"/>
        </w:rPr>
        <w:t>较</w:t>
      </w:r>
      <w:r>
        <w:t>高植被覆盖度（</w:t>
      </w:r>
      <w:r>
        <w:rPr>
          <w:rFonts w:hint="eastAsia"/>
        </w:rPr>
        <w:t>6</w:t>
      </w:r>
      <w:r>
        <w:t>0%-</w:t>
      </w:r>
      <w:r>
        <w:rPr>
          <w:rFonts w:hint="eastAsia"/>
        </w:rPr>
        <w:t>8</w:t>
      </w:r>
      <w:r>
        <w:t>0%）</w:t>
      </w:r>
      <w:r>
        <w:rPr>
          <w:rFonts w:hint="eastAsia"/>
        </w:rPr>
        <w:t>，占</w:t>
      </w:r>
      <w:r>
        <w:t>评价区的</w:t>
      </w:r>
      <w:r>
        <w:rPr>
          <w:rFonts w:hint="eastAsia"/>
        </w:rPr>
        <w:t>12.87</w:t>
      </w:r>
      <w:r>
        <w:t>%；较中度植被覆盖度（40%-60%）</w:t>
      </w:r>
      <w:r>
        <w:rPr>
          <w:rFonts w:hint="eastAsia"/>
        </w:rPr>
        <w:t>占比较小，为24.28%，</w:t>
      </w:r>
      <w:r>
        <w:t>较低植被覆盖度（20%-40%）</w:t>
      </w:r>
      <w:r>
        <w:rPr>
          <w:rFonts w:hint="eastAsia"/>
        </w:rPr>
        <w:t>和</w:t>
      </w:r>
      <w:r>
        <w:t>低植被覆盖度（&lt;20%）区域分布面积均</w:t>
      </w:r>
      <w:r>
        <w:rPr>
          <w:rFonts w:hint="eastAsia"/>
        </w:rPr>
        <w:t>极</w:t>
      </w:r>
      <w:r>
        <w:t>小，占评价区比例分别为</w:t>
      </w:r>
      <w:r>
        <w:rPr>
          <w:rFonts w:hint="eastAsia"/>
        </w:rPr>
        <w:t>3.08</w:t>
      </w:r>
      <w:r>
        <w:t>%和</w:t>
      </w:r>
      <w:r>
        <w:rPr>
          <w:rFonts w:hint="eastAsia"/>
        </w:rPr>
        <w:t>5.12</w:t>
      </w:r>
      <w:r>
        <w:t>%。</w:t>
      </w:r>
    </w:p>
    <w:p w14:paraId="41A507F8">
      <w:pPr>
        <w:pStyle w:val="178"/>
      </w:pPr>
      <w:r>
        <w:rPr>
          <w:rFonts w:hint="eastAsia"/>
        </w:rPr>
        <w:drawing>
          <wp:inline distT="0" distB="0" distL="114300" distR="114300">
            <wp:extent cx="5490845" cy="4066540"/>
            <wp:effectExtent l="19050" t="0" r="0" b="0"/>
            <wp:docPr id="70" name="图片 41" descr="植被覆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41" descr="植被覆盖"/>
                    <pic:cNvPicPr>
                      <a:picLocks noChangeAspect="1"/>
                    </pic:cNvPicPr>
                  </pic:nvPicPr>
                  <pic:blipFill>
                    <a:blip r:embed="rId87"/>
                    <a:srcRect l="4529"/>
                    <a:stretch>
                      <a:fillRect/>
                    </a:stretch>
                  </pic:blipFill>
                  <pic:spPr>
                    <a:xfrm>
                      <a:off x="0" y="0"/>
                      <a:ext cx="5491134" cy="4067060"/>
                    </a:xfrm>
                    <a:prstGeom prst="rect">
                      <a:avLst/>
                    </a:prstGeom>
                  </pic:spPr>
                </pic:pic>
              </a:graphicData>
            </a:graphic>
          </wp:inline>
        </w:drawing>
      </w:r>
    </w:p>
    <w:p w14:paraId="03717001">
      <w:pPr>
        <w:pStyle w:val="178"/>
      </w:pPr>
      <w:r>
        <w:rPr>
          <w:rFonts w:hint="eastAsia"/>
        </w:rPr>
        <w:t>图4.3-8  植被覆盖度</w:t>
      </w:r>
    </w:p>
    <w:p w14:paraId="26E14442">
      <w:pPr>
        <w:pStyle w:val="5"/>
        <w:spacing w:before="120" w:after="120"/>
      </w:pPr>
      <w:r>
        <w:rPr>
          <w:rFonts w:hint="eastAsia"/>
        </w:rPr>
        <w:t>区域陆生</w:t>
      </w:r>
      <w:r>
        <w:t>野生植物现状调查</w:t>
      </w:r>
    </w:p>
    <w:p w14:paraId="32A85E4E">
      <w:pPr>
        <w:ind w:firstLine="480"/>
      </w:pPr>
      <w:r>
        <w:rPr>
          <w:rFonts w:hint="eastAsia"/>
        </w:rPr>
        <w:t>评价区域内</w:t>
      </w:r>
      <w:r>
        <w:rPr>
          <w:rFonts w:hAnsi="Times New Roman"/>
        </w:rPr>
        <w:t>植物种类主要以</w:t>
      </w:r>
      <w:r>
        <w:rPr>
          <w:rFonts w:hint="eastAsia"/>
        </w:rPr>
        <w:t>草本</w:t>
      </w:r>
      <w:r>
        <w:rPr>
          <w:rFonts w:hAnsi="Times New Roman"/>
        </w:rPr>
        <w:t>植被种类分布最多，周边地区也分布植物物种，但大多是常见种。</w:t>
      </w:r>
    </w:p>
    <w:p w14:paraId="323D8A96">
      <w:pPr>
        <w:pStyle w:val="178"/>
      </w:pPr>
      <w:r>
        <w:rPr>
          <w:rFonts w:hint="eastAsia"/>
        </w:rPr>
        <w:t>表4.3-9  植物门种类一览表</w:t>
      </w:r>
    </w:p>
    <w:tbl>
      <w:tblPr>
        <w:tblStyle w:val="36"/>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496"/>
        <w:gridCol w:w="1593"/>
        <w:gridCol w:w="1962"/>
        <w:gridCol w:w="1560"/>
        <w:gridCol w:w="1861"/>
      </w:tblGrid>
      <w:tr w14:paraId="424C68A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33" w:type="pct"/>
            <w:vMerge w:val="restart"/>
            <w:noWrap/>
            <w:vAlign w:val="center"/>
          </w:tcPr>
          <w:p w14:paraId="294AF866">
            <w:pPr>
              <w:pStyle w:val="179"/>
            </w:pPr>
            <w:r>
              <w:t>类别</w:t>
            </w:r>
          </w:p>
        </w:tc>
        <w:tc>
          <w:tcPr>
            <w:tcW w:w="2197" w:type="pct"/>
            <w:gridSpan w:val="2"/>
            <w:noWrap/>
            <w:vAlign w:val="center"/>
          </w:tcPr>
          <w:p w14:paraId="4DA47094">
            <w:pPr>
              <w:pStyle w:val="179"/>
            </w:pPr>
            <w:r>
              <w:t>科</w:t>
            </w:r>
          </w:p>
        </w:tc>
        <w:tc>
          <w:tcPr>
            <w:tcW w:w="1869" w:type="pct"/>
            <w:gridSpan w:val="2"/>
            <w:noWrap/>
            <w:vAlign w:val="center"/>
          </w:tcPr>
          <w:p w14:paraId="1D85F84F">
            <w:pPr>
              <w:pStyle w:val="179"/>
            </w:pPr>
            <w:r>
              <w:t>种</w:t>
            </w:r>
          </w:p>
        </w:tc>
      </w:tr>
      <w:tr w14:paraId="75D6449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33" w:type="pct"/>
            <w:vMerge w:val="continue"/>
            <w:noWrap/>
            <w:vAlign w:val="center"/>
          </w:tcPr>
          <w:p w14:paraId="5456631A">
            <w:pPr>
              <w:pStyle w:val="179"/>
            </w:pPr>
          </w:p>
        </w:tc>
        <w:tc>
          <w:tcPr>
            <w:tcW w:w="990" w:type="pct"/>
            <w:noWrap/>
            <w:vAlign w:val="center"/>
          </w:tcPr>
          <w:p w14:paraId="72CAF635">
            <w:pPr>
              <w:pStyle w:val="179"/>
            </w:pPr>
            <w:r>
              <w:t>科数</w:t>
            </w:r>
          </w:p>
        </w:tc>
        <w:tc>
          <w:tcPr>
            <w:tcW w:w="1206" w:type="pct"/>
            <w:noWrap/>
            <w:vAlign w:val="center"/>
          </w:tcPr>
          <w:p w14:paraId="46CB38AA">
            <w:pPr>
              <w:pStyle w:val="179"/>
            </w:pPr>
            <w:r>
              <w:t>占植物科数（%）</w:t>
            </w:r>
          </w:p>
        </w:tc>
        <w:tc>
          <w:tcPr>
            <w:tcW w:w="970" w:type="pct"/>
            <w:noWrap/>
            <w:vAlign w:val="center"/>
          </w:tcPr>
          <w:p w14:paraId="68DA8547">
            <w:pPr>
              <w:pStyle w:val="179"/>
            </w:pPr>
            <w:r>
              <w:t>种数</w:t>
            </w:r>
          </w:p>
        </w:tc>
        <w:tc>
          <w:tcPr>
            <w:tcW w:w="899" w:type="pct"/>
            <w:noWrap/>
            <w:vAlign w:val="center"/>
          </w:tcPr>
          <w:p w14:paraId="59E48E8B">
            <w:pPr>
              <w:pStyle w:val="179"/>
            </w:pPr>
            <w:r>
              <w:t>占植物种数（%）</w:t>
            </w:r>
          </w:p>
        </w:tc>
      </w:tr>
      <w:tr w14:paraId="388032A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33" w:type="pct"/>
            <w:noWrap/>
            <w:vAlign w:val="center"/>
          </w:tcPr>
          <w:p w14:paraId="68D4E56E">
            <w:pPr>
              <w:pStyle w:val="179"/>
            </w:pPr>
            <w:r>
              <w:t>蕨类植物</w:t>
            </w:r>
          </w:p>
        </w:tc>
        <w:tc>
          <w:tcPr>
            <w:tcW w:w="990" w:type="pct"/>
            <w:noWrap/>
            <w:vAlign w:val="center"/>
          </w:tcPr>
          <w:p w14:paraId="4826944A">
            <w:pPr>
              <w:pStyle w:val="179"/>
            </w:pPr>
            <w:r>
              <w:rPr>
                <w:rFonts w:hint="eastAsia"/>
              </w:rPr>
              <w:t>2</w:t>
            </w:r>
          </w:p>
        </w:tc>
        <w:tc>
          <w:tcPr>
            <w:tcW w:w="1206" w:type="pct"/>
            <w:noWrap/>
            <w:vAlign w:val="center"/>
          </w:tcPr>
          <w:p w14:paraId="11576798">
            <w:pPr>
              <w:pStyle w:val="179"/>
            </w:pPr>
            <w:r>
              <w:rPr>
                <w:rFonts w:hint="eastAsia"/>
              </w:rPr>
              <w:t>5.56</w:t>
            </w:r>
          </w:p>
        </w:tc>
        <w:tc>
          <w:tcPr>
            <w:tcW w:w="970" w:type="pct"/>
            <w:noWrap/>
            <w:vAlign w:val="center"/>
          </w:tcPr>
          <w:p w14:paraId="16C8BF2D">
            <w:pPr>
              <w:pStyle w:val="179"/>
            </w:pPr>
            <w:r>
              <w:rPr>
                <w:rFonts w:hint="eastAsia"/>
              </w:rPr>
              <w:t>2</w:t>
            </w:r>
          </w:p>
        </w:tc>
        <w:tc>
          <w:tcPr>
            <w:tcW w:w="899" w:type="pct"/>
            <w:noWrap/>
            <w:vAlign w:val="center"/>
          </w:tcPr>
          <w:p w14:paraId="776079BB">
            <w:pPr>
              <w:pStyle w:val="179"/>
            </w:pPr>
            <w:r>
              <w:rPr>
                <w:rFonts w:hint="eastAsia"/>
              </w:rPr>
              <w:t>2.27</w:t>
            </w:r>
          </w:p>
        </w:tc>
      </w:tr>
      <w:tr w14:paraId="4CA76F3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33" w:type="pct"/>
            <w:noWrap/>
            <w:vAlign w:val="center"/>
          </w:tcPr>
          <w:p w14:paraId="757F0F33">
            <w:pPr>
              <w:pStyle w:val="179"/>
            </w:pPr>
            <w:r>
              <w:t>种子植物</w:t>
            </w:r>
          </w:p>
        </w:tc>
        <w:tc>
          <w:tcPr>
            <w:tcW w:w="990" w:type="pct"/>
            <w:noWrap/>
            <w:vAlign w:val="center"/>
          </w:tcPr>
          <w:p w14:paraId="241F5706">
            <w:pPr>
              <w:pStyle w:val="179"/>
            </w:pPr>
            <w:r>
              <w:rPr>
                <w:rFonts w:hint="eastAsia"/>
              </w:rPr>
              <w:t>34</w:t>
            </w:r>
          </w:p>
        </w:tc>
        <w:tc>
          <w:tcPr>
            <w:tcW w:w="1206" w:type="pct"/>
            <w:noWrap/>
            <w:vAlign w:val="center"/>
          </w:tcPr>
          <w:p w14:paraId="7220CAE3">
            <w:pPr>
              <w:pStyle w:val="179"/>
            </w:pPr>
            <w:r>
              <w:rPr>
                <w:rFonts w:hint="eastAsia"/>
              </w:rPr>
              <w:t>94.44</w:t>
            </w:r>
          </w:p>
        </w:tc>
        <w:tc>
          <w:tcPr>
            <w:tcW w:w="970" w:type="pct"/>
            <w:noWrap/>
            <w:vAlign w:val="center"/>
          </w:tcPr>
          <w:p w14:paraId="69E81FE7">
            <w:pPr>
              <w:pStyle w:val="179"/>
            </w:pPr>
            <w:r>
              <w:rPr>
                <w:rFonts w:hint="eastAsia"/>
              </w:rPr>
              <w:t>84</w:t>
            </w:r>
          </w:p>
        </w:tc>
        <w:tc>
          <w:tcPr>
            <w:tcW w:w="899" w:type="pct"/>
            <w:noWrap/>
            <w:vAlign w:val="center"/>
          </w:tcPr>
          <w:p w14:paraId="318F8592">
            <w:pPr>
              <w:pStyle w:val="179"/>
            </w:pPr>
            <w:r>
              <w:rPr>
                <w:rFonts w:hint="eastAsia"/>
              </w:rPr>
              <w:t>97.73</w:t>
            </w:r>
          </w:p>
        </w:tc>
      </w:tr>
      <w:tr w14:paraId="5AAE90D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33" w:type="pct"/>
            <w:noWrap/>
            <w:vAlign w:val="center"/>
          </w:tcPr>
          <w:p w14:paraId="229DEA7B">
            <w:pPr>
              <w:pStyle w:val="179"/>
            </w:pPr>
            <w:r>
              <w:t>总计</w:t>
            </w:r>
          </w:p>
        </w:tc>
        <w:tc>
          <w:tcPr>
            <w:tcW w:w="990" w:type="pct"/>
            <w:noWrap/>
            <w:vAlign w:val="center"/>
          </w:tcPr>
          <w:p w14:paraId="4FAB80C1">
            <w:pPr>
              <w:pStyle w:val="179"/>
            </w:pPr>
            <w:r>
              <w:rPr>
                <w:rFonts w:hint="eastAsia"/>
              </w:rPr>
              <w:t>36</w:t>
            </w:r>
          </w:p>
        </w:tc>
        <w:tc>
          <w:tcPr>
            <w:tcW w:w="1206" w:type="pct"/>
            <w:noWrap/>
            <w:vAlign w:val="center"/>
          </w:tcPr>
          <w:p w14:paraId="48611078">
            <w:pPr>
              <w:pStyle w:val="179"/>
            </w:pPr>
            <w:r>
              <w:t>100.00</w:t>
            </w:r>
          </w:p>
        </w:tc>
        <w:tc>
          <w:tcPr>
            <w:tcW w:w="970" w:type="pct"/>
            <w:noWrap/>
            <w:vAlign w:val="center"/>
          </w:tcPr>
          <w:p w14:paraId="76AE0DF9">
            <w:pPr>
              <w:pStyle w:val="179"/>
            </w:pPr>
            <w:r>
              <w:rPr>
                <w:rFonts w:hint="eastAsia"/>
              </w:rPr>
              <w:t>86</w:t>
            </w:r>
          </w:p>
        </w:tc>
        <w:tc>
          <w:tcPr>
            <w:tcW w:w="899" w:type="pct"/>
            <w:noWrap/>
            <w:vAlign w:val="center"/>
          </w:tcPr>
          <w:p w14:paraId="4EC8A369">
            <w:pPr>
              <w:pStyle w:val="179"/>
            </w:pPr>
            <w:r>
              <w:t>100.00</w:t>
            </w:r>
          </w:p>
        </w:tc>
      </w:tr>
    </w:tbl>
    <w:p w14:paraId="13275A55">
      <w:pPr>
        <w:pStyle w:val="178"/>
      </w:pPr>
      <w:r>
        <w:rPr>
          <w:rFonts w:hint="eastAsia"/>
        </w:rPr>
        <w:t>表4.3-10  评价区野生植物调查统计表</w:t>
      </w:r>
    </w:p>
    <w:tbl>
      <w:tblPr>
        <w:tblStyle w:val="135"/>
        <w:tblW w:w="8505"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1243"/>
        <w:gridCol w:w="1725"/>
        <w:gridCol w:w="4455"/>
        <w:gridCol w:w="1082"/>
      </w:tblGrid>
      <w:tr w14:paraId="3A00942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1324" w:type="dxa"/>
            <w:noWrap/>
            <w:vAlign w:val="center"/>
          </w:tcPr>
          <w:p w14:paraId="55B9B845">
            <w:pPr>
              <w:pStyle w:val="179"/>
              <w:widowControl w:val="0"/>
              <w:autoSpaceDE w:val="0"/>
              <w:autoSpaceDN w:val="0"/>
              <w:rPr>
                <w:b/>
                <w:lang w:eastAsia="en-US"/>
              </w:rPr>
            </w:pPr>
            <w:r>
              <w:rPr>
                <w:b/>
                <w:lang w:eastAsia="en-US"/>
              </w:rPr>
              <w:t>序号</w:t>
            </w:r>
          </w:p>
        </w:tc>
        <w:tc>
          <w:tcPr>
            <w:tcW w:w="1840" w:type="dxa"/>
            <w:noWrap/>
            <w:vAlign w:val="center"/>
          </w:tcPr>
          <w:p w14:paraId="74FBB311">
            <w:pPr>
              <w:pStyle w:val="179"/>
              <w:widowControl w:val="0"/>
              <w:autoSpaceDE w:val="0"/>
              <w:autoSpaceDN w:val="0"/>
              <w:rPr>
                <w:b/>
                <w:lang w:eastAsia="en-US"/>
              </w:rPr>
            </w:pPr>
            <w:r>
              <w:rPr>
                <w:b/>
                <w:lang w:eastAsia="en-US"/>
              </w:rPr>
              <w:t>中文名</w:t>
            </w:r>
          </w:p>
        </w:tc>
        <w:tc>
          <w:tcPr>
            <w:tcW w:w="4755" w:type="dxa"/>
            <w:noWrap/>
            <w:vAlign w:val="center"/>
          </w:tcPr>
          <w:p w14:paraId="4B42A6F9">
            <w:pPr>
              <w:pStyle w:val="179"/>
              <w:widowControl w:val="0"/>
              <w:autoSpaceDE w:val="0"/>
              <w:autoSpaceDN w:val="0"/>
              <w:rPr>
                <w:b/>
                <w:lang w:eastAsia="en-US"/>
              </w:rPr>
            </w:pPr>
            <w:r>
              <w:rPr>
                <w:b/>
                <w:lang w:eastAsia="en-US"/>
              </w:rPr>
              <w:t>拉丁学名</w:t>
            </w:r>
          </w:p>
        </w:tc>
        <w:tc>
          <w:tcPr>
            <w:tcW w:w="1153" w:type="dxa"/>
            <w:noWrap/>
            <w:vAlign w:val="center"/>
          </w:tcPr>
          <w:p w14:paraId="3623B002">
            <w:pPr>
              <w:pStyle w:val="179"/>
              <w:widowControl w:val="0"/>
              <w:autoSpaceDE w:val="0"/>
              <w:autoSpaceDN w:val="0"/>
              <w:rPr>
                <w:b/>
                <w:lang w:eastAsia="en-US"/>
              </w:rPr>
            </w:pPr>
            <w:r>
              <w:rPr>
                <w:b/>
                <w:lang w:eastAsia="en-US"/>
              </w:rPr>
              <w:t>保护级别</w:t>
            </w:r>
          </w:p>
        </w:tc>
      </w:tr>
      <w:tr w14:paraId="57B3B33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7919" w:type="dxa"/>
            <w:gridSpan w:val="3"/>
            <w:noWrap/>
            <w:vAlign w:val="center"/>
          </w:tcPr>
          <w:p w14:paraId="7FDF0916">
            <w:pPr>
              <w:pStyle w:val="179"/>
              <w:widowControl w:val="0"/>
              <w:autoSpaceDE w:val="0"/>
              <w:autoSpaceDN w:val="0"/>
              <w:rPr>
                <w:lang w:eastAsia="en-US"/>
              </w:rPr>
            </w:pPr>
            <w:r>
              <w:rPr>
                <w:lang w:eastAsia="en-US"/>
              </w:rPr>
              <w:t>蕨类植物</w:t>
            </w:r>
          </w:p>
        </w:tc>
        <w:tc>
          <w:tcPr>
            <w:tcW w:w="1153" w:type="dxa"/>
            <w:noWrap/>
            <w:vAlign w:val="center"/>
          </w:tcPr>
          <w:p w14:paraId="122EA57F">
            <w:pPr>
              <w:pStyle w:val="179"/>
              <w:widowControl w:val="0"/>
              <w:autoSpaceDE w:val="0"/>
              <w:autoSpaceDN w:val="0"/>
              <w:rPr>
                <w:lang w:eastAsia="en-US"/>
              </w:rPr>
            </w:pPr>
          </w:p>
        </w:tc>
      </w:tr>
      <w:tr w14:paraId="22780FA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73B2DCFA">
            <w:pPr>
              <w:pStyle w:val="179"/>
              <w:widowControl w:val="0"/>
              <w:autoSpaceDE w:val="0"/>
              <w:autoSpaceDN w:val="0"/>
              <w:rPr>
                <w:b/>
                <w:lang w:eastAsia="en-US"/>
              </w:rPr>
            </w:pPr>
            <w:r>
              <w:rPr>
                <w:b/>
                <w:lang w:eastAsia="en-US"/>
              </w:rPr>
              <w:t>一</w:t>
            </w:r>
          </w:p>
        </w:tc>
        <w:tc>
          <w:tcPr>
            <w:tcW w:w="1840" w:type="dxa"/>
            <w:noWrap/>
            <w:vAlign w:val="center"/>
          </w:tcPr>
          <w:p w14:paraId="54E973B3">
            <w:pPr>
              <w:pStyle w:val="179"/>
              <w:widowControl w:val="0"/>
              <w:autoSpaceDE w:val="0"/>
              <w:autoSpaceDN w:val="0"/>
              <w:rPr>
                <w:b/>
                <w:lang w:eastAsia="en-US"/>
              </w:rPr>
            </w:pPr>
            <w:r>
              <w:rPr>
                <w:b/>
                <w:lang w:eastAsia="en-US"/>
              </w:rPr>
              <w:t>木贼科</w:t>
            </w:r>
          </w:p>
        </w:tc>
        <w:tc>
          <w:tcPr>
            <w:tcW w:w="4755" w:type="dxa"/>
            <w:noWrap/>
            <w:vAlign w:val="center"/>
          </w:tcPr>
          <w:p w14:paraId="562A74FF">
            <w:pPr>
              <w:pStyle w:val="179"/>
              <w:widowControl w:val="0"/>
              <w:autoSpaceDE w:val="0"/>
              <w:autoSpaceDN w:val="0"/>
              <w:rPr>
                <w:b/>
                <w:lang w:eastAsia="en-US"/>
              </w:rPr>
            </w:pPr>
            <w:r>
              <w:rPr>
                <w:b/>
                <w:lang w:eastAsia="en-US"/>
              </w:rPr>
              <w:t>Equisetaceae</w:t>
            </w:r>
          </w:p>
        </w:tc>
        <w:tc>
          <w:tcPr>
            <w:tcW w:w="1153" w:type="dxa"/>
            <w:noWrap/>
            <w:vAlign w:val="center"/>
          </w:tcPr>
          <w:p w14:paraId="5E8C0FC5">
            <w:pPr>
              <w:pStyle w:val="179"/>
              <w:widowControl w:val="0"/>
              <w:autoSpaceDE w:val="0"/>
              <w:autoSpaceDN w:val="0"/>
              <w:rPr>
                <w:b/>
                <w:lang w:eastAsia="en-US"/>
              </w:rPr>
            </w:pPr>
          </w:p>
        </w:tc>
      </w:tr>
      <w:tr w14:paraId="5988178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4E22194A">
            <w:pPr>
              <w:pStyle w:val="179"/>
              <w:widowControl w:val="0"/>
              <w:autoSpaceDE w:val="0"/>
              <w:autoSpaceDN w:val="0"/>
              <w:rPr>
                <w:lang w:eastAsia="en-US"/>
              </w:rPr>
            </w:pPr>
            <w:r>
              <w:rPr>
                <w:lang w:eastAsia="en-US"/>
              </w:rPr>
              <w:t>1</w:t>
            </w:r>
          </w:p>
        </w:tc>
        <w:tc>
          <w:tcPr>
            <w:tcW w:w="1840" w:type="dxa"/>
            <w:noWrap/>
            <w:vAlign w:val="center"/>
          </w:tcPr>
          <w:p w14:paraId="2E15002A">
            <w:pPr>
              <w:pStyle w:val="179"/>
              <w:widowControl w:val="0"/>
              <w:autoSpaceDE w:val="0"/>
              <w:autoSpaceDN w:val="0"/>
              <w:rPr>
                <w:lang w:eastAsia="en-US"/>
              </w:rPr>
            </w:pPr>
            <w:r>
              <w:rPr>
                <w:lang w:eastAsia="en-US"/>
              </w:rPr>
              <w:t>问荆</w:t>
            </w:r>
          </w:p>
        </w:tc>
        <w:tc>
          <w:tcPr>
            <w:tcW w:w="4755" w:type="dxa"/>
            <w:noWrap/>
            <w:vAlign w:val="center"/>
          </w:tcPr>
          <w:p w14:paraId="7A1AD0E4">
            <w:pPr>
              <w:pStyle w:val="179"/>
              <w:widowControl w:val="0"/>
              <w:autoSpaceDE w:val="0"/>
              <w:autoSpaceDN w:val="0"/>
              <w:rPr>
                <w:lang w:eastAsia="en-US"/>
              </w:rPr>
            </w:pPr>
            <w:r>
              <w:rPr>
                <w:i/>
                <w:iCs/>
                <w:lang w:eastAsia="en-US"/>
              </w:rPr>
              <w:t>Equisetum arvense L.</w:t>
            </w:r>
          </w:p>
        </w:tc>
        <w:tc>
          <w:tcPr>
            <w:tcW w:w="1153" w:type="dxa"/>
            <w:noWrap/>
            <w:vAlign w:val="center"/>
          </w:tcPr>
          <w:p w14:paraId="737EB112">
            <w:pPr>
              <w:pStyle w:val="179"/>
              <w:widowControl w:val="0"/>
              <w:autoSpaceDE w:val="0"/>
              <w:autoSpaceDN w:val="0"/>
              <w:rPr>
                <w:lang w:eastAsia="en-US"/>
              </w:rPr>
            </w:pPr>
          </w:p>
        </w:tc>
      </w:tr>
      <w:tr w14:paraId="784777B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2BBFD76F">
            <w:pPr>
              <w:pStyle w:val="179"/>
              <w:widowControl w:val="0"/>
              <w:autoSpaceDE w:val="0"/>
              <w:autoSpaceDN w:val="0"/>
              <w:rPr>
                <w:b/>
                <w:lang w:eastAsia="en-US"/>
              </w:rPr>
            </w:pPr>
            <w:r>
              <w:rPr>
                <w:b/>
                <w:lang w:eastAsia="en-US"/>
              </w:rPr>
              <w:t>二</w:t>
            </w:r>
          </w:p>
        </w:tc>
        <w:tc>
          <w:tcPr>
            <w:tcW w:w="1840" w:type="dxa"/>
            <w:noWrap/>
            <w:vAlign w:val="center"/>
          </w:tcPr>
          <w:p w14:paraId="59314AAF">
            <w:pPr>
              <w:pStyle w:val="179"/>
              <w:widowControl w:val="0"/>
              <w:autoSpaceDE w:val="0"/>
              <w:autoSpaceDN w:val="0"/>
              <w:rPr>
                <w:b/>
                <w:lang w:eastAsia="en-US"/>
              </w:rPr>
            </w:pPr>
            <w:r>
              <w:rPr>
                <w:b/>
                <w:lang w:eastAsia="en-US"/>
              </w:rPr>
              <w:t>蹄盖蕨科</w:t>
            </w:r>
          </w:p>
        </w:tc>
        <w:tc>
          <w:tcPr>
            <w:tcW w:w="4755" w:type="dxa"/>
            <w:noWrap/>
            <w:vAlign w:val="center"/>
          </w:tcPr>
          <w:p w14:paraId="3DAD2187">
            <w:pPr>
              <w:pStyle w:val="179"/>
              <w:widowControl w:val="0"/>
              <w:autoSpaceDE w:val="0"/>
              <w:autoSpaceDN w:val="0"/>
              <w:rPr>
                <w:b/>
                <w:lang w:eastAsia="en-US"/>
              </w:rPr>
            </w:pPr>
            <w:r>
              <w:rPr>
                <w:b/>
                <w:lang w:eastAsia="en-US"/>
              </w:rPr>
              <w:t>AthyriaceaeAlston</w:t>
            </w:r>
          </w:p>
        </w:tc>
        <w:tc>
          <w:tcPr>
            <w:tcW w:w="1153" w:type="dxa"/>
            <w:noWrap/>
            <w:vAlign w:val="center"/>
          </w:tcPr>
          <w:p w14:paraId="1603F12A">
            <w:pPr>
              <w:pStyle w:val="179"/>
              <w:widowControl w:val="0"/>
              <w:autoSpaceDE w:val="0"/>
              <w:autoSpaceDN w:val="0"/>
              <w:rPr>
                <w:b/>
                <w:lang w:eastAsia="en-US"/>
              </w:rPr>
            </w:pPr>
          </w:p>
        </w:tc>
      </w:tr>
      <w:tr w14:paraId="62F1971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7423E72E">
            <w:pPr>
              <w:pStyle w:val="179"/>
              <w:widowControl w:val="0"/>
              <w:autoSpaceDE w:val="0"/>
              <w:autoSpaceDN w:val="0"/>
              <w:rPr>
                <w:lang w:eastAsia="en-US"/>
              </w:rPr>
            </w:pPr>
            <w:r>
              <w:rPr>
                <w:rFonts w:hint="eastAsia"/>
                <w:lang w:eastAsia="en-US"/>
              </w:rPr>
              <w:t>2</w:t>
            </w:r>
          </w:p>
        </w:tc>
        <w:tc>
          <w:tcPr>
            <w:tcW w:w="1840" w:type="dxa"/>
            <w:noWrap/>
            <w:vAlign w:val="center"/>
          </w:tcPr>
          <w:p w14:paraId="172419EF">
            <w:pPr>
              <w:pStyle w:val="179"/>
              <w:widowControl w:val="0"/>
              <w:autoSpaceDE w:val="0"/>
              <w:autoSpaceDN w:val="0"/>
              <w:rPr>
                <w:lang w:eastAsia="en-US"/>
              </w:rPr>
            </w:pPr>
            <w:r>
              <w:rPr>
                <w:rFonts w:hint="eastAsia"/>
                <w:lang w:eastAsia="en-US"/>
              </w:rPr>
              <w:t>东北蹄盖蕨</w:t>
            </w:r>
          </w:p>
        </w:tc>
        <w:tc>
          <w:tcPr>
            <w:tcW w:w="4755" w:type="dxa"/>
            <w:noWrap/>
            <w:vAlign w:val="center"/>
          </w:tcPr>
          <w:p w14:paraId="38A802B1">
            <w:pPr>
              <w:pStyle w:val="179"/>
              <w:widowControl w:val="0"/>
              <w:autoSpaceDE w:val="0"/>
              <w:autoSpaceDN w:val="0"/>
              <w:rPr>
                <w:lang w:eastAsia="en-US"/>
              </w:rPr>
            </w:pPr>
            <w:r>
              <w:rPr>
                <w:i/>
                <w:iCs/>
                <w:lang w:eastAsia="en-US"/>
              </w:rPr>
              <w:t>Athyrium brevifronsNakai ex Tagawa</w:t>
            </w:r>
          </w:p>
        </w:tc>
        <w:tc>
          <w:tcPr>
            <w:tcW w:w="1153" w:type="dxa"/>
            <w:noWrap/>
            <w:vAlign w:val="center"/>
          </w:tcPr>
          <w:p w14:paraId="0314AAFC">
            <w:pPr>
              <w:pStyle w:val="179"/>
              <w:widowControl w:val="0"/>
              <w:autoSpaceDE w:val="0"/>
              <w:autoSpaceDN w:val="0"/>
              <w:rPr>
                <w:lang w:eastAsia="en-US"/>
              </w:rPr>
            </w:pPr>
          </w:p>
        </w:tc>
      </w:tr>
      <w:tr w14:paraId="6C225BE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7919" w:type="dxa"/>
            <w:gridSpan w:val="3"/>
            <w:noWrap/>
            <w:vAlign w:val="center"/>
          </w:tcPr>
          <w:p w14:paraId="1E11BC2A">
            <w:pPr>
              <w:pStyle w:val="179"/>
              <w:widowControl w:val="0"/>
              <w:autoSpaceDE w:val="0"/>
              <w:autoSpaceDN w:val="0"/>
              <w:rPr>
                <w:lang w:eastAsia="en-US"/>
              </w:rPr>
            </w:pPr>
            <w:r>
              <w:rPr>
                <w:lang w:eastAsia="en-US"/>
              </w:rPr>
              <w:t>裸子植物</w:t>
            </w:r>
          </w:p>
        </w:tc>
        <w:tc>
          <w:tcPr>
            <w:tcW w:w="1153" w:type="dxa"/>
            <w:noWrap/>
            <w:vAlign w:val="center"/>
          </w:tcPr>
          <w:p w14:paraId="485AD118">
            <w:pPr>
              <w:pStyle w:val="179"/>
              <w:widowControl w:val="0"/>
              <w:autoSpaceDE w:val="0"/>
              <w:autoSpaceDN w:val="0"/>
              <w:rPr>
                <w:lang w:eastAsia="en-US"/>
              </w:rPr>
            </w:pPr>
          </w:p>
        </w:tc>
      </w:tr>
      <w:tr w14:paraId="357DA2F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0638F591">
            <w:pPr>
              <w:pStyle w:val="179"/>
              <w:widowControl w:val="0"/>
              <w:autoSpaceDE w:val="0"/>
              <w:autoSpaceDN w:val="0"/>
              <w:rPr>
                <w:b/>
                <w:lang w:eastAsia="en-US"/>
              </w:rPr>
            </w:pPr>
            <w:r>
              <w:rPr>
                <w:rFonts w:hint="eastAsia"/>
                <w:b/>
                <w:lang w:eastAsia="en-US"/>
              </w:rPr>
              <w:t>三</w:t>
            </w:r>
          </w:p>
        </w:tc>
        <w:tc>
          <w:tcPr>
            <w:tcW w:w="1840" w:type="dxa"/>
            <w:noWrap/>
            <w:vAlign w:val="center"/>
          </w:tcPr>
          <w:p w14:paraId="3EEB3F81">
            <w:pPr>
              <w:pStyle w:val="179"/>
              <w:widowControl w:val="0"/>
              <w:autoSpaceDE w:val="0"/>
              <w:autoSpaceDN w:val="0"/>
              <w:rPr>
                <w:b/>
                <w:lang w:eastAsia="en-US"/>
              </w:rPr>
            </w:pPr>
            <w:r>
              <w:rPr>
                <w:b/>
                <w:lang w:eastAsia="en-US"/>
              </w:rPr>
              <w:t>松科</w:t>
            </w:r>
          </w:p>
        </w:tc>
        <w:tc>
          <w:tcPr>
            <w:tcW w:w="4755" w:type="dxa"/>
            <w:noWrap/>
            <w:vAlign w:val="center"/>
          </w:tcPr>
          <w:p w14:paraId="1D788FD6">
            <w:pPr>
              <w:pStyle w:val="179"/>
              <w:widowControl w:val="0"/>
              <w:autoSpaceDE w:val="0"/>
              <w:autoSpaceDN w:val="0"/>
              <w:rPr>
                <w:b/>
                <w:lang w:eastAsia="en-US"/>
              </w:rPr>
            </w:pPr>
            <w:r>
              <w:rPr>
                <w:b/>
                <w:lang w:eastAsia="en-US"/>
              </w:rPr>
              <w:t>Pinaceae Spreng. ExF.Rudolphi</w:t>
            </w:r>
          </w:p>
        </w:tc>
        <w:tc>
          <w:tcPr>
            <w:tcW w:w="1153" w:type="dxa"/>
            <w:noWrap/>
            <w:vAlign w:val="center"/>
          </w:tcPr>
          <w:p w14:paraId="5AFD0E31">
            <w:pPr>
              <w:pStyle w:val="179"/>
              <w:widowControl w:val="0"/>
              <w:autoSpaceDE w:val="0"/>
              <w:autoSpaceDN w:val="0"/>
              <w:rPr>
                <w:b/>
                <w:lang w:eastAsia="en-US"/>
              </w:rPr>
            </w:pPr>
          </w:p>
        </w:tc>
      </w:tr>
      <w:tr w14:paraId="25C178F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73FB662E">
            <w:pPr>
              <w:pStyle w:val="179"/>
              <w:widowControl w:val="0"/>
              <w:autoSpaceDE w:val="0"/>
              <w:autoSpaceDN w:val="0"/>
              <w:rPr>
                <w:lang w:eastAsia="en-US"/>
              </w:rPr>
            </w:pPr>
            <w:r>
              <w:rPr>
                <w:rFonts w:hint="eastAsia"/>
                <w:lang w:eastAsia="en-US"/>
              </w:rPr>
              <w:t>3</w:t>
            </w:r>
          </w:p>
        </w:tc>
        <w:tc>
          <w:tcPr>
            <w:tcW w:w="1840" w:type="dxa"/>
            <w:noWrap/>
            <w:vAlign w:val="center"/>
          </w:tcPr>
          <w:p w14:paraId="7BBE2C31">
            <w:pPr>
              <w:pStyle w:val="179"/>
              <w:widowControl w:val="0"/>
              <w:autoSpaceDE w:val="0"/>
              <w:autoSpaceDN w:val="0"/>
              <w:rPr>
                <w:lang w:eastAsia="en-US"/>
              </w:rPr>
            </w:pPr>
            <w:r>
              <w:rPr>
                <w:lang w:eastAsia="en-US"/>
              </w:rPr>
              <w:t>落叶松</w:t>
            </w:r>
          </w:p>
        </w:tc>
        <w:tc>
          <w:tcPr>
            <w:tcW w:w="4755" w:type="dxa"/>
            <w:noWrap/>
            <w:vAlign w:val="center"/>
          </w:tcPr>
          <w:p w14:paraId="294A9EB3">
            <w:pPr>
              <w:pStyle w:val="179"/>
              <w:widowControl w:val="0"/>
              <w:autoSpaceDE w:val="0"/>
              <w:autoSpaceDN w:val="0"/>
              <w:rPr>
                <w:i/>
                <w:iCs/>
                <w:lang w:eastAsia="en-US"/>
              </w:rPr>
            </w:pPr>
            <w:r>
              <w:rPr>
                <w:i/>
                <w:iCs/>
                <w:lang w:eastAsia="en-US"/>
              </w:rPr>
              <w:t xml:space="preserve">Larix gmelinii </w:t>
            </w:r>
            <w:r>
              <w:rPr>
                <w:rFonts w:hint="eastAsia"/>
                <w:i/>
                <w:iCs/>
                <w:lang w:eastAsia="en-US"/>
              </w:rPr>
              <w:t>（</w:t>
            </w:r>
            <w:r>
              <w:rPr>
                <w:i/>
                <w:iCs/>
                <w:lang w:eastAsia="en-US"/>
              </w:rPr>
              <w:t>Rupr.</w:t>
            </w:r>
            <w:r>
              <w:rPr>
                <w:rFonts w:hint="eastAsia"/>
                <w:i/>
                <w:iCs/>
                <w:lang w:eastAsia="en-US"/>
              </w:rPr>
              <w:t>）</w:t>
            </w:r>
            <w:r>
              <w:rPr>
                <w:i/>
                <w:iCs/>
                <w:lang w:eastAsia="en-US"/>
              </w:rPr>
              <w:t xml:space="preserve"> Kuzen.</w:t>
            </w:r>
          </w:p>
        </w:tc>
        <w:tc>
          <w:tcPr>
            <w:tcW w:w="1153" w:type="dxa"/>
            <w:noWrap/>
            <w:vAlign w:val="center"/>
          </w:tcPr>
          <w:p w14:paraId="157F3C03">
            <w:pPr>
              <w:pStyle w:val="179"/>
              <w:widowControl w:val="0"/>
              <w:autoSpaceDE w:val="0"/>
              <w:autoSpaceDN w:val="0"/>
              <w:rPr>
                <w:lang w:eastAsia="en-US"/>
              </w:rPr>
            </w:pPr>
          </w:p>
        </w:tc>
      </w:tr>
      <w:tr w14:paraId="26A5B88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7919" w:type="dxa"/>
            <w:gridSpan w:val="3"/>
            <w:noWrap/>
            <w:vAlign w:val="center"/>
          </w:tcPr>
          <w:p w14:paraId="58C3C35F">
            <w:pPr>
              <w:pStyle w:val="179"/>
              <w:widowControl w:val="0"/>
              <w:autoSpaceDE w:val="0"/>
              <w:autoSpaceDN w:val="0"/>
              <w:rPr>
                <w:lang w:eastAsia="en-US"/>
              </w:rPr>
            </w:pPr>
            <w:r>
              <w:rPr>
                <w:lang w:eastAsia="en-US"/>
              </w:rPr>
              <w:t>被子植物</w:t>
            </w:r>
          </w:p>
        </w:tc>
        <w:tc>
          <w:tcPr>
            <w:tcW w:w="1153" w:type="dxa"/>
            <w:noWrap/>
            <w:vAlign w:val="center"/>
          </w:tcPr>
          <w:p w14:paraId="2782436F">
            <w:pPr>
              <w:pStyle w:val="179"/>
              <w:widowControl w:val="0"/>
              <w:autoSpaceDE w:val="0"/>
              <w:autoSpaceDN w:val="0"/>
              <w:rPr>
                <w:lang w:eastAsia="en-US"/>
              </w:rPr>
            </w:pPr>
          </w:p>
        </w:tc>
      </w:tr>
      <w:tr w14:paraId="2AE4B03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22C021B4">
            <w:pPr>
              <w:pStyle w:val="179"/>
              <w:widowControl w:val="0"/>
              <w:autoSpaceDE w:val="0"/>
              <w:autoSpaceDN w:val="0"/>
              <w:rPr>
                <w:b/>
                <w:lang w:eastAsia="en-US"/>
              </w:rPr>
            </w:pPr>
            <w:r>
              <w:rPr>
                <w:rFonts w:hint="eastAsia"/>
                <w:b/>
                <w:lang w:eastAsia="en-US"/>
              </w:rPr>
              <w:t>四</w:t>
            </w:r>
          </w:p>
        </w:tc>
        <w:tc>
          <w:tcPr>
            <w:tcW w:w="1840" w:type="dxa"/>
            <w:noWrap/>
            <w:vAlign w:val="center"/>
          </w:tcPr>
          <w:p w14:paraId="0D18BC67">
            <w:pPr>
              <w:pStyle w:val="179"/>
              <w:widowControl w:val="0"/>
              <w:autoSpaceDE w:val="0"/>
              <w:autoSpaceDN w:val="0"/>
              <w:rPr>
                <w:b/>
                <w:lang w:eastAsia="en-US"/>
              </w:rPr>
            </w:pPr>
            <w:r>
              <w:rPr>
                <w:b/>
                <w:lang w:eastAsia="en-US"/>
              </w:rPr>
              <w:t>杨柳科</w:t>
            </w:r>
          </w:p>
        </w:tc>
        <w:tc>
          <w:tcPr>
            <w:tcW w:w="4755" w:type="dxa"/>
            <w:noWrap/>
            <w:vAlign w:val="center"/>
          </w:tcPr>
          <w:p w14:paraId="4B758A38">
            <w:pPr>
              <w:pStyle w:val="179"/>
              <w:widowControl w:val="0"/>
              <w:autoSpaceDE w:val="0"/>
              <w:autoSpaceDN w:val="0"/>
              <w:rPr>
                <w:b/>
                <w:lang w:eastAsia="en-US"/>
              </w:rPr>
            </w:pPr>
            <w:r>
              <w:rPr>
                <w:b/>
                <w:lang w:eastAsia="en-US"/>
              </w:rPr>
              <w:t>Salicaceae Mirb.</w:t>
            </w:r>
            <w:r>
              <w:rPr>
                <w:rFonts w:hint="eastAsia"/>
                <w:b/>
                <w:lang w:eastAsia="en-US"/>
              </w:rPr>
              <w:t>（</w:t>
            </w:r>
            <w:r>
              <w:rPr>
                <w:b/>
                <w:lang w:eastAsia="en-US"/>
              </w:rPr>
              <w:t>1815</w:t>
            </w:r>
            <w:r>
              <w:rPr>
                <w:rFonts w:hint="eastAsia"/>
                <w:b/>
                <w:lang w:eastAsia="en-US"/>
              </w:rPr>
              <w:t>）</w:t>
            </w:r>
          </w:p>
        </w:tc>
        <w:tc>
          <w:tcPr>
            <w:tcW w:w="1153" w:type="dxa"/>
            <w:noWrap/>
            <w:vAlign w:val="center"/>
          </w:tcPr>
          <w:p w14:paraId="5BB41F78">
            <w:pPr>
              <w:pStyle w:val="179"/>
              <w:widowControl w:val="0"/>
              <w:autoSpaceDE w:val="0"/>
              <w:autoSpaceDN w:val="0"/>
              <w:rPr>
                <w:b/>
                <w:lang w:eastAsia="en-US"/>
              </w:rPr>
            </w:pPr>
          </w:p>
        </w:tc>
      </w:tr>
      <w:tr w14:paraId="2458AE3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272B999F">
            <w:pPr>
              <w:pStyle w:val="179"/>
              <w:widowControl w:val="0"/>
              <w:autoSpaceDE w:val="0"/>
              <w:autoSpaceDN w:val="0"/>
              <w:rPr>
                <w:lang w:eastAsia="en-US"/>
              </w:rPr>
            </w:pPr>
            <w:r>
              <w:rPr>
                <w:rFonts w:hint="eastAsia"/>
                <w:lang w:eastAsia="en-US"/>
              </w:rPr>
              <w:t>4</w:t>
            </w:r>
          </w:p>
        </w:tc>
        <w:tc>
          <w:tcPr>
            <w:tcW w:w="1840" w:type="dxa"/>
            <w:noWrap/>
            <w:vAlign w:val="center"/>
          </w:tcPr>
          <w:p w14:paraId="1302EC7E">
            <w:pPr>
              <w:pStyle w:val="179"/>
              <w:widowControl w:val="0"/>
              <w:autoSpaceDE w:val="0"/>
              <w:autoSpaceDN w:val="0"/>
              <w:rPr>
                <w:lang w:eastAsia="en-US"/>
              </w:rPr>
            </w:pPr>
            <w:r>
              <w:rPr>
                <w:lang w:eastAsia="en-US"/>
              </w:rPr>
              <w:t>山杨</w:t>
            </w:r>
          </w:p>
        </w:tc>
        <w:tc>
          <w:tcPr>
            <w:tcW w:w="4755" w:type="dxa"/>
            <w:noWrap/>
            <w:vAlign w:val="center"/>
          </w:tcPr>
          <w:p w14:paraId="1C98F68C">
            <w:pPr>
              <w:pStyle w:val="179"/>
              <w:widowControl w:val="0"/>
              <w:autoSpaceDE w:val="0"/>
              <w:autoSpaceDN w:val="0"/>
              <w:rPr>
                <w:i/>
                <w:iCs/>
                <w:lang w:eastAsia="en-US"/>
              </w:rPr>
            </w:pPr>
            <w:r>
              <w:rPr>
                <w:i/>
                <w:iCs/>
                <w:lang w:eastAsia="en-US"/>
              </w:rPr>
              <w:t>PopulusdavidianaDode</w:t>
            </w:r>
          </w:p>
        </w:tc>
        <w:tc>
          <w:tcPr>
            <w:tcW w:w="1153" w:type="dxa"/>
            <w:noWrap/>
            <w:vAlign w:val="center"/>
          </w:tcPr>
          <w:p w14:paraId="56296493">
            <w:pPr>
              <w:pStyle w:val="179"/>
              <w:widowControl w:val="0"/>
              <w:autoSpaceDE w:val="0"/>
              <w:autoSpaceDN w:val="0"/>
              <w:rPr>
                <w:lang w:eastAsia="en-US"/>
              </w:rPr>
            </w:pPr>
          </w:p>
        </w:tc>
      </w:tr>
      <w:tr w14:paraId="0469D30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2FC8E5F2">
            <w:pPr>
              <w:pStyle w:val="179"/>
              <w:widowControl w:val="0"/>
              <w:autoSpaceDE w:val="0"/>
              <w:autoSpaceDN w:val="0"/>
              <w:rPr>
                <w:lang w:eastAsia="en-US"/>
              </w:rPr>
            </w:pPr>
            <w:r>
              <w:rPr>
                <w:rFonts w:hint="eastAsia"/>
                <w:lang w:eastAsia="en-US"/>
              </w:rPr>
              <w:t>5</w:t>
            </w:r>
          </w:p>
        </w:tc>
        <w:tc>
          <w:tcPr>
            <w:tcW w:w="1840" w:type="dxa"/>
            <w:noWrap/>
            <w:vAlign w:val="center"/>
          </w:tcPr>
          <w:p w14:paraId="0964CA9F">
            <w:pPr>
              <w:pStyle w:val="179"/>
              <w:widowControl w:val="0"/>
              <w:autoSpaceDE w:val="0"/>
              <w:autoSpaceDN w:val="0"/>
              <w:rPr>
                <w:lang w:eastAsia="en-US"/>
              </w:rPr>
            </w:pPr>
            <w:r>
              <w:rPr>
                <w:lang w:eastAsia="en-US"/>
              </w:rPr>
              <w:t>蒿柳</w:t>
            </w:r>
          </w:p>
        </w:tc>
        <w:tc>
          <w:tcPr>
            <w:tcW w:w="4755" w:type="dxa"/>
            <w:noWrap/>
            <w:vAlign w:val="center"/>
          </w:tcPr>
          <w:p w14:paraId="0B5D50D1">
            <w:pPr>
              <w:pStyle w:val="179"/>
              <w:widowControl w:val="0"/>
              <w:autoSpaceDE w:val="0"/>
              <w:autoSpaceDN w:val="0"/>
              <w:rPr>
                <w:i/>
                <w:iCs/>
                <w:lang w:eastAsia="en-US"/>
              </w:rPr>
            </w:pPr>
            <w:r>
              <w:rPr>
                <w:i/>
                <w:iCs/>
                <w:lang w:eastAsia="en-US"/>
              </w:rPr>
              <w:t>Salix viminalisE. L. Wolf</w:t>
            </w:r>
          </w:p>
        </w:tc>
        <w:tc>
          <w:tcPr>
            <w:tcW w:w="1153" w:type="dxa"/>
            <w:noWrap/>
            <w:vAlign w:val="center"/>
          </w:tcPr>
          <w:p w14:paraId="4A4E3D39">
            <w:pPr>
              <w:pStyle w:val="179"/>
              <w:widowControl w:val="0"/>
              <w:autoSpaceDE w:val="0"/>
              <w:autoSpaceDN w:val="0"/>
              <w:rPr>
                <w:lang w:eastAsia="en-US"/>
              </w:rPr>
            </w:pPr>
          </w:p>
        </w:tc>
      </w:tr>
      <w:tr w14:paraId="1BFC32F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13C15CCC">
            <w:pPr>
              <w:pStyle w:val="179"/>
              <w:widowControl w:val="0"/>
              <w:autoSpaceDE w:val="0"/>
              <w:autoSpaceDN w:val="0"/>
              <w:rPr>
                <w:b/>
                <w:lang w:eastAsia="en-US"/>
              </w:rPr>
            </w:pPr>
            <w:r>
              <w:rPr>
                <w:rFonts w:hint="eastAsia"/>
                <w:b/>
                <w:lang w:eastAsia="en-US"/>
              </w:rPr>
              <w:t>五</w:t>
            </w:r>
          </w:p>
        </w:tc>
        <w:tc>
          <w:tcPr>
            <w:tcW w:w="1840" w:type="dxa"/>
            <w:noWrap/>
            <w:vAlign w:val="center"/>
          </w:tcPr>
          <w:p w14:paraId="04894995">
            <w:pPr>
              <w:pStyle w:val="179"/>
              <w:widowControl w:val="0"/>
              <w:autoSpaceDE w:val="0"/>
              <w:autoSpaceDN w:val="0"/>
              <w:rPr>
                <w:b/>
                <w:lang w:eastAsia="en-US"/>
              </w:rPr>
            </w:pPr>
            <w:r>
              <w:rPr>
                <w:b/>
                <w:lang w:eastAsia="en-US"/>
              </w:rPr>
              <w:t>桦木科</w:t>
            </w:r>
          </w:p>
        </w:tc>
        <w:tc>
          <w:tcPr>
            <w:tcW w:w="4755" w:type="dxa"/>
            <w:noWrap/>
            <w:vAlign w:val="center"/>
          </w:tcPr>
          <w:p w14:paraId="308690DB">
            <w:pPr>
              <w:pStyle w:val="179"/>
              <w:widowControl w:val="0"/>
              <w:autoSpaceDE w:val="0"/>
              <w:autoSpaceDN w:val="0"/>
              <w:rPr>
                <w:b/>
                <w:lang w:eastAsia="en-US"/>
              </w:rPr>
            </w:pPr>
            <w:r>
              <w:rPr>
                <w:b/>
                <w:lang w:eastAsia="en-US"/>
              </w:rPr>
              <w:t>Betulaceae</w:t>
            </w:r>
          </w:p>
        </w:tc>
        <w:tc>
          <w:tcPr>
            <w:tcW w:w="1153" w:type="dxa"/>
            <w:noWrap/>
            <w:vAlign w:val="center"/>
          </w:tcPr>
          <w:p w14:paraId="0B1F04DB">
            <w:pPr>
              <w:pStyle w:val="179"/>
              <w:widowControl w:val="0"/>
              <w:autoSpaceDE w:val="0"/>
              <w:autoSpaceDN w:val="0"/>
              <w:rPr>
                <w:b/>
                <w:lang w:eastAsia="en-US"/>
              </w:rPr>
            </w:pPr>
          </w:p>
        </w:tc>
      </w:tr>
      <w:tr w14:paraId="3F0EF2A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2111A186">
            <w:pPr>
              <w:pStyle w:val="179"/>
              <w:widowControl w:val="0"/>
              <w:autoSpaceDE w:val="0"/>
              <w:autoSpaceDN w:val="0"/>
              <w:rPr>
                <w:lang w:eastAsia="en-US"/>
              </w:rPr>
            </w:pPr>
            <w:r>
              <w:rPr>
                <w:rFonts w:hint="eastAsia"/>
                <w:lang w:eastAsia="en-US"/>
              </w:rPr>
              <w:t>6</w:t>
            </w:r>
          </w:p>
        </w:tc>
        <w:tc>
          <w:tcPr>
            <w:tcW w:w="1840" w:type="dxa"/>
            <w:noWrap/>
            <w:vAlign w:val="center"/>
          </w:tcPr>
          <w:p w14:paraId="5BEC3BA0">
            <w:pPr>
              <w:pStyle w:val="179"/>
              <w:widowControl w:val="0"/>
              <w:autoSpaceDE w:val="0"/>
              <w:autoSpaceDN w:val="0"/>
              <w:rPr>
                <w:lang w:eastAsia="en-US"/>
              </w:rPr>
            </w:pPr>
            <w:r>
              <w:rPr>
                <w:lang w:eastAsia="en-US"/>
              </w:rPr>
              <w:t>白桦</w:t>
            </w:r>
          </w:p>
        </w:tc>
        <w:tc>
          <w:tcPr>
            <w:tcW w:w="4755" w:type="dxa"/>
            <w:noWrap/>
            <w:vAlign w:val="center"/>
          </w:tcPr>
          <w:p w14:paraId="4A6AD2A0">
            <w:pPr>
              <w:pStyle w:val="179"/>
              <w:widowControl w:val="0"/>
              <w:autoSpaceDE w:val="0"/>
              <w:autoSpaceDN w:val="0"/>
              <w:rPr>
                <w:i/>
                <w:iCs/>
                <w:lang w:eastAsia="en-US"/>
              </w:rPr>
            </w:pPr>
            <w:r>
              <w:rPr>
                <w:i/>
                <w:iCs/>
                <w:lang w:eastAsia="en-US"/>
              </w:rPr>
              <w:t>Betula platyphylla</w:t>
            </w:r>
          </w:p>
        </w:tc>
        <w:tc>
          <w:tcPr>
            <w:tcW w:w="1153" w:type="dxa"/>
            <w:noWrap/>
            <w:vAlign w:val="center"/>
          </w:tcPr>
          <w:p w14:paraId="1DD0A665">
            <w:pPr>
              <w:pStyle w:val="179"/>
              <w:widowControl w:val="0"/>
              <w:autoSpaceDE w:val="0"/>
              <w:autoSpaceDN w:val="0"/>
              <w:rPr>
                <w:lang w:eastAsia="en-US"/>
              </w:rPr>
            </w:pPr>
          </w:p>
        </w:tc>
      </w:tr>
      <w:tr w14:paraId="68DB0A0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1F338789">
            <w:pPr>
              <w:pStyle w:val="179"/>
              <w:widowControl w:val="0"/>
              <w:autoSpaceDE w:val="0"/>
              <w:autoSpaceDN w:val="0"/>
              <w:rPr>
                <w:lang w:eastAsia="en-US"/>
              </w:rPr>
            </w:pPr>
            <w:r>
              <w:rPr>
                <w:rFonts w:hint="eastAsia"/>
                <w:lang w:eastAsia="en-US"/>
              </w:rPr>
              <w:t>7</w:t>
            </w:r>
          </w:p>
        </w:tc>
        <w:tc>
          <w:tcPr>
            <w:tcW w:w="1840" w:type="dxa"/>
            <w:noWrap/>
            <w:vAlign w:val="center"/>
          </w:tcPr>
          <w:p w14:paraId="63B96055">
            <w:pPr>
              <w:pStyle w:val="179"/>
              <w:widowControl w:val="0"/>
              <w:autoSpaceDE w:val="0"/>
              <w:autoSpaceDN w:val="0"/>
              <w:rPr>
                <w:lang w:eastAsia="en-US"/>
              </w:rPr>
            </w:pPr>
            <w:r>
              <w:rPr>
                <w:rFonts w:hint="eastAsia"/>
                <w:lang w:eastAsia="en-US"/>
              </w:rPr>
              <w:t>榛</w:t>
            </w:r>
          </w:p>
        </w:tc>
        <w:tc>
          <w:tcPr>
            <w:tcW w:w="4755" w:type="dxa"/>
            <w:noWrap/>
            <w:vAlign w:val="center"/>
          </w:tcPr>
          <w:p w14:paraId="2A3C622F">
            <w:pPr>
              <w:pStyle w:val="179"/>
              <w:widowControl w:val="0"/>
              <w:autoSpaceDE w:val="0"/>
              <w:autoSpaceDN w:val="0"/>
              <w:rPr>
                <w:i/>
                <w:iCs/>
                <w:lang w:eastAsia="en-US"/>
              </w:rPr>
            </w:pPr>
            <w:r>
              <w:rPr>
                <w:i/>
                <w:iCs/>
                <w:lang w:eastAsia="en-US"/>
              </w:rPr>
              <w:t>Corylus heterophylla</w:t>
            </w:r>
          </w:p>
        </w:tc>
        <w:tc>
          <w:tcPr>
            <w:tcW w:w="1153" w:type="dxa"/>
            <w:noWrap/>
            <w:vAlign w:val="center"/>
          </w:tcPr>
          <w:p w14:paraId="42E84F9D">
            <w:pPr>
              <w:pStyle w:val="179"/>
              <w:widowControl w:val="0"/>
              <w:autoSpaceDE w:val="0"/>
              <w:autoSpaceDN w:val="0"/>
              <w:rPr>
                <w:lang w:eastAsia="en-US"/>
              </w:rPr>
            </w:pPr>
          </w:p>
        </w:tc>
      </w:tr>
      <w:tr w14:paraId="794F8C8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6CEE29AB">
            <w:pPr>
              <w:pStyle w:val="179"/>
              <w:widowControl w:val="0"/>
              <w:autoSpaceDE w:val="0"/>
              <w:autoSpaceDN w:val="0"/>
              <w:rPr>
                <w:b/>
                <w:lang w:eastAsia="en-US"/>
              </w:rPr>
            </w:pPr>
            <w:r>
              <w:rPr>
                <w:rFonts w:hint="eastAsia"/>
                <w:b/>
                <w:lang w:eastAsia="en-US"/>
              </w:rPr>
              <w:t>六</w:t>
            </w:r>
          </w:p>
        </w:tc>
        <w:tc>
          <w:tcPr>
            <w:tcW w:w="1840" w:type="dxa"/>
            <w:noWrap/>
            <w:vAlign w:val="center"/>
          </w:tcPr>
          <w:p w14:paraId="57B9C182">
            <w:pPr>
              <w:pStyle w:val="179"/>
              <w:widowControl w:val="0"/>
              <w:autoSpaceDE w:val="0"/>
              <w:autoSpaceDN w:val="0"/>
              <w:rPr>
                <w:b/>
                <w:lang w:eastAsia="en-US"/>
              </w:rPr>
            </w:pPr>
            <w:r>
              <w:rPr>
                <w:b/>
                <w:lang w:eastAsia="en-US"/>
              </w:rPr>
              <w:t>榆科</w:t>
            </w:r>
          </w:p>
        </w:tc>
        <w:tc>
          <w:tcPr>
            <w:tcW w:w="4755" w:type="dxa"/>
            <w:noWrap/>
            <w:vAlign w:val="center"/>
          </w:tcPr>
          <w:p w14:paraId="6C6509F6">
            <w:pPr>
              <w:pStyle w:val="179"/>
              <w:widowControl w:val="0"/>
              <w:autoSpaceDE w:val="0"/>
              <w:autoSpaceDN w:val="0"/>
              <w:rPr>
                <w:b/>
                <w:lang w:eastAsia="en-US"/>
              </w:rPr>
            </w:pPr>
            <w:r>
              <w:rPr>
                <w:b/>
                <w:lang w:eastAsia="en-US"/>
              </w:rPr>
              <w:t>Ulmaceae Mirb.</w:t>
            </w:r>
          </w:p>
        </w:tc>
        <w:tc>
          <w:tcPr>
            <w:tcW w:w="1153" w:type="dxa"/>
            <w:noWrap/>
            <w:vAlign w:val="center"/>
          </w:tcPr>
          <w:p w14:paraId="57B6C441">
            <w:pPr>
              <w:pStyle w:val="179"/>
              <w:widowControl w:val="0"/>
              <w:autoSpaceDE w:val="0"/>
              <w:autoSpaceDN w:val="0"/>
              <w:rPr>
                <w:b/>
                <w:lang w:eastAsia="en-US"/>
              </w:rPr>
            </w:pPr>
          </w:p>
        </w:tc>
      </w:tr>
      <w:tr w14:paraId="31C5C28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0819C53F">
            <w:pPr>
              <w:pStyle w:val="179"/>
              <w:widowControl w:val="0"/>
              <w:autoSpaceDE w:val="0"/>
              <w:autoSpaceDN w:val="0"/>
              <w:rPr>
                <w:lang w:eastAsia="en-US"/>
              </w:rPr>
            </w:pPr>
            <w:r>
              <w:rPr>
                <w:rFonts w:hint="eastAsia"/>
                <w:lang w:eastAsia="en-US"/>
              </w:rPr>
              <w:t>8</w:t>
            </w:r>
          </w:p>
        </w:tc>
        <w:tc>
          <w:tcPr>
            <w:tcW w:w="1840" w:type="dxa"/>
            <w:noWrap/>
            <w:vAlign w:val="center"/>
          </w:tcPr>
          <w:p w14:paraId="502CACA4">
            <w:pPr>
              <w:pStyle w:val="179"/>
              <w:widowControl w:val="0"/>
              <w:autoSpaceDE w:val="0"/>
              <w:autoSpaceDN w:val="0"/>
              <w:rPr>
                <w:lang w:eastAsia="en-US"/>
              </w:rPr>
            </w:pPr>
            <w:r>
              <w:rPr>
                <w:lang w:eastAsia="en-US"/>
              </w:rPr>
              <w:t>榆树</w:t>
            </w:r>
          </w:p>
        </w:tc>
        <w:tc>
          <w:tcPr>
            <w:tcW w:w="4755" w:type="dxa"/>
            <w:noWrap/>
            <w:vAlign w:val="center"/>
          </w:tcPr>
          <w:p w14:paraId="0E0CC776">
            <w:pPr>
              <w:pStyle w:val="179"/>
              <w:widowControl w:val="0"/>
              <w:autoSpaceDE w:val="0"/>
              <w:autoSpaceDN w:val="0"/>
              <w:rPr>
                <w:lang w:eastAsia="en-US"/>
              </w:rPr>
            </w:pPr>
            <w:r>
              <w:rPr>
                <w:i/>
                <w:iCs/>
                <w:lang w:eastAsia="en-US"/>
              </w:rPr>
              <w:t>Ulmus pumilaL.</w:t>
            </w:r>
          </w:p>
        </w:tc>
        <w:tc>
          <w:tcPr>
            <w:tcW w:w="1153" w:type="dxa"/>
            <w:noWrap/>
            <w:vAlign w:val="center"/>
          </w:tcPr>
          <w:p w14:paraId="770D93AB">
            <w:pPr>
              <w:pStyle w:val="179"/>
              <w:widowControl w:val="0"/>
              <w:autoSpaceDE w:val="0"/>
              <w:autoSpaceDN w:val="0"/>
              <w:rPr>
                <w:lang w:eastAsia="en-US"/>
              </w:rPr>
            </w:pPr>
          </w:p>
        </w:tc>
      </w:tr>
      <w:tr w14:paraId="26BC9DD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5EF0557A">
            <w:pPr>
              <w:pStyle w:val="179"/>
              <w:widowControl w:val="0"/>
              <w:autoSpaceDE w:val="0"/>
              <w:autoSpaceDN w:val="0"/>
              <w:rPr>
                <w:b/>
                <w:lang w:eastAsia="en-US"/>
              </w:rPr>
            </w:pPr>
            <w:r>
              <w:rPr>
                <w:rFonts w:hint="eastAsia"/>
                <w:b/>
                <w:lang w:eastAsia="en-US"/>
              </w:rPr>
              <w:t>七</w:t>
            </w:r>
          </w:p>
        </w:tc>
        <w:tc>
          <w:tcPr>
            <w:tcW w:w="1840" w:type="dxa"/>
            <w:noWrap/>
            <w:vAlign w:val="center"/>
          </w:tcPr>
          <w:p w14:paraId="13987768">
            <w:pPr>
              <w:pStyle w:val="179"/>
              <w:widowControl w:val="0"/>
              <w:autoSpaceDE w:val="0"/>
              <w:autoSpaceDN w:val="0"/>
              <w:rPr>
                <w:b/>
                <w:lang w:eastAsia="en-US"/>
              </w:rPr>
            </w:pPr>
            <w:r>
              <w:rPr>
                <w:b/>
                <w:lang w:eastAsia="en-US"/>
              </w:rPr>
              <w:t>桑科</w:t>
            </w:r>
          </w:p>
        </w:tc>
        <w:tc>
          <w:tcPr>
            <w:tcW w:w="4755" w:type="dxa"/>
            <w:noWrap/>
            <w:vAlign w:val="center"/>
          </w:tcPr>
          <w:p w14:paraId="454EE796">
            <w:pPr>
              <w:pStyle w:val="179"/>
              <w:widowControl w:val="0"/>
              <w:autoSpaceDE w:val="0"/>
              <w:autoSpaceDN w:val="0"/>
              <w:rPr>
                <w:b/>
                <w:lang w:eastAsia="en-US"/>
              </w:rPr>
            </w:pPr>
            <w:r>
              <w:rPr>
                <w:b/>
                <w:lang w:eastAsia="en-US"/>
              </w:rPr>
              <w:t>MoraceaeGaudich.</w:t>
            </w:r>
          </w:p>
        </w:tc>
        <w:tc>
          <w:tcPr>
            <w:tcW w:w="1153" w:type="dxa"/>
            <w:noWrap/>
            <w:vAlign w:val="center"/>
          </w:tcPr>
          <w:p w14:paraId="4FA39AF3">
            <w:pPr>
              <w:pStyle w:val="179"/>
              <w:widowControl w:val="0"/>
              <w:autoSpaceDE w:val="0"/>
              <w:autoSpaceDN w:val="0"/>
              <w:rPr>
                <w:b/>
                <w:lang w:eastAsia="en-US"/>
              </w:rPr>
            </w:pPr>
          </w:p>
        </w:tc>
      </w:tr>
      <w:tr w14:paraId="6C70C2B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5C5534E7">
            <w:pPr>
              <w:pStyle w:val="179"/>
              <w:widowControl w:val="0"/>
              <w:autoSpaceDE w:val="0"/>
              <w:autoSpaceDN w:val="0"/>
              <w:rPr>
                <w:lang w:eastAsia="en-US"/>
              </w:rPr>
            </w:pPr>
            <w:r>
              <w:rPr>
                <w:rFonts w:hint="eastAsia"/>
                <w:lang w:eastAsia="en-US"/>
              </w:rPr>
              <w:t>9</w:t>
            </w:r>
          </w:p>
        </w:tc>
        <w:tc>
          <w:tcPr>
            <w:tcW w:w="1840" w:type="dxa"/>
            <w:noWrap/>
            <w:vAlign w:val="center"/>
          </w:tcPr>
          <w:p w14:paraId="71F5CA9B">
            <w:pPr>
              <w:pStyle w:val="179"/>
              <w:widowControl w:val="0"/>
              <w:autoSpaceDE w:val="0"/>
              <w:autoSpaceDN w:val="0"/>
              <w:rPr>
                <w:lang w:eastAsia="en-US"/>
              </w:rPr>
            </w:pPr>
            <w:r>
              <w:rPr>
                <w:lang w:eastAsia="en-US"/>
              </w:rPr>
              <w:t>葎草</w:t>
            </w:r>
          </w:p>
        </w:tc>
        <w:tc>
          <w:tcPr>
            <w:tcW w:w="4755" w:type="dxa"/>
            <w:noWrap/>
            <w:vAlign w:val="center"/>
          </w:tcPr>
          <w:p w14:paraId="2F404145">
            <w:pPr>
              <w:pStyle w:val="179"/>
              <w:widowControl w:val="0"/>
              <w:autoSpaceDE w:val="0"/>
              <w:autoSpaceDN w:val="0"/>
              <w:rPr>
                <w:lang w:eastAsia="en-US"/>
              </w:rPr>
            </w:pPr>
            <w:r>
              <w:rPr>
                <w:i/>
                <w:iCs/>
                <w:lang w:eastAsia="en-US"/>
              </w:rPr>
              <w:t xml:space="preserve">Humulus scandens </w:t>
            </w:r>
            <w:r>
              <w:rPr>
                <w:rFonts w:hint="eastAsia"/>
                <w:i/>
                <w:iCs/>
                <w:lang w:eastAsia="en-US"/>
              </w:rPr>
              <w:t>（</w:t>
            </w:r>
            <w:r>
              <w:rPr>
                <w:i/>
                <w:iCs/>
                <w:lang w:eastAsia="en-US"/>
              </w:rPr>
              <w:t>Lour.</w:t>
            </w:r>
            <w:r>
              <w:rPr>
                <w:rFonts w:hint="eastAsia"/>
                <w:i/>
                <w:iCs/>
                <w:lang w:eastAsia="en-US"/>
              </w:rPr>
              <w:t>）</w:t>
            </w:r>
            <w:r>
              <w:rPr>
                <w:i/>
                <w:iCs/>
                <w:lang w:eastAsia="en-US"/>
              </w:rPr>
              <w:t xml:space="preserve"> Merr.</w:t>
            </w:r>
          </w:p>
        </w:tc>
        <w:tc>
          <w:tcPr>
            <w:tcW w:w="1153" w:type="dxa"/>
            <w:noWrap/>
            <w:vAlign w:val="center"/>
          </w:tcPr>
          <w:p w14:paraId="5E4EF280">
            <w:pPr>
              <w:pStyle w:val="179"/>
              <w:widowControl w:val="0"/>
              <w:autoSpaceDE w:val="0"/>
              <w:autoSpaceDN w:val="0"/>
              <w:rPr>
                <w:lang w:eastAsia="en-US"/>
              </w:rPr>
            </w:pPr>
          </w:p>
        </w:tc>
      </w:tr>
      <w:tr w14:paraId="6646404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6AC6BAA0">
            <w:pPr>
              <w:pStyle w:val="179"/>
              <w:widowControl w:val="0"/>
              <w:autoSpaceDE w:val="0"/>
              <w:autoSpaceDN w:val="0"/>
              <w:rPr>
                <w:b/>
                <w:lang w:eastAsia="en-US"/>
              </w:rPr>
            </w:pPr>
            <w:r>
              <w:rPr>
                <w:rFonts w:hint="eastAsia"/>
                <w:b/>
                <w:lang w:eastAsia="en-US"/>
              </w:rPr>
              <w:t>八</w:t>
            </w:r>
          </w:p>
        </w:tc>
        <w:tc>
          <w:tcPr>
            <w:tcW w:w="1840" w:type="dxa"/>
            <w:noWrap/>
            <w:vAlign w:val="center"/>
          </w:tcPr>
          <w:p w14:paraId="2E2FFF24">
            <w:pPr>
              <w:pStyle w:val="179"/>
              <w:widowControl w:val="0"/>
              <w:autoSpaceDE w:val="0"/>
              <w:autoSpaceDN w:val="0"/>
              <w:rPr>
                <w:b/>
                <w:lang w:eastAsia="en-US"/>
              </w:rPr>
            </w:pPr>
            <w:r>
              <w:rPr>
                <w:b/>
                <w:lang w:eastAsia="en-US"/>
              </w:rPr>
              <w:t>荨麻科</w:t>
            </w:r>
          </w:p>
        </w:tc>
        <w:tc>
          <w:tcPr>
            <w:tcW w:w="4755" w:type="dxa"/>
            <w:noWrap/>
            <w:vAlign w:val="center"/>
          </w:tcPr>
          <w:p w14:paraId="2BA8EA14">
            <w:pPr>
              <w:pStyle w:val="179"/>
              <w:widowControl w:val="0"/>
              <w:autoSpaceDE w:val="0"/>
              <w:autoSpaceDN w:val="0"/>
              <w:rPr>
                <w:b/>
                <w:lang w:eastAsia="en-US"/>
              </w:rPr>
            </w:pPr>
            <w:r>
              <w:rPr>
                <w:b/>
                <w:lang w:eastAsia="en-US"/>
              </w:rPr>
              <w:t>UrticaceaeJuss.</w:t>
            </w:r>
          </w:p>
        </w:tc>
        <w:tc>
          <w:tcPr>
            <w:tcW w:w="1153" w:type="dxa"/>
            <w:noWrap/>
            <w:vAlign w:val="center"/>
          </w:tcPr>
          <w:p w14:paraId="5C97FF46">
            <w:pPr>
              <w:pStyle w:val="179"/>
              <w:widowControl w:val="0"/>
              <w:autoSpaceDE w:val="0"/>
              <w:autoSpaceDN w:val="0"/>
              <w:rPr>
                <w:b/>
                <w:lang w:eastAsia="en-US"/>
              </w:rPr>
            </w:pPr>
          </w:p>
        </w:tc>
      </w:tr>
      <w:tr w14:paraId="3A644EA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74DDD13C">
            <w:pPr>
              <w:pStyle w:val="179"/>
              <w:widowControl w:val="0"/>
              <w:autoSpaceDE w:val="0"/>
              <w:autoSpaceDN w:val="0"/>
              <w:rPr>
                <w:lang w:eastAsia="en-US"/>
              </w:rPr>
            </w:pPr>
            <w:r>
              <w:rPr>
                <w:lang w:eastAsia="en-US"/>
              </w:rPr>
              <w:t>1</w:t>
            </w:r>
            <w:r>
              <w:rPr>
                <w:rFonts w:hint="eastAsia"/>
                <w:lang w:eastAsia="en-US"/>
              </w:rPr>
              <w:t>0</w:t>
            </w:r>
          </w:p>
        </w:tc>
        <w:tc>
          <w:tcPr>
            <w:tcW w:w="1840" w:type="dxa"/>
            <w:noWrap/>
            <w:vAlign w:val="center"/>
          </w:tcPr>
          <w:p w14:paraId="3A5BA862">
            <w:pPr>
              <w:pStyle w:val="179"/>
              <w:widowControl w:val="0"/>
              <w:autoSpaceDE w:val="0"/>
              <w:autoSpaceDN w:val="0"/>
              <w:rPr>
                <w:lang w:eastAsia="en-US"/>
              </w:rPr>
            </w:pPr>
            <w:r>
              <w:rPr>
                <w:lang w:eastAsia="en-US"/>
              </w:rPr>
              <w:t>狭叶荨麻</w:t>
            </w:r>
          </w:p>
        </w:tc>
        <w:tc>
          <w:tcPr>
            <w:tcW w:w="4755" w:type="dxa"/>
            <w:noWrap/>
            <w:vAlign w:val="center"/>
          </w:tcPr>
          <w:p w14:paraId="54F705B2">
            <w:pPr>
              <w:pStyle w:val="179"/>
              <w:widowControl w:val="0"/>
              <w:autoSpaceDE w:val="0"/>
              <w:autoSpaceDN w:val="0"/>
              <w:rPr>
                <w:i/>
                <w:iCs/>
                <w:lang w:eastAsia="en-US"/>
              </w:rPr>
            </w:pPr>
            <w:r>
              <w:rPr>
                <w:i/>
                <w:iCs/>
                <w:lang w:eastAsia="en-US"/>
              </w:rPr>
              <w:t>UrticaangustifoliaFisch．ExHornem．</w:t>
            </w:r>
          </w:p>
        </w:tc>
        <w:tc>
          <w:tcPr>
            <w:tcW w:w="1153" w:type="dxa"/>
            <w:noWrap/>
            <w:vAlign w:val="center"/>
          </w:tcPr>
          <w:p w14:paraId="74B42433">
            <w:pPr>
              <w:pStyle w:val="179"/>
              <w:widowControl w:val="0"/>
              <w:autoSpaceDE w:val="0"/>
              <w:autoSpaceDN w:val="0"/>
              <w:rPr>
                <w:lang w:eastAsia="en-US"/>
              </w:rPr>
            </w:pPr>
          </w:p>
        </w:tc>
      </w:tr>
      <w:tr w14:paraId="5AA7FBE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7CEF53E0">
            <w:pPr>
              <w:pStyle w:val="179"/>
              <w:widowControl w:val="0"/>
              <w:autoSpaceDE w:val="0"/>
              <w:autoSpaceDN w:val="0"/>
              <w:rPr>
                <w:lang w:eastAsia="en-US"/>
              </w:rPr>
            </w:pPr>
            <w:r>
              <w:rPr>
                <w:rFonts w:hint="eastAsia"/>
                <w:lang w:eastAsia="en-US"/>
              </w:rPr>
              <w:t>11</w:t>
            </w:r>
          </w:p>
        </w:tc>
        <w:tc>
          <w:tcPr>
            <w:tcW w:w="1840" w:type="dxa"/>
            <w:noWrap/>
            <w:vAlign w:val="center"/>
          </w:tcPr>
          <w:p w14:paraId="3763A77A">
            <w:pPr>
              <w:pStyle w:val="179"/>
              <w:widowControl w:val="0"/>
              <w:autoSpaceDE w:val="0"/>
              <w:autoSpaceDN w:val="0"/>
              <w:rPr>
                <w:lang w:eastAsia="en-US"/>
              </w:rPr>
            </w:pPr>
            <w:r>
              <w:rPr>
                <w:rFonts w:hint="eastAsia"/>
                <w:lang w:eastAsia="en-US"/>
              </w:rPr>
              <w:t>宽叶荨麻</w:t>
            </w:r>
          </w:p>
        </w:tc>
        <w:tc>
          <w:tcPr>
            <w:tcW w:w="4755" w:type="dxa"/>
            <w:noWrap/>
            <w:vAlign w:val="center"/>
          </w:tcPr>
          <w:p w14:paraId="48F2DACC">
            <w:pPr>
              <w:pStyle w:val="179"/>
              <w:widowControl w:val="0"/>
              <w:autoSpaceDE w:val="0"/>
              <w:autoSpaceDN w:val="0"/>
              <w:rPr>
                <w:i/>
                <w:iCs/>
                <w:lang w:eastAsia="en-US"/>
              </w:rPr>
            </w:pPr>
            <w:r>
              <w:rPr>
                <w:i/>
                <w:iCs/>
                <w:lang w:eastAsia="en-US"/>
              </w:rPr>
              <w:t>Urtica laetevirensMaxim.</w:t>
            </w:r>
          </w:p>
        </w:tc>
        <w:tc>
          <w:tcPr>
            <w:tcW w:w="1153" w:type="dxa"/>
            <w:noWrap/>
            <w:vAlign w:val="center"/>
          </w:tcPr>
          <w:p w14:paraId="5F291871">
            <w:pPr>
              <w:pStyle w:val="179"/>
              <w:widowControl w:val="0"/>
              <w:autoSpaceDE w:val="0"/>
              <w:autoSpaceDN w:val="0"/>
              <w:rPr>
                <w:lang w:eastAsia="en-US"/>
              </w:rPr>
            </w:pPr>
          </w:p>
        </w:tc>
      </w:tr>
      <w:tr w14:paraId="45AE053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5B9AA791">
            <w:pPr>
              <w:pStyle w:val="179"/>
              <w:widowControl w:val="0"/>
              <w:autoSpaceDE w:val="0"/>
              <w:autoSpaceDN w:val="0"/>
              <w:rPr>
                <w:b/>
                <w:lang w:eastAsia="en-US"/>
              </w:rPr>
            </w:pPr>
            <w:r>
              <w:rPr>
                <w:rFonts w:hint="eastAsia"/>
                <w:b/>
                <w:lang w:eastAsia="en-US"/>
              </w:rPr>
              <w:t>九</w:t>
            </w:r>
          </w:p>
        </w:tc>
        <w:tc>
          <w:tcPr>
            <w:tcW w:w="1840" w:type="dxa"/>
            <w:noWrap/>
            <w:vAlign w:val="center"/>
          </w:tcPr>
          <w:p w14:paraId="3259C7E2">
            <w:pPr>
              <w:pStyle w:val="179"/>
              <w:widowControl w:val="0"/>
              <w:autoSpaceDE w:val="0"/>
              <w:autoSpaceDN w:val="0"/>
              <w:rPr>
                <w:b/>
                <w:lang w:eastAsia="en-US"/>
              </w:rPr>
            </w:pPr>
            <w:r>
              <w:rPr>
                <w:b/>
                <w:lang w:eastAsia="en-US"/>
              </w:rPr>
              <w:t>蓼科</w:t>
            </w:r>
          </w:p>
        </w:tc>
        <w:tc>
          <w:tcPr>
            <w:tcW w:w="4755" w:type="dxa"/>
            <w:noWrap/>
            <w:vAlign w:val="center"/>
          </w:tcPr>
          <w:p w14:paraId="4350DEAE">
            <w:pPr>
              <w:pStyle w:val="179"/>
              <w:widowControl w:val="0"/>
              <w:autoSpaceDE w:val="0"/>
              <w:autoSpaceDN w:val="0"/>
              <w:rPr>
                <w:b/>
                <w:lang w:eastAsia="en-US"/>
              </w:rPr>
            </w:pPr>
            <w:r>
              <w:rPr>
                <w:b/>
                <w:lang w:eastAsia="en-US"/>
              </w:rPr>
              <w:t>Polygonaceae</w:t>
            </w:r>
          </w:p>
        </w:tc>
        <w:tc>
          <w:tcPr>
            <w:tcW w:w="1153" w:type="dxa"/>
            <w:noWrap/>
            <w:vAlign w:val="center"/>
          </w:tcPr>
          <w:p w14:paraId="02739219">
            <w:pPr>
              <w:pStyle w:val="179"/>
              <w:widowControl w:val="0"/>
              <w:autoSpaceDE w:val="0"/>
              <w:autoSpaceDN w:val="0"/>
              <w:rPr>
                <w:b/>
                <w:lang w:eastAsia="en-US"/>
              </w:rPr>
            </w:pPr>
          </w:p>
        </w:tc>
      </w:tr>
      <w:tr w14:paraId="5627552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32EEF90C">
            <w:pPr>
              <w:pStyle w:val="179"/>
              <w:widowControl w:val="0"/>
              <w:autoSpaceDE w:val="0"/>
              <w:autoSpaceDN w:val="0"/>
              <w:rPr>
                <w:lang w:eastAsia="en-US"/>
              </w:rPr>
            </w:pPr>
            <w:r>
              <w:rPr>
                <w:rFonts w:hint="eastAsia"/>
                <w:lang w:eastAsia="en-US"/>
              </w:rPr>
              <w:t>12</w:t>
            </w:r>
          </w:p>
        </w:tc>
        <w:tc>
          <w:tcPr>
            <w:tcW w:w="1840" w:type="dxa"/>
            <w:noWrap/>
            <w:vAlign w:val="center"/>
          </w:tcPr>
          <w:p w14:paraId="20334D7D">
            <w:pPr>
              <w:pStyle w:val="179"/>
              <w:widowControl w:val="0"/>
              <w:autoSpaceDE w:val="0"/>
              <w:autoSpaceDN w:val="0"/>
              <w:rPr>
                <w:lang w:eastAsia="en-US"/>
              </w:rPr>
            </w:pPr>
            <w:r>
              <w:rPr>
                <w:lang w:eastAsia="en-US"/>
              </w:rPr>
              <w:t>萹蓄</w:t>
            </w:r>
          </w:p>
        </w:tc>
        <w:tc>
          <w:tcPr>
            <w:tcW w:w="4755" w:type="dxa"/>
            <w:noWrap/>
            <w:vAlign w:val="center"/>
          </w:tcPr>
          <w:p w14:paraId="77EDBF86">
            <w:pPr>
              <w:pStyle w:val="179"/>
              <w:widowControl w:val="0"/>
              <w:autoSpaceDE w:val="0"/>
              <w:autoSpaceDN w:val="0"/>
              <w:rPr>
                <w:lang w:eastAsia="en-US"/>
              </w:rPr>
            </w:pPr>
            <w:r>
              <w:rPr>
                <w:i/>
                <w:iCs/>
                <w:lang w:eastAsia="en-US"/>
              </w:rPr>
              <w:t>Polygonum aviculare L</w:t>
            </w:r>
          </w:p>
        </w:tc>
        <w:tc>
          <w:tcPr>
            <w:tcW w:w="1153" w:type="dxa"/>
            <w:noWrap/>
            <w:vAlign w:val="center"/>
          </w:tcPr>
          <w:p w14:paraId="15428C7C">
            <w:pPr>
              <w:pStyle w:val="179"/>
              <w:widowControl w:val="0"/>
              <w:autoSpaceDE w:val="0"/>
              <w:autoSpaceDN w:val="0"/>
              <w:rPr>
                <w:lang w:eastAsia="en-US"/>
              </w:rPr>
            </w:pPr>
          </w:p>
        </w:tc>
      </w:tr>
      <w:tr w14:paraId="5D25365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67975332">
            <w:pPr>
              <w:pStyle w:val="179"/>
              <w:widowControl w:val="0"/>
              <w:autoSpaceDE w:val="0"/>
              <w:autoSpaceDN w:val="0"/>
              <w:rPr>
                <w:lang w:eastAsia="en-US"/>
              </w:rPr>
            </w:pPr>
            <w:r>
              <w:rPr>
                <w:lang w:eastAsia="en-US"/>
              </w:rPr>
              <w:t>1</w:t>
            </w:r>
            <w:r>
              <w:rPr>
                <w:rFonts w:hint="eastAsia"/>
                <w:lang w:eastAsia="en-US"/>
              </w:rPr>
              <w:t>3</w:t>
            </w:r>
          </w:p>
        </w:tc>
        <w:tc>
          <w:tcPr>
            <w:tcW w:w="1840" w:type="dxa"/>
            <w:noWrap/>
            <w:vAlign w:val="center"/>
          </w:tcPr>
          <w:p w14:paraId="11A2E50F">
            <w:pPr>
              <w:pStyle w:val="179"/>
              <w:widowControl w:val="0"/>
              <w:autoSpaceDE w:val="0"/>
              <w:autoSpaceDN w:val="0"/>
              <w:rPr>
                <w:lang w:eastAsia="en-US"/>
              </w:rPr>
            </w:pPr>
            <w:r>
              <w:rPr>
                <w:lang w:eastAsia="en-US"/>
              </w:rPr>
              <w:t>绵毛酸模叶蓼</w:t>
            </w:r>
          </w:p>
        </w:tc>
        <w:tc>
          <w:tcPr>
            <w:tcW w:w="4755" w:type="dxa"/>
            <w:noWrap/>
            <w:vAlign w:val="center"/>
          </w:tcPr>
          <w:p w14:paraId="58D76A04">
            <w:pPr>
              <w:pStyle w:val="179"/>
              <w:widowControl w:val="0"/>
              <w:autoSpaceDE w:val="0"/>
              <w:autoSpaceDN w:val="0"/>
              <w:rPr>
                <w:lang w:eastAsia="en-US"/>
              </w:rPr>
            </w:pPr>
            <w:r>
              <w:rPr>
                <w:i/>
                <w:iCs/>
                <w:lang w:eastAsia="en-US"/>
              </w:rPr>
              <w:t>Persicaria lapathifoliavar.Salicifolia</w:t>
            </w:r>
            <w:r>
              <w:rPr>
                <w:rFonts w:hint="eastAsia"/>
                <w:i/>
                <w:iCs/>
                <w:lang w:eastAsia="en-US"/>
              </w:rPr>
              <w:t>（</w:t>
            </w:r>
            <w:r>
              <w:rPr>
                <w:i/>
                <w:iCs/>
                <w:lang w:eastAsia="en-US"/>
              </w:rPr>
              <w:t>Sibth.</w:t>
            </w:r>
            <w:r>
              <w:rPr>
                <w:rFonts w:hint="eastAsia"/>
                <w:i/>
                <w:iCs/>
                <w:lang w:eastAsia="en-US"/>
              </w:rPr>
              <w:t>）</w:t>
            </w:r>
            <w:r>
              <w:rPr>
                <w:i/>
                <w:iCs/>
                <w:lang w:eastAsia="en-US"/>
              </w:rPr>
              <w:t xml:space="preserve"> Miyabe</w:t>
            </w:r>
          </w:p>
        </w:tc>
        <w:tc>
          <w:tcPr>
            <w:tcW w:w="1153" w:type="dxa"/>
            <w:noWrap/>
            <w:vAlign w:val="center"/>
          </w:tcPr>
          <w:p w14:paraId="35EEB508">
            <w:pPr>
              <w:pStyle w:val="179"/>
              <w:widowControl w:val="0"/>
              <w:autoSpaceDE w:val="0"/>
              <w:autoSpaceDN w:val="0"/>
              <w:rPr>
                <w:lang w:eastAsia="en-US"/>
              </w:rPr>
            </w:pPr>
          </w:p>
        </w:tc>
      </w:tr>
      <w:tr w14:paraId="10EDA09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1B87A2D8">
            <w:pPr>
              <w:pStyle w:val="179"/>
              <w:widowControl w:val="0"/>
              <w:autoSpaceDE w:val="0"/>
              <w:autoSpaceDN w:val="0"/>
              <w:rPr>
                <w:b/>
                <w:lang w:eastAsia="en-US"/>
              </w:rPr>
            </w:pPr>
            <w:r>
              <w:rPr>
                <w:rFonts w:hint="eastAsia"/>
                <w:b/>
                <w:lang w:eastAsia="en-US"/>
              </w:rPr>
              <w:t>十</w:t>
            </w:r>
          </w:p>
        </w:tc>
        <w:tc>
          <w:tcPr>
            <w:tcW w:w="1840" w:type="dxa"/>
            <w:noWrap/>
            <w:vAlign w:val="center"/>
          </w:tcPr>
          <w:p w14:paraId="605D5AF3">
            <w:pPr>
              <w:pStyle w:val="179"/>
              <w:widowControl w:val="0"/>
              <w:autoSpaceDE w:val="0"/>
              <w:autoSpaceDN w:val="0"/>
              <w:rPr>
                <w:b/>
                <w:lang w:eastAsia="en-US"/>
              </w:rPr>
            </w:pPr>
            <w:r>
              <w:rPr>
                <w:b/>
                <w:lang w:eastAsia="en-US"/>
              </w:rPr>
              <w:t>马齿苋科</w:t>
            </w:r>
          </w:p>
        </w:tc>
        <w:tc>
          <w:tcPr>
            <w:tcW w:w="4755" w:type="dxa"/>
            <w:noWrap/>
            <w:vAlign w:val="center"/>
          </w:tcPr>
          <w:p w14:paraId="23B0E21F">
            <w:pPr>
              <w:pStyle w:val="179"/>
              <w:widowControl w:val="0"/>
              <w:autoSpaceDE w:val="0"/>
              <w:autoSpaceDN w:val="0"/>
              <w:rPr>
                <w:b/>
                <w:lang w:eastAsia="en-US"/>
              </w:rPr>
            </w:pPr>
            <w:r>
              <w:rPr>
                <w:b/>
                <w:lang w:eastAsia="en-US"/>
              </w:rPr>
              <w:t>Portulacaceae Juss.</w:t>
            </w:r>
          </w:p>
        </w:tc>
        <w:tc>
          <w:tcPr>
            <w:tcW w:w="1153" w:type="dxa"/>
            <w:noWrap/>
            <w:vAlign w:val="center"/>
          </w:tcPr>
          <w:p w14:paraId="091F6652">
            <w:pPr>
              <w:pStyle w:val="179"/>
              <w:widowControl w:val="0"/>
              <w:autoSpaceDE w:val="0"/>
              <w:autoSpaceDN w:val="0"/>
              <w:rPr>
                <w:b/>
                <w:lang w:eastAsia="en-US"/>
              </w:rPr>
            </w:pPr>
          </w:p>
        </w:tc>
      </w:tr>
      <w:tr w14:paraId="7184C3B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7A40989D">
            <w:pPr>
              <w:pStyle w:val="179"/>
              <w:widowControl w:val="0"/>
              <w:autoSpaceDE w:val="0"/>
              <w:autoSpaceDN w:val="0"/>
              <w:rPr>
                <w:lang w:eastAsia="en-US"/>
              </w:rPr>
            </w:pPr>
            <w:r>
              <w:rPr>
                <w:lang w:eastAsia="en-US"/>
              </w:rPr>
              <w:t>1</w:t>
            </w:r>
            <w:r>
              <w:rPr>
                <w:rFonts w:hint="eastAsia"/>
                <w:lang w:eastAsia="en-US"/>
              </w:rPr>
              <w:t>4</w:t>
            </w:r>
          </w:p>
        </w:tc>
        <w:tc>
          <w:tcPr>
            <w:tcW w:w="1840" w:type="dxa"/>
            <w:noWrap/>
            <w:vAlign w:val="center"/>
          </w:tcPr>
          <w:p w14:paraId="2BA124A4">
            <w:pPr>
              <w:pStyle w:val="179"/>
              <w:widowControl w:val="0"/>
              <w:autoSpaceDE w:val="0"/>
              <w:autoSpaceDN w:val="0"/>
              <w:rPr>
                <w:lang w:eastAsia="en-US"/>
              </w:rPr>
            </w:pPr>
            <w:r>
              <w:rPr>
                <w:lang w:eastAsia="en-US"/>
              </w:rPr>
              <w:t>马齿苋</w:t>
            </w:r>
          </w:p>
        </w:tc>
        <w:tc>
          <w:tcPr>
            <w:tcW w:w="4755" w:type="dxa"/>
            <w:noWrap/>
            <w:vAlign w:val="center"/>
          </w:tcPr>
          <w:p w14:paraId="1B8CFF48">
            <w:pPr>
              <w:pStyle w:val="179"/>
              <w:widowControl w:val="0"/>
              <w:autoSpaceDE w:val="0"/>
              <w:autoSpaceDN w:val="0"/>
              <w:rPr>
                <w:lang w:eastAsia="en-US"/>
              </w:rPr>
            </w:pPr>
            <w:r>
              <w:rPr>
                <w:i/>
                <w:iCs/>
                <w:lang w:eastAsia="en-US"/>
              </w:rPr>
              <w:t>Portulaca oleraceaL.</w:t>
            </w:r>
          </w:p>
        </w:tc>
        <w:tc>
          <w:tcPr>
            <w:tcW w:w="1153" w:type="dxa"/>
            <w:noWrap/>
            <w:vAlign w:val="center"/>
          </w:tcPr>
          <w:p w14:paraId="311766F4">
            <w:pPr>
              <w:pStyle w:val="179"/>
              <w:widowControl w:val="0"/>
              <w:autoSpaceDE w:val="0"/>
              <w:autoSpaceDN w:val="0"/>
              <w:rPr>
                <w:lang w:eastAsia="en-US"/>
              </w:rPr>
            </w:pPr>
          </w:p>
        </w:tc>
      </w:tr>
      <w:tr w14:paraId="201C28C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0668E25A">
            <w:pPr>
              <w:pStyle w:val="179"/>
              <w:widowControl w:val="0"/>
              <w:autoSpaceDE w:val="0"/>
              <w:autoSpaceDN w:val="0"/>
              <w:rPr>
                <w:b/>
                <w:lang w:eastAsia="en-US"/>
              </w:rPr>
            </w:pPr>
            <w:r>
              <w:rPr>
                <w:b/>
                <w:lang w:eastAsia="en-US"/>
              </w:rPr>
              <w:t>十</w:t>
            </w:r>
            <w:r>
              <w:rPr>
                <w:rFonts w:hint="eastAsia"/>
                <w:b/>
                <w:lang w:eastAsia="en-US"/>
              </w:rPr>
              <w:t>一</w:t>
            </w:r>
          </w:p>
        </w:tc>
        <w:tc>
          <w:tcPr>
            <w:tcW w:w="1840" w:type="dxa"/>
            <w:noWrap/>
            <w:vAlign w:val="center"/>
          </w:tcPr>
          <w:p w14:paraId="2B2A0E99">
            <w:pPr>
              <w:pStyle w:val="179"/>
              <w:widowControl w:val="0"/>
              <w:autoSpaceDE w:val="0"/>
              <w:autoSpaceDN w:val="0"/>
              <w:rPr>
                <w:b/>
                <w:lang w:eastAsia="en-US"/>
              </w:rPr>
            </w:pPr>
            <w:r>
              <w:rPr>
                <w:b/>
                <w:lang w:eastAsia="en-US"/>
              </w:rPr>
              <w:t>石竹科</w:t>
            </w:r>
          </w:p>
        </w:tc>
        <w:tc>
          <w:tcPr>
            <w:tcW w:w="4755" w:type="dxa"/>
            <w:noWrap/>
            <w:vAlign w:val="center"/>
          </w:tcPr>
          <w:p w14:paraId="3C139139">
            <w:pPr>
              <w:pStyle w:val="179"/>
              <w:widowControl w:val="0"/>
              <w:autoSpaceDE w:val="0"/>
              <w:autoSpaceDN w:val="0"/>
              <w:rPr>
                <w:b/>
                <w:lang w:eastAsia="en-US"/>
              </w:rPr>
            </w:pPr>
            <w:r>
              <w:rPr>
                <w:b/>
                <w:lang w:eastAsia="en-US"/>
              </w:rPr>
              <w:t>CaryophyllaceaeJuss.</w:t>
            </w:r>
          </w:p>
        </w:tc>
        <w:tc>
          <w:tcPr>
            <w:tcW w:w="1153" w:type="dxa"/>
            <w:noWrap/>
            <w:vAlign w:val="center"/>
          </w:tcPr>
          <w:p w14:paraId="3FF8713D">
            <w:pPr>
              <w:pStyle w:val="179"/>
              <w:widowControl w:val="0"/>
              <w:autoSpaceDE w:val="0"/>
              <w:autoSpaceDN w:val="0"/>
              <w:rPr>
                <w:b/>
                <w:lang w:eastAsia="en-US"/>
              </w:rPr>
            </w:pPr>
          </w:p>
        </w:tc>
      </w:tr>
      <w:tr w14:paraId="495F043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53C71B7F">
            <w:pPr>
              <w:pStyle w:val="179"/>
              <w:widowControl w:val="0"/>
              <w:autoSpaceDE w:val="0"/>
              <w:autoSpaceDN w:val="0"/>
              <w:rPr>
                <w:lang w:eastAsia="en-US"/>
              </w:rPr>
            </w:pPr>
            <w:r>
              <w:rPr>
                <w:lang w:eastAsia="en-US"/>
              </w:rPr>
              <w:t>1</w:t>
            </w:r>
            <w:r>
              <w:rPr>
                <w:rFonts w:hint="eastAsia"/>
                <w:lang w:eastAsia="en-US"/>
              </w:rPr>
              <w:t>5</w:t>
            </w:r>
          </w:p>
        </w:tc>
        <w:tc>
          <w:tcPr>
            <w:tcW w:w="1840" w:type="dxa"/>
            <w:noWrap/>
            <w:vAlign w:val="center"/>
          </w:tcPr>
          <w:p w14:paraId="4F7BD791">
            <w:pPr>
              <w:pStyle w:val="179"/>
              <w:widowControl w:val="0"/>
              <w:autoSpaceDE w:val="0"/>
              <w:autoSpaceDN w:val="0"/>
              <w:rPr>
                <w:lang w:eastAsia="en-US"/>
              </w:rPr>
            </w:pPr>
            <w:r>
              <w:rPr>
                <w:lang w:eastAsia="en-US"/>
              </w:rPr>
              <w:t>繁缕</w:t>
            </w:r>
          </w:p>
        </w:tc>
        <w:tc>
          <w:tcPr>
            <w:tcW w:w="4755" w:type="dxa"/>
            <w:noWrap/>
            <w:vAlign w:val="center"/>
          </w:tcPr>
          <w:p w14:paraId="1F364162">
            <w:pPr>
              <w:pStyle w:val="179"/>
              <w:widowControl w:val="0"/>
              <w:autoSpaceDE w:val="0"/>
              <w:autoSpaceDN w:val="0"/>
              <w:rPr>
                <w:lang w:eastAsia="en-US"/>
              </w:rPr>
            </w:pPr>
            <w:r>
              <w:rPr>
                <w:i/>
                <w:iCs/>
                <w:lang w:eastAsia="en-US"/>
              </w:rPr>
              <w:t>Stellaria media</w:t>
            </w:r>
            <w:r>
              <w:rPr>
                <w:rFonts w:hint="eastAsia"/>
                <w:i/>
                <w:iCs/>
                <w:lang w:eastAsia="en-US"/>
              </w:rPr>
              <w:t>（</w:t>
            </w:r>
            <w:r>
              <w:rPr>
                <w:i/>
                <w:iCs/>
                <w:lang w:eastAsia="en-US"/>
              </w:rPr>
              <w:t>L.</w:t>
            </w:r>
            <w:r>
              <w:rPr>
                <w:rFonts w:hint="eastAsia"/>
                <w:i/>
                <w:iCs/>
                <w:lang w:eastAsia="en-US"/>
              </w:rPr>
              <w:t>）</w:t>
            </w:r>
            <w:r>
              <w:rPr>
                <w:i/>
                <w:iCs/>
                <w:lang w:eastAsia="en-US"/>
              </w:rPr>
              <w:t xml:space="preserve"> Vill.</w:t>
            </w:r>
          </w:p>
        </w:tc>
        <w:tc>
          <w:tcPr>
            <w:tcW w:w="1153" w:type="dxa"/>
            <w:noWrap/>
            <w:vAlign w:val="center"/>
          </w:tcPr>
          <w:p w14:paraId="3F67F382">
            <w:pPr>
              <w:pStyle w:val="179"/>
              <w:widowControl w:val="0"/>
              <w:autoSpaceDE w:val="0"/>
              <w:autoSpaceDN w:val="0"/>
              <w:rPr>
                <w:lang w:eastAsia="en-US"/>
              </w:rPr>
            </w:pPr>
          </w:p>
        </w:tc>
      </w:tr>
      <w:tr w14:paraId="6564303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04338A62">
            <w:pPr>
              <w:pStyle w:val="179"/>
              <w:widowControl w:val="0"/>
              <w:autoSpaceDE w:val="0"/>
              <w:autoSpaceDN w:val="0"/>
              <w:rPr>
                <w:b/>
                <w:lang w:eastAsia="en-US"/>
              </w:rPr>
            </w:pPr>
            <w:r>
              <w:rPr>
                <w:b/>
                <w:lang w:eastAsia="en-US"/>
              </w:rPr>
              <w:t>十</w:t>
            </w:r>
            <w:r>
              <w:rPr>
                <w:rFonts w:hint="eastAsia"/>
                <w:b/>
                <w:lang w:eastAsia="en-US"/>
              </w:rPr>
              <w:t>二</w:t>
            </w:r>
          </w:p>
        </w:tc>
        <w:tc>
          <w:tcPr>
            <w:tcW w:w="1840" w:type="dxa"/>
            <w:noWrap/>
            <w:vAlign w:val="center"/>
          </w:tcPr>
          <w:p w14:paraId="25AB140B">
            <w:pPr>
              <w:pStyle w:val="179"/>
              <w:widowControl w:val="0"/>
              <w:autoSpaceDE w:val="0"/>
              <w:autoSpaceDN w:val="0"/>
              <w:rPr>
                <w:b/>
                <w:lang w:eastAsia="en-US"/>
              </w:rPr>
            </w:pPr>
            <w:r>
              <w:rPr>
                <w:b/>
                <w:lang w:eastAsia="en-US"/>
              </w:rPr>
              <w:t>藜科</w:t>
            </w:r>
          </w:p>
        </w:tc>
        <w:tc>
          <w:tcPr>
            <w:tcW w:w="4755" w:type="dxa"/>
            <w:noWrap/>
            <w:vAlign w:val="center"/>
          </w:tcPr>
          <w:p w14:paraId="0CC598F2">
            <w:pPr>
              <w:pStyle w:val="179"/>
              <w:widowControl w:val="0"/>
              <w:autoSpaceDE w:val="0"/>
              <w:autoSpaceDN w:val="0"/>
              <w:rPr>
                <w:b/>
                <w:lang w:eastAsia="en-US"/>
              </w:rPr>
            </w:pPr>
            <w:r>
              <w:rPr>
                <w:b/>
                <w:lang w:eastAsia="en-US"/>
              </w:rPr>
              <w:t>Chenopodiaceae</w:t>
            </w:r>
          </w:p>
        </w:tc>
        <w:tc>
          <w:tcPr>
            <w:tcW w:w="1153" w:type="dxa"/>
            <w:noWrap/>
            <w:vAlign w:val="center"/>
          </w:tcPr>
          <w:p w14:paraId="15063F25">
            <w:pPr>
              <w:pStyle w:val="179"/>
              <w:widowControl w:val="0"/>
              <w:autoSpaceDE w:val="0"/>
              <w:autoSpaceDN w:val="0"/>
              <w:rPr>
                <w:b/>
                <w:lang w:eastAsia="en-US"/>
              </w:rPr>
            </w:pPr>
          </w:p>
        </w:tc>
      </w:tr>
      <w:tr w14:paraId="06BA282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3913905C">
            <w:pPr>
              <w:pStyle w:val="179"/>
              <w:widowControl w:val="0"/>
              <w:autoSpaceDE w:val="0"/>
              <w:autoSpaceDN w:val="0"/>
              <w:rPr>
                <w:lang w:eastAsia="en-US"/>
              </w:rPr>
            </w:pPr>
            <w:r>
              <w:rPr>
                <w:lang w:eastAsia="en-US"/>
              </w:rPr>
              <w:t>1</w:t>
            </w:r>
            <w:r>
              <w:rPr>
                <w:rFonts w:hint="eastAsia"/>
                <w:lang w:eastAsia="en-US"/>
              </w:rPr>
              <w:t>6</w:t>
            </w:r>
          </w:p>
        </w:tc>
        <w:tc>
          <w:tcPr>
            <w:tcW w:w="1840" w:type="dxa"/>
            <w:noWrap/>
            <w:vAlign w:val="center"/>
          </w:tcPr>
          <w:p w14:paraId="2992017B">
            <w:pPr>
              <w:pStyle w:val="179"/>
              <w:widowControl w:val="0"/>
              <w:autoSpaceDE w:val="0"/>
              <w:autoSpaceDN w:val="0"/>
              <w:rPr>
                <w:lang w:eastAsia="en-US"/>
              </w:rPr>
            </w:pPr>
            <w:r>
              <w:rPr>
                <w:lang w:eastAsia="en-US"/>
              </w:rPr>
              <w:t>藜</w:t>
            </w:r>
          </w:p>
        </w:tc>
        <w:tc>
          <w:tcPr>
            <w:tcW w:w="4755" w:type="dxa"/>
            <w:noWrap/>
            <w:vAlign w:val="center"/>
          </w:tcPr>
          <w:p w14:paraId="3B139CCF">
            <w:pPr>
              <w:pStyle w:val="179"/>
              <w:widowControl w:val="0"/>
              <w:autoSpaceDE w:val="0"/>
              <w:autoSpaceDN w:val="0"/>
              <w:rPr>
                <w:i/>
                <w:iCs/>
                <w:lang w:eastAsia="en-US"/>
              </w:rPr>
            </w:pPr>
            <w:r>
              <w:rPr>
                <w:i/>
                <w:iCs/>
                <w:lang w:eastAsia="en-US"/>
              </w:rPr>
              <w:t>Chenopodium albumL.</w:t>
            </w:r>
          </w:p>
        </w:tc>
        <w:tc>
          <w:tcPr>
            <w:tcW w:w="1153" w:type="dxa"/>
            <w:noWrap/>
            <w:vAlign w:val="center"/>
          </w:tcPr>
          <w:p w14:paraId="31DA94A7">
            <w:pPr>
              <w:pStyle w:val="179"/>
              <w:widowControl w:val="0"/>
              <w:autoSpaceDE w:val="0"/>
              <w:autoSpaceDN w:val="0"/>
              <w:rPr>
                <w:lang w:eastAsia="en-US"/>
              </w:rPr>
            </w:pPr>
          </w:p>
        </w:tc>
      </w:tr>
      <w:tr w14:paraId="7A31FBF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shd w:val="clear" w:color="auto" w:fill="auto"/>
            <w:noWrap/>
            <w:vAlign w:val="center"/>
          </w:tcPr>
          <w:p w14:paraId="036097C8">
            <w:pPr>
              <w:pStyle w:val="179"/>
              <w:widowControl w:val="0"/>
              <w:autoSpaceDE w:val="0"/>
              <w:autoSpaceDN w:val="0"/>
              <w:rPr>
                <w:lang w:eastAsia="en-US"/>
              </w:rPr>
            </w:pPr>
            <w:r>
              <w:rPr>
                <w:rFonts w:hint="eastAsia"/>
                <w:lang w:eastAsia="en-US"/>
              </w:rPr>
              <w:t>17</w:t>
            </w:r>
          </w:p>
        </w:tc>
        <w:tc>
          <w:tcPr>
            <w:tcW w:w="1840" w:type="dxa"/>
            <w:shd w:val="clear" w:color="auto" w:fill="auto"/>
            <w:noWrap/>
            <w:vAlign w:val="center"/>
          </w:tcPr>
          <w:p w14:paraId="0479DA8B">
            <w:pPr>
              <w:pStyle w:val="179"/>
              <w:widowControl w:val="0"/>
              <w:autoSpaceDE w:val="0"/>
              <w:autoSpaceDN w:val="0"/>
              <w:rPr>
                <w:lang w:eastAsia="en-US"/>
              </w:rPr>
            </w:pPr>
            <w:r>
              <w:rPr>
                <w:lang w:eastAsia="en-US"/>
              </w:rPr>
              <w:t>扫帚草</w:t>
            </w:r>
          </w:p>
        </w:tc>
        <w:tc>
          <w:tcPr>
            <w:tcW w:w="4755" w:type="dxa"/>
            <w:shd w:val="clear" w:color="auto" w:fill="auto"/>
            <w:noWrap/>
            <w:vAlign w:val="center"/>
          </w:tcPr>
          <w:p w14:paraId="12338EA0">
            <w:pPr>
              <w:pStyle w:val="179"/>
              <w:widowControl w:val="0"/>
              <w:autoSpaceDE w:val="0"/>
              <w:autoSpaceDN w:val="0"/>
              <w:rPr>
                <w:i/>
                <w:iCs/>
                <w:lang w:eastAsia="en-US"/>
              </w:rPr>
            </w:pPr>
            <w:r>
              <w:rPr>
                <w:i/>
                <w:iCs/>
                <w:lang w:eastAsia="en-US"/>
              </w:rPr>
              <w:t>Kochia scoparia</w:t>
            </w:r>
          </w:p>
        </w:tc>
        <w:tc>
          <w:tcPr>
            <w:tcW w:w="1153" w:type="dxa"/>
            <w:noWrap/>
            <w:vAlign w:val="center"/>
          </w:tcPr>
          <w:p w14:paraId="75812097">
            <w:pPr>
              <w:pStyle w:val="179"/>
              <w:widowControl w:val="0"/>
              <w:autoSpaceDE w:val="0"/>
              <w:autoSpaceDN w:val="0"/>
              <w:rPr>
                <w:lang w:eastAsia="en-US"/>
              </w:rPr>
            </w:pPr>
          </w:p>
        </w:tc>
      </w:tr>
      <w:tr w14:paraId="5B82FD5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7B3471C1">
            <w:pPr>
              <w:pStyle w:val="179"/>
              <w:widowControl w:val="0"/>
              <w:autoSpaceDE w:val="0"/>
              <w:autoSpaceDN w:val="0"/>
              <w:rPr>
                <w:b/>
                <w:lang w:eastAsia="en-US"/>
              </w:rPr>
            </w:pPr>
            <w:r>
              <w:rPr>
                <w:rFonts w:hint="eastAsia"/>
                <w:b/>
                <w:lang w:eastAsia="en-US"/>
              </w:rPr>
              <w:t>十三</w:t>
            </w:r>
          </w:p>
        </w:tc>
        <w:tc>
          <w:tcPr>
            <w:tcW w:w="1840" w:type="dxa"/>
            <w:noWrap/>
            <w:vAlign w:val="center"/>
          </w:tcPr>
          <w:p w14:paraId="2021E072">
            <w:pPr>
              <w:pStyle w:val="179"/>
              <w:widowControl w:val="0"/>
              <w:autoSpaceDE w:val="0"/>
              <w:autoSpaceDN w:val="0"/>
              <w:rPr>
                <w:b/>
                <w:lang w:eastAsia="en-US"/>
              </w:rPr>
            </w:pPr>
            <w:r>
              <w:rPr>
                <w:rFonts w:hint="eastAsia"/>
                <w:b/>
                <w:lang w:eastAsia="en-US"/>
              </w:rPr>
              <w:t>毛茛科</w:t>
            </w:r>
          </w:p>
        </w:tc>
        <w:tc>
          <w:tcPr>
            <w:tcW w:w="4755" w:type="dxa"/>
            <w:noWrap/>
            <w:vAlign w:val="center"/>
          </w:tcPr>
          <w:p w14:paraId="10C79740">
            <w:pPr>
              <w:pStyle w:val="179"/>
              <w:widowControl w:val="0"/>
              <w:autoSpaceDE w:val="0"/>
              <w:autoSpaceDN w:val="0"/>
              <w:rPr>
                <w:b/>
                <w:lang w:eastAsia="en-US"/>
              </w:rPr>
            </w:pPr>
            <w:r>
              <w:rPr>
                <w:b/>
                <w:lang w:eastAsia="en-US"/>
              </w:rPr>
              <w:t>Ranunculaceae</w:t>
            </w:r>
          </w:p>
        </w:tc>
        <w:tc>
          <w:tcPr>
            <w:tcW w:w="1153" w:type="dxa"/>
            <w:noWrap/>
            <w:vAlign w:val="center"/>
          </w:tcPr>
          <w:p w14:paraId="6BDE5C04">
            <w:pPr>
              <w:pStyle w:val="179"/>
              <w:widowControl w:val="0"/>
              <w:autoSpaceDE w:val="0"/>
              <w:autoSpaceDN w:val="0"/>
              <w:rPr>
                <w:lang w:eastAsia="en-US"/>
              </w:rPr>
            </w:pPr>
          </w:p>
        </w:tc>
      </w:tr>
      <w:tr w14:paraId="799A4BE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67E43EEA">
            <w:pPr>
              <w:pStyle w:val="179"/>
              <w:widowControl w:val="0"/>
              <w:autoSpaceDE w:val="0"/>
              <w:autoSpaceDN w:val="0"/>
              <w:rPr>
                <w:lang w:eastAsia="en-US"/>
              </w:rPr>
            </w:pPr>
            <w:r>
              <w:rPr>
                <w:rFonts w:hint="eastAsia"/>
                <w:lang w:eastAsia="en-US"/>
              </w:rPr>
              <w:t>18</w:t>
            </w:r>
          </w:p>
        </w:tc>
        <w:tc>
          <w:tcPr>
            <w:tcW w:w="1840" w:type="dxa"/>
            <w:noWrap/>
            <w:vAlign w:val="center"/>
          </w:tcPr>
          <w:p w14:paraId="4E4EF0BC">
            <w:pPr>
              <w:pStyle w:val="179"/>
              <w:widowControl w:val="0"/>
              <w:autoSpaceDE w:val="0"/>
              <w:autoSpaceDN w:val="0"/>
              <w:rPr>
                <w:lang w:eastAsia="en-US"/>
              </w:rPr>
            </w:pPr>
            <w:r>
              <w:rPr>
                <w:rFonts w:hint="eastAsia"/>
                <w:lang w:eastAsia="en-US"/>
              </w:rPr>
              <w:t>耧斗菜</w:t>
            </w:r>
          </w:p>
        </w:tc>
        <w:tc>
          <w:tcPr>
            <w:tcW w:w="4755" w:type="dxa"/>
            <w:noWrap/>
            <w:vAlign w:val="center"/>
          </w:tcPr>
          <w:p w14:paraId="7F2377CA">
            <w:pPr>
              <w:pStyle w:val="179"/>
              <w:widowControl w:val="0"/>
              <w:autoSpaceDE w:val="0"/>
              <w:autoSpaceDN w:val="0"/>
              <w:rPr>
                <w:i/>
                <w:iCs/>
                <w:lang w:eastAsia="en-US"/>
              </w:rPr>
            </w:pPr>
            <w:r>
              <w:rPr>
                <w:i/>
                <w:iCs/>
                <w:lang w:eastAsia="en-US"/>
              </w:rPr>
              <w:t>Aquilegia viridiflora</w:t>
            </w:r>
          </w:p>
        </w:tc>
        <w:tc>
          <w:tcPr>
            <w:tcW w:w="1153" w:type="dxa"/>
            <w:noWrap/>
            <w:vAlign w:val="center"/>
          </w:tcPr>
          <w:p w14:paraId="65BDF787">
            <w:pPr>
              <w:pStyle w:val="179"/>
              <w:widowControl w:val="0"/>
              <w:autoSpaceDE w:val="0"/>
              <w:autoSpaceDN w:val="0"/>
              <w:rPr>
                <w:lang w:eastAsia="en-US"/>
              </w:rPr>
            </w:pPr>
          </w:p>
        </w:tc>
      </w:tr>
      <w:tr w14:paraId="14DF34F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6A787CE7">
            <w:pPr>
              <w:pStyle w:val="179"/>
              <w:widowControl w:val="0"/>
              <w:autoSpaceDE w:val="0"/>
              <w:autoSpaceDN w:val="0"/>
              <w:rPr>
                <w:lang w:eastAsia="en-US"/>
              </w:rPr>
            </w:pPr>
            <w:r>
              <w:rPr>
                <w:rFonts w:hint="eastAsia"/>
                <w:lang w:eastAsia="en-US"/>
              </w:rPr>
              <w:t>19</w:t>
            </w:r>
          </w:p>
        </w:tc>
        <w:tc>
          <w:tcPr>
            <w:tcW w:w="1840" w:type="dxa"/>
            <w:noWrap/>
            <w:vAlign w:val="center"/>
          </w:tcPr>
          <w:p w14:paraId="4F5229FC">
            <w:pPr>
              <w:pStyle w:val="179"/>
              <w:widowControl w:val="0"/>
              <w:autoSpaceDE w:val="0"/>
              <w:autoSpaceDN w:val="0"/>
              <w:rPr>
                <w:lang w:eastAsia="en-US"/>
              </w:rPr>
            </w:pPr>
            <w:r>
              <w:rPr>
                <w:rFonts w:hint="eastAsia"/>
                <w:lang w:eastAsia="en-US"/>
              </w:rPr>
              <w:t>唐松草</w:t>
            </w:r>
          </w:p>
        </w:tc>
        <w:tc>
          <w:tcPr>
            <w:tcW w:w="4755" w:type="dxa"/>
            <w:noWrap/>
            <w:vAlign w:val="center"/>
          </w:tcPr>
          <w:p w14:paraId="6BB3A504">
            <w:pPr>
              <w:pStyle w:val="179"/>
              <w:widowControl w:val="0"/>
              <w:autoSpaceDE w:val="0"/>
              <w:autoSpaceDN w:val="0"/>
              <w:rPr>
                <w:i/>
                <w:iCs/>
                <w:lang w:eastAsia="en-US"/>
              </w:rPr>
            </w:pPr>
            <w:r>
              <w:rPr>
                <w:i/>
                <w:iCs/>
                <w:lang w:eastAsia="en-US"/>
              </w:rPr>
              <w:t>Thalictrum aquilegiifoliumvar. SibiricumLinnaeus</w:t>
            </w:r>
          </w:p>
        </w:tc>
        <w:tc>
          <w:tcPr>
            <w:tcW w:w="1153" w:type="dxa"/>
            <w:noWrap/>
            <w:vAlign w:val="center"/>
          </w:tcPr>
          <w:p w14:paraId="3A746A3B">
            <w:pPr>
              <w:pStyle w:val="179"/>
              <w:widowControl w:val="0"/>
              <w:autoSpaceDE w:val="0"/>
              <w:autoSpaceDN w:val="0"/>
              <w:rPr>
                <w:lang w:eastAsia="en-US"/>
              </w:rPr>
            </w:pPr>
          </w:p>
        </w:tc>
      </w:tr>
      <w:tr w14:paraId="517F114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5BFA70E2">
            <w:pPr>
              <w:pStyle w:val="179"/>
              <w:widowControl w:val="0"/>
              <w:autoSpaceDE w:val="0"/>
              <w:autoSpaceDN w:val="0"/>
              <w:rPr>
                <w:b/>
                <w:lang w:eastAsia="en-US"/>
              </w:rPr>
            </w:pPr>
            <w:r>
              <w:rPr>
                <w:rFonts w:hint="eastAsia"/>
                <w:b/>
                <w:lang w:eastAsia="en-US"/>
              </w:rPr>
              <w:t>十四</w:t>
            </w:r>
          </w:p>
        </w:tc>
        <w:tc>
          <w:tcPr>
            <w:tcW w:w="1840" w:type="dxa"/>
            <w:noWrap/>
            <w:vAlign w:val="center"/>
          </w:tcPr>
          <w:p w14:paraId="61F7D8EB">
            <w:pPr>
              <w:pStyle w:val="179"/>
              <w:widowControl w:val="0"/>
              <w:autoSpaceDE w:val="0"/>
              <w:autoSpaceDN w:val="0"/>
              <w:rPr>
                <w:b/>
                <w:lang w:eastAsia="en-US"/>
              </w:rPr>
            </w:pPr>
            <w:r>
              <w:rPr>
                <w:rFonts w:hint="eastAsia"/>
                <w:b/>
                <w:lang w:eastAsia="en-US"/>
              </w:rPr>
              <w:t>虎耳草科</w:t>
            </w:r>
          </w:p>
        </w:tc>
        <w:tc>
          <w:tcPr>
            <w:tcW w:w="4755" w:type="dxa"/>
            <w:noWrap/>
            <w:vAlign w:val="center"/>
          </w:tcPr>
          <w:p w14:paraId="7780631A">
            <w:pPr>
              <w:pStyle w:val="179"/>
              <w:widowControl w:val="0"/>
              <w:autoSpaceDE w:val="0"/>
              <w:autoSpaceDN w:val="0"/>
              <w:rPr>
                <w:b/>
                <w:lang w:eastAsia="en-US"/>
              </w:rPr>
            </w:pPr>
            <w:r>
              <w:rPr>
                <w:b/>
                <w:lang w:eastAsia="en-US"/>
              </w:rPr>
              <w:t>Saxifragaceae</w:t>
            </w:r>
          </w:p>
        </w:tc>
        <w:tc>
          <w:tcPr>
            <w:tcW w:w="1153" w:type="dxa"/>
            <w:noWrap/>
            <w:vAlign w:val="center"/>
          </w:tcPr>
          <w:p w14:paraId="2A679D05">
            <w:pPr>
              <w:pStyle w:val="179"/>
              <w:widowControl w:val="0"/>
              <w:autoSpaceDE w:val="0"/>
              <w:autoSpaceDN w:val="0"/>
              <w:rPr>
                <w:b/>
                <w:lang w:eastAsia="en-US"/>
              </w:rPr>
            </w:pPr>
          </w:p>
        </w:tc>
      </w:tr>
      <w:tr w14:paraId="553BB38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33C3EB7E">
            <w:pPr>
              <w:pStyle w:val="179"/>
              <w:widowControl w:val="0"/>
              <w:autoSpaceDE w:val="0"/>
              <w:autoSpaceDN w:val="0"/>
              <w:rPr>
                <w:lang w:eastAsia="en-US"/>
              </w:rPr>
            </w:pPr>
            <w:r>
              <w:rPr>
                <w:rFonts w:hint="eastAsia"/>
                <w:lang w:eastAsia="en-US"/>
              </w:rPr>
              <w:t>20</w:t>
            </w:r>
          </w:p>
        </w:tc>
        <w:tc>
          <w:tcPr>
            <w:tcW w:w="1840" w:type="dxa"/>
            <w:noWrap/>
            <w:vAlign w:val="center"/>
          </w:tcPr>
          <w:p w14:paraId="4D2E75C8">
            <w:pPr>
              <w:pStyle w:val="179"/>
              <w:widowControl w:val="0"/>
              <w:autoSpaceDE w:val="0"/>
              <w:autoSpaceDN w:val="0"/>
              <w:rPr>
                <w:lang w:eastAsia="en-US"/>
              </w:rPr>
            </w:pPr>
            <w:r>
              <w:rPr>
                <w:rFonts w:hint="eastAsia"/>
                <w:lang w:eastAsia="en-US"/>
              </w:rPr>
              <w:t>东北茶藨子</w:t>
            </w:r>
          </w:p>
        </w:tc>
        <w:tc>
          <w:tcPr>
            <w:tcW w:w="4755" w:type="dxa"/>
            <w:noWrap/>
            <w:vAlign w:val="center"/>
          </w:tcPr>
          <w:p w14:paraId="22F59DE6">
            <w:pPr>
              <w:pStyle w:val="179"/>
              <w:widowControl w:val="0"/>
              <w:autoSpaceDE w:val="0"/>
              <w:autoSpaceDN w:val="0"/>
              <w:rPr>
                <w:i/>
                <w:iCs/>
                <w:lang w:eastAsia="en-US"/>
              </w:rPr>
            </w:pPr>
            <w:r>
              <w:rPr>
                <w:i/>
                <w:iCs/>
                <w:lang w:eastAsia="en-US"/>
              </w:rPr>
              <w:t>R. mandshuricum</w:t>
            </w:r>
          </w:p>
        </w:tc>
        <w:tc>
          <w:tcPr>
            <w:tcW w:w="1153" w:type="dxa"/>
            <w:noWrap/>
            <w:vAlign w:val="center"/>
          </w:tcPr>
          <w:p w14:paraId="0EC22D8C">
            <w:pPr>
              <w:pStyle w:val="179"/>
              <w:widowControl w:val="0"/>
              <w:autoSpaceDE w:val="0"/>
              <w:autoSpaceDN w:val="0"/>
              <w:rPr>
                <w:lang w:eastAsia="en-US"/>
              </w:rPr>
            </w:pPr>
          </w:p>
        </w:tc>
      </w:tr>
      <w:tr w14:paraId="36C2E94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6F6AE900">
            <w:pPr>
              <w:pStyle w:val="179"/>
              <w:widowControl w:val="0"/>
              <w:autoSpaceDE w:val="0"/>
              <w:autoSpaceDN w:val="0"/>
              <w:rPr>
                <w:lang w:eastAsia="en-US"/>
              </w:rPr>
            </w:pPr>
            <w:r>
              <w:rPr>
                <w:rFonts w:hint="eastAsia"/>
                <w:lang w:eastAsia="en-US"/>
              </w:rPr>
              <w:t>21</w:t>
            </w:r>
          </w:p>
        </w:tc>
        <w:tc>
          <w:tcPr>
            <w:tcW w:w="1840" w:type="dxa"/>
            <w:noWrap/>
            <w:vAlign w:val="center"/>
          </w:tcPr>
          <w:p w14:paraId="427B9106">
            <w:pPr>
              <w:pStyle w:val="179"/>
              <w:widowControl w:val="0"/>
              <w:autoSpaceDE w:val="0"/>
              <w:autoSpaceDN w:val="0"/>
              <w:rPr>
                <w:lang w:eastAsia="en-US"/>
              </w:rPr>
            </w:pPr>
            <w:r>
              <w:rPr>
                <w:rFonts w:hint="eastAsia"/>
                <w:lang w:eastAsia="en-US"/>
              </w:rPr>
              <w:t>东北山梅花</w:t>
            </w:r>
          </w:p>
        </w:tc>
        <w:tc>
          <w:tcPr>
            <w:tcW w:w="4755" w:type="dxa"/>
            <w:noWrap/>
            <w:vAlign w:val="center"/>
          </w:tcPr>
          <w:p w14:paraId="6DB090F5">
            <w:pPr>
              <w:pStyle w:val="179"/>
              <w:widowControl w:val="0"/>
              <w:autoSpaceDE w:val="0"/>
              <w:autoSpaceDN w:val="0"/>
              <w:rPr>
                <w:i/>
                <w:iCs/>
                <w:lang w:eastAsia="en-US"/>
              </w:rPr>
            </w:pPr>
            <w:r>
              <w:rPr>
                <w:i/>
                <w:iCs/>
                <w:lang w:eastAsia="en-US"/>
              </w:rPr>
              <w:t>Philadelphus schrenkii</w:t>
            </w:r>
          </w:p>
        </w:tc>
        <w:tc>
          <w:tcPr>
            <w:tcW w:w="1153" w:type="dxa"/>
            <w:noWrap/>
            <w:vAlign w:val="center"/>
          </w:tcPr>
          <w:p w14:paraId="5E0890B0">
            <w:pPr>
              <w:pStyle w:val="179"/>
              <w:widowControl w:val="0"/>
              <w:autoSpaceDE w:val="0"/>
              <w:autoSpaceDN w:val="0"/>
              <w:rPr>
                <w:lang w:eastAsia="en-US"/>
              </w:rPr>
            </w:pPr>
          </w:p>
        </w:tc>
      </w:tr>
      <w:tr w14:paraId="4ABAA71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660D3290">
            <w:pPr>
              <w:pStyle w:val="179"/>
              <w:widowControl w:val="0"/>
              <w:autoSpaceDE w:val="0"/>
              <w:autoSpaceDN w:val="0"/>
              <w:rPr>
                <w:b/>
                <w:lang w:eastAsia="en-US"/>
              </w:rPr>
            </w:pPr>
            <w:r>
              <w:rPr>
                <w:rFonts w:hint="eastAsia"/>
                <w:b/>
                <w:lang w:eastAsia="en-US"/>
              </w:rPr>
              <w:t>十五</w:t>
            </w:r>
          </w:p>
        </w:tc>
        <w:tc>
          <w:tcPr>
            <w:tcW w:w="1840" w:type="dxa"/>
            <w:noWrap/>
            <w:vAlign w:val="center"/>
          </w:tcPr>
          <w:p w14:paraId="2DCB8722">
            <w:pPr>
              <w:pStyle w:val="179"/>
              <w:widowControl w:val="0"/>
              <w:autoSpaceDE w:val="0"/>
              <w:autoSpaceDN w:val="0"/>
              <w:rPr>
                <w:b/>
                <w:lang w:eastAsia="en-US"/>
              </w:rPr>
            </w:pPr>
            <w:r>
              <w:rPr>
                <w:b/>
                <w:lang w:eastAsia="en-US"/>
              </w:rPr>
              <w:t>蔷薇科</w:t>
            </w:r>
          </w:p>
        </w:tc>
        <w:tc>
          <w:tcPr>
            <w:tcW w:w="4755" w:type="dxa"/>
            <w:noWrap/>
            <w:vAlign w:val="center"/>
          </w:tcPr>
          <w:p w14:paraId="01174081">
            <w:pPr>
              <w:pStyle w:val="179"/>
              <w:widowControl w:val="0"/>
              <w:autoSpaceDE w:val="0"/>
              <w:autoSpaceDN w:val="0"/>
              <w:rPr>
                <w:b/>
                <w:lang w:eastAsia="en-US"/>
              </w:rPr>
            </w:pPr>
            <w:r>
              <w:rPr>
                <w:b/>
                <w:lang w:eastAsia="en-US"/>
              </w:rPr>
              <w:t>Rosaceae Juss.</w:t>
            </w:r>
          </w:p>
        </w:tc>
        <w:tc>
          <w:tcPr>
            <w:tcW w:w="1153" w:type="dxa"/>
            <w:noWrap/>
            <w:vAlign w:val="center"/>
          </w:tcPr>
          <w:p w14:paraId="3A738C44">
            <w:pPr>
              <w:pStyle w:val="179"/>
              <w:widowControl w:val="0"/>
              <w:autoSpaceDE w:val="0"/>
              <w:autoSpaceDN w:val="0"/>
              <w:rPr>
                <w:lang w:eastAsia="en-US"/>
              </w:rPr>
            </w:pPr>
          </w:p>
        </w:tc>
      </w:tr>
      <w:tr w14:paraId="354B952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46F0EA3C">
            <w:pPr>
              <w:pStyle w:val="179"/>
              <w:widowControl w:val="0"/>
              <w:autoSpaceDE w:val="0"/>
              <w:autoSpaceDN w:val="0"/>
              <w:rPr>
                <w:lang w:eastAsia="en-US"/>
              </w:rPr>
            </w:pPr>
            <w:r>
              <w:rPr>
                <w:rFonts w:hint="eastAsia"/>
                <w:lang w:eastAsia="en-US"/>
              </w:rPr>
              <w:t>22</w:t>
            </w:r>
          </w:p>
        </w:tc>
        <w:tc>
          <w:tcPr>
            <w:tcW w:w="1840" w:type="dxa"/>
            <w:noWrap/>
            <w:vAlign w:val="center"/>
          </w:tcPr>
          <w:p w14:paraId="2B7C523B">
            <w:pPr>
              <w:pStyle w:val="179"/>
              <w:widowControl w:val="0"/>
              <w:autoSpaceDE w:val="0"/>
              <w:autoSpaceDN w:val="0"/>
              <w:rPr>
                <w:lang w:eastAsia="en-US"/>
              </w:rPr>
            </w:pPr>
            <w:r>
              <w:rPr>
                <w:lang w:eastAsia="en-US"/>
              </w:rPr>
              <w:t>龙芽草</w:t>
            </w:r>
          </w:p>
        </w:tc>
        <w:tc>
          <w:tcPr>
            <w:tcW w:w="4755" w:type="dxa"/>
            <w:noWrap/>
            <w:vAlign w:val="center"/>
          </w:tcPr>
          <w:p w14:paraId="4F7D08AE">
            <w:pPr>
              <w:pStyle w:val="179"/>
              <w:widowControl w:val="0"/>
              <w:autoSpaceDE w:val="0"/>
              <w:autoSpaceDN w:val="0"/>
              <w:rPr>
                <w:i/>
                <w:iCs/>
                <w:lang w:eastAsia="en-US"/>
              </w:rPr>
            </w:pPr>
            <w:r>
              <w:rPr>
                <w:i/>
                <w:iCs/>
                <w:lang w:eastAsia="en-US"/>
              </w:rPr>
              <w:t>Agrimonia pilosaLedeb.</w:t>
            </w:r>
          </w:p>
        </w:tc>
        <w:tc>
          <w:tcPr>
            <w:tcW w:w="1153" w:type="dxa"/>
            <w:noWrap/>
            <w:vAlign w:val="center"/>
          </w:tcPr>
          <w:p w14:paraId="21C1B5F7">
            <w:pPr>
              <w:pStyle w:val="179"/>
              <w:widowControl w:val="0"/>
              <w:autoSpaceDE w:val="0"/>
              <w:autoSpaceDN w:val="0"/>
              <w:rPr>
                <w:lang w:eastAsia="en-US"/>
              </w:rPr>
            </w:pPr>
          </w:p>
        </w:tc>
      </w:tr>
      <w:tr w14:paraId="46505CE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4E953C4A">
            <w:pPr>
              <w:pStyle w:val="179"/>
              <w:widowControl w:val="0"/>
              <w:autoSpaceDE w:val="0"/>
              <w:autoSpaceDN w:val="0"/>
              <w:rPr>
                <w:lang w:eastAsia="en-US"/>
              </w:rPr>
            </w:pPr>
            <w:r>
              <w:rPr>
                <w:rFonts w:hint="eastAsia"/>
                <w:lang w:eastAsia="en-US"/>
              </w:rPr>
              <w:t>23</w:t>
            </w:r>
          </w:p>
        </w:tc>
        <w:tc>
          <w:tcPr>
            <w:tcW w:w="1840" w:type="dxa"/>
            <w:noWrap/>
            <w:vAlign w:val="center"/>
          </w:tcPr>
          <w:p w14:paraId="3641A3C2">
            <w:pPr>
              <w:pStyle w:val="179"/>
              <w:widowControl w:val="0"/>
              <w:autoSpaceDE w:val="0"/>
              <w:autoSpaceDN w:val="0"/>
              <w:rPr>
                <w:lang w:eastAsia="en-US"/>
              </w:rPr>
            </w:pPr>
            <w:r>
              <w:rPr>
                <w:rFonts w:hint="eastAsia"/>
                <w:lang w:eastAsia="en-US"/>
              </w:rPr>
              <w:t>库页悬钩子</w:t>
            </w:r>
          </w:p>
        </w:tc>
        <w:tc>
          <w:tcPr>
            <w:tcW w:w="4755" w:type="dxa"/>
            <w:noWrap/>
            <w:vAlign w:val="center"/>
          </w:tcPr>
          <w:p w14:paraId="0991FFE1">
            <w:pPr>
              <w:pStyle w:val="179"/>
              <w:widowControl w:val="0"/>
              <w:autoSpaceDE w:val="0"/>
              <w:autoSpaceDN w:val="0"/>
              <w:rPr>
                <w:i/>
                <w:iCs/>
                <w:lang w:eastAsia="en-US"/>
              </w:rPr>
            </w:pPr>
            <w:r>
              <w:rPr>
                <w:i/>
                <w:iCs/>
                <w:lang w:eastAsia="en-US"/>
              </w:rPr>
              <w:t>Rubus sachalinensisH. Lév.</w:t>
            </w:r>
          </w:p>
        </w:tc>
        <w:tc>
          <w:tcPr>
            <w:tcW w:w="1153" w:type="dxa"/>
            <w:noWrap/>
            <w:vAlign w:val="center"/>
          </w:tcPr>
          <w:p w14:paraId="0C45040A">
            <w:pPr>
              <w:pStyle w:val="179"/>
              <w:widowControl w:val="0"/>
              <w:autoSpaceDE w:val="0"/>
              <w:autoSpaceDN w:val="0"/>
              <w:rPr>
                <w:lang w:eastAsia="en-US"/>
              </w:rPr>
            </w:pPr>
          </w:p>
        </w:tc>
      </w:tr>
      <w:tr w14:paraId="2471194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6FE58798">
            <w:pPr>
              <w:pStyle w:val="179"/>
              <w:widowControl w:val="0"/>
              <w:autoSpaceDE w:val="0"/>
              <w:autoSpaceDN w:val="0"/>
              <w:rPr>
                <w:lang w:eastAsia="en-US"/>
              </w:rPr>
            </w:pPr>
            <w:r>
              <w:rPr>
                <w:rFonts w:hint="eastAsia"/>
                <w:lang w:eastAsia="en-US"/>
              </w:rPr>
              <w:t>24</w:t>
            </w:r>
          </w:p>
        </w:tc>
        <w:tc>
          <w:tcPr>
            <w:tcW w:w="1840" w:type="dxa"/>
            <w:noWrap/>
            <w:vAlign w:val="center"/>
          </w:tcPr>
          <w:p w14:paraId="4FDFAA83">
            <w:pPr>
              <w:pStyle w:val="179"/>
              <w:widowControl w:val="0"/>
              <w:autoSpaceDE w:val="0"/>
              <w:autoSpaceDN w:val="0"/>
              <w:rPr>
                <w:lang w:eastAsia="en-US"/>
              </w:rPr>
            </w:pPr>
            <w:r>
              <w:rPr>
                <w:lang w:eastAsia="en-US"/>
              </w:rPr>
              <w:t>三叶委陵菜</w:t>
            </w:r>
          </w:p>
        </w:tc>
        <w:tc>
          <w:tcPr>
            <w:tcW w:w="4755" w:type="dxa"/>
            <w:noWrap/>
            <w:vAlign w:val="center"/>
          </w:tcPr>
          <w:p w14:paraId="234F86BA">
            <w:pPr>
              <w:pStyle w:val="179"/>
              <w:widowControl w:val="0"/>
              <w:autoSpaceDE w:val="0"/>
              <w:autoSpaceDN w:val="0"/>
              <w:rPr>
                <w:i/>
                <w:iCs/>
                <w:lang w:eastAsia="en-US"/>
              </w:rPr>
            </w:pPr>
            <w:r>
              <w:rPr>
                <w:i/>
                <w:iCs/>
                <w:lang w:eastAsia="en-US"/>
              </w:rPr>
              <w:t>Potentilla freynianaBornm.</w:t>
            </w:r>
          </w:p>
        </w:tc>
        <w:tc>
          <w:tcPr>
            <w:tcW w:w="1153" w:type="dxa"/>
            <w:noWrap/>
            <w:vAlign w:val="center"/>
          </w:tcPr>
          <w:p w14:paraId="5CBA5A16">
            <w:pPr>
              <w:pStyle w:val="179"/>
              <w:widowControl w:val="0"/>
              <w:autoSpaceDE w:val="0"/>
              <w:autoSpaceDN w:val="0"/>
              <w:rPr>
                <w:lang w:eastAsia="en-US"/>
              </w:rPr>
            </w:pPr>
          </w:p>
        </w:tc>
      </w:tr>
      <w:tr w14:paraId="2B5B873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5751EACE">
            <w:pPr>
              <w:pStyle w:val="179"/>
              <w:widowControl w:val="0"/>
              <w:autoSpaceDE w:val="0"/>
              <w:autoSpaceDN w:val="0"/>
              <w:rPr>
                <w:lang w:eastAsia="en-US"/>
              </w:rPr>
            </w:pPr>
            <w:r>
              <w:rPr>
                <w:rFonts w:hint="eastAsia"/>
                <w:lang w:eastAsia="en-US"/>
              </w:rPr>
              <w:t>25</w:t>
            </w:r>
          </w:p>
        </w:tc>
        <w:tc>
          <w:tcPr>
            <w:tcW w:w="1840" w:type="dxa"/>
            <w:noWrap/>
            <w:vAlign w:val="center"/>
          </w:tcPr>
          <w:p w14:paraId="75C9158A">
            <w:pPr>
              <w:pStyle w:val="179"/>
              <w:widowControl w:val="0"/>
              <w:autoSpaceDE w:val="0"/>
              <w:autoSpaceDN w:val="0"/>
              <w:rPr>
                <w:lang w:eastAsia="en-US"/>
              </w:rPr>
            </w:pPr>
            <w:r>
              <w:rPr>
                <w:lang w:eastAsia="en-US"/>
              </w:rPr>
              <w:t>蚊子草</w:t>
            </w:r>
          </w:p>
        </w:tc>
        <w:tc>
          <w:tcPr>
            <w:tcW w:w="4755" w:type="dxa"/>
            <w:noWrap/>
            <w:vAlign w:val="center"/>
          </w:tcPr>
          <w:p w14:paraId="7232192E">
            <w:pPr>
              <w:pStyle w:val="179"/>
              <w:widowControl w:val="0"/>
              <w:autoSpaceDE w:val="0"/>
              <w:autoSpaceDN w:val="0"/>
              <w:rPr>
                <w:i/>
                <w:iCs/>
                <w:lang w:eastAsia="en-US"/>
              </w:rPr>
            </w:pPr>
            <w:r>
              <w:rPr>
                <w:i/>
                <w:iCs/>
                <w:lang w:eastAsia="en-US"/>
              </w:rPr>
              <w:t>Filipendula Palmata（Pall.</w:t>
            </w:r>
            <w:r>
              <w:rPr>
                <w:rFonts w:hint="eastAsia"/>
                <w:i/>
                <w:iCs/>
                <w:lang w:eastAsia="en-US"/>
              </w:rPr>
              <w:t>）</w:t>
            </w:r>
            <w:r>
              <w:rPr>
                <w:i/>
                <w:iCs/>
                <w:lang w:eastAsia="en-US"/>
              </w:rPr>
              <w:t>） Maxim.</w:t>
            </w:r>
          </w:p>
        </w:tc>
        <w:tc>
          <w:tcPr>
            <w:tcW w:w="1153" w:type="dxa"/>
            <w:noWrap/>
            <w:vAlign w:val="center"/>
          </w:tcPr>
          <w:p w14:paraId="140AE0FE">
            <w:pPr>
              <w:pStyle w:val="179"/>
              <w:widowControl w:val="0"/>
              <w:autoSpaceDE w:val="0"/>
              <w:autoSpaceDN w:val="0"/>
              <w:rPr>
                <w:lang w:eastAsia="en-US"/>
              </w:rPr>
            </w:pPr>
          </w:p>
        </w:tc>
      </w:tr>
      <w:tr w14:paraId="2563F1A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1062A347">
            <w:pPr>
              <w:pStyle w:val="179"/>
              <w:widowControl w:val="0"/>
              <w:autoSpaceDE w:val="0"/>
              <w:autoSpaceDN w:val="0"/>
              <w:rPr>
                <w:lang w:eastAsia="en-US"/>
              </w:rPr>
            </w:pPr>
            <w:r>
              <w:rPr>
                <w:rFonts w:hint="eastAsia"/>
                <w:lang w:eastAsia="en-US"/>
              </w:rPr>
              <w:t>26</w:t>
            </w:r>
          </w:p>
        </w:tc>
        <w:tc>
          <w:tcPr>
            <w:tcW w:w="1840" w:type="dxa"/>
            <w:noWrap/>
            <w:vAlign w:val="center"/>
          </w:tcPr>
          <w:p w14:paraId="12C7E399">
            <w:pPr>
              <w:pStyle w:val="179"/>
              <w:widowControl w:val="0"/>
              <w:autoSpaceDE w:val="0"/>
              <w:autoSpaceDN w:val="0"/>
              <w:rPr>
                <w:lang w:eastAsia="en-US"/>
              </w:rPr>
            </w:pPr>
            <w:r>
              <w:rPr>
                <w:rFonts w:hint="eastAsia"/>
                <w:lang w:eastAsia="en-US"/>
              </w:rPr>
              <w:t>莓叶委陵菜</w:t>
            </w:r>
          </w:p>
        </w:tc>
        <w:tc>
          <w:tcPr>
            <w:tcW w:w="4755" w:type="dxa"/>
            <w:noWrap/>
            <w:vAlign w:val="center"/>
          </w:tcPr>
          <w:p w14:paraId="59221FBF">
            <w:pPr>
              <w:pStyle w:val="179"/>
              <w:widowControl w:val="0"/>
              <w:autoSpaceDE w:val="0"/>
              <w:autoSpaceDN w:val="0"/>
              <w:rPr>
                <w:i/>
                <w:iCs/>
                <w:lang w:eastAsia="en-US"/>
              </w:rPr>
            </w:pPr>
            <w:r>
              <w:rPr>
                <w:i/>
                <w:iCs/>
                <w:lang w:eastAsia="en-US"/>
              </w:rPr>
              <w:t>Potentilla fragarioidesL.</w:t>
            </w:r>
          </w:p>
        </w:tc>
        <w:tc>
          <w:tcPr>
            <w:tcW w:w="1153" w:type="dxa"/>
            <w:noWrap/>
            <w:vAlign w:val="center"/>
          </w:tcPr>
          <w:p w14:paraId="0C80F372">
            <w:pPr>
              <w:pStyle w:val="179"/>
              <w:widowControl w:val="0"/>
              <w:autoSpaceDE w:val="0"/>
              <w:autoSpaceDN w:val="0"/>
              <w:rPr>
                <w:lang w:eastAsia="en-US"/>
              </w:rPr>
            </w:pPr>
          </w:p>
        </w:tc>
      </w:tr>
      <w:tr w14:paraId="6F5F94E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1C8535EC">
            <w:pPr>
              <w:pStyle w:val="179"/>
              <w:widowControl w:val="0"/>
              <w:autoSpaceDE w:val="0"/>
              <w:autoSpaceDN w:val="0"/>
              <w:rPr>
                <w:lang w:eastAsia="en-US"/>
              </w:rPr>
            </w:pPr>
            <w:r>
              <w:rPr>
                <w:rFonts w:hint="eastAsia"/>
                <w:lang w:eastAsia="en-US"/>
              </w:rPr>
              <w:t>27</w:t>
            </w:r>
          </w:p>
        </w:tc>
        <w:tc>
          <w:tcPr>
            <w:tcW w:w="1840" w:type="dxa"/>
            <w:noWrap/>
            <w:vAlign w:val="center"/>
          </w:tcPr>
          <w:p w14:paraId="6575A9D5">
            <w:pPr>
              <w:pStyle w:val="179"/>
              <w:widowControl w:val="0"/>
              <w:autoSpaceDE w:val="0"/>
              <w:autoSpaceDN w:val="0"/>
              <w:rPr>
                <w:lang w:eastAsia="en-US"/>
              </w:rPr>
            </w:pPr>
            <w:r>
              <w:rPr>
                <w:rFonts w:hint="eastAsia"/>
                <w:lang w:eastAsia="en-US"/>
              </w:rPr>
              <w:t>山刺玫</w:t>
            </w:r>
          </w:p>
        </w:tc>
        <w:tc>
          <w:tcPr>
            <w:tcW w:w="4755" w:type="dxa"/>
            <w:noWrap/>
            <w:vAlign w:val="center"/>
          </w:tcPr>
          <w:p w14:paraId="7C9BF045">
            <w:pPr>
              <w:pStyle w:val="179"/>
              <w:widowControl w:val="0"/>
              <w:autoSpaceDE w:val="0"/>
              <w:autoSpaceDN w:val="0"/>
              <w:rPr>
                <w:i/>
                <w:iCs/>
                <w:lang w:eastAsia="en-US"/>
              </w:rPr>
            </w:pPr>
            <w:r>
              <w:rPr>
                <w:i/>
                <w:iCs/>
                <w:lang w:eastAsia="en-US"/>
              </w:rPr>
              <w:t>Rosa davurica</w:t>
            </w:r>
          </w:p>
        </w:tc>
        <w:tc>
          <w:tcPr>
            <w:tcW w:w="1153" w:type="dxa"/>
            <w:noWrap/>
            <w:vAlign w:val="center"/>
          </w:tcPr>
          <w:p w14:paraId="5060382F">
            <w:pPr>
              <w:pStyle w:val="179"/>
              <w:widowControl w:val="0"/>
              <w:autoSpaceDE w:val="0"/>
              <w:autoSpaceDN w:val="0"/>
              <w:rPr>
                <w:lang w:eastAsia="en-US"/>
              </w:rPr>
            </w:pPr>
          </w:p>
        </w:tc>
      </w:tr>
      <w:tr w14:paraId="100924D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0EB8EBB1">
            <w:pPr>
              <w:pStyle w:val="179"/>
              <w:widowControl w:val="0"/>
              <w:autoSpaceDE w:val="0"/>
              <w:autoSpaceDN w:val="0"/>
              <w:rPr>
                <w:lang w:eastAsia="en-US"/>
              </w:rPr>
            </w:pPr>
            <w:r>
              <w:rPr>
                <w:rFonts w:hint="eastAsia"/>
                <w:lang w:eastAsia="en-US"/>
              </w:rPr>
              <w:t>28</w:t>
            </w:r>
          </w:p>
        </w:tc>
        <w:tc>
          <w:tcPr>
            <w:tcW w:w="1840" w:type="dxa"/>
            <w:noWrap/>
            <w:vAlign w:val="center"/>
          </w:tcPr>
          <w:p w14:paraId="69EDD200">
            <w:pPr>
              <w:pStyle w:val="179"/>
              <w:widowControl w:val="0"/>
              <w:autoSpaceDE w:val="0"/>
              <w:autoSpaceDN w:val="0"/>
              <w:rPr>
                <w:lang w:eastAsia="en-US"/>
              </w:rPr>
            </w:pPr>
            <w:r>
              <w:rPr>
                <w:lang w:eastAsia="en-US"/>
              </w:rPr>
              <w:t>路边青</w:t>
            </w:r>
          </w:p>
        </w:tc>
        <w:tc>
          <w:tcPr>
            <w:tcW w:w="4755" w:type="dxa"/>
            <w:noWrap/>
            <w:vAlign w:val="center"/>
          </w:tcPr>
          <w:p w14:paraId="74820D6C">
            <w:pPr>
              <w:pStyle w:val="179"/>
              <w:widowControl w:val="0"/>
              <w:autoSpaceDE w:val="0"/>
              <w:autoSpaceDN w:val="0"/>
              <w:rPr>
                <w:i/>
                <w:iCs/>
                <w:lang w:eastAsia="en-US"/>
              </w:rPr>
            </w:pPr>
            <w:r>
              <w:rPr>
                <w:i/>
                <w:iCs/>
                <w:lang w:eastAsia="en-US"/>
              </w:rPr>
              <w:t>Geum aleppicumJacq.</w:t>
            </w:r>
          </w:p>
        </w:tc>
        <w:tc>
          <w:tcPr>
            <w:tcW w:w="1153" w:type="dxa"/>
            <w:noWrap/>
            <w:vAlign w:val="center"/>
          </w:tcPr>
          <w:p w14:paraId="04885284">
            <w:pPr>
              <w:pStyle w:val="179"/>
              <w:widowControl w:val="0"/>
              <w:autoSpaceDE w:val="0"/>
              <w:autoSpaceDN w:val="0"/>
              <w:rPr>
                <w:lang w:eastAsia="en-US"/>
              </w:rPr>
            </w:pPr>
          </w:p>
        </w:tc>
      </w:tr>
      <w:tr w14:paraId="46DE06F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258E501E">
            <w:pPr>
              <w:pStyle w:val="179"/>
              <w:widowControl w:val="0"/>
              <w:autoSpaceDE w:val="0"/>
              <w:autoSpaceDN w:val="0"/>
              <w:rPr>
                <w:lang w:eastAsia="en-US"/>
              </w:rPr>
            </w:pPr>
            <w:r>
              <w:rPr>
                <w:rFonts w:hint="eastAsia"/>
                <w:lang w:eastAsia="en-US"/>
              </w:rPr>
              <w:t>29</w:t>
            </w:r>
          </w:p>
        </w:tc>
        <w:tc>
          <w:tcPr>
            <w:tcW w:w="1840" w:type="dxa"/>
            <w:noWrap/>
            <w:vAlign w:val="center"/>
          </w:tcPr>
          <w:p w14:paraId="2529C06C">
            <w:pPr>
              <w:pStyle w:val="179"/>
              <w:widowControl w:val="0"/>
              <w:autoSpaceDE w:val="0"/>
              <w:autoSpaceDN w:val="0"/>
              <w:rPr>
                <w:lang w:eastAsia="en-US"/>
              </w:rPr>
            </w:pPr>
            <w:r>
              <w:rPr>
                <w:lang w:eastAsia="en-US"/>
              </w:rPr>
              <w:t>委陵菜</w:t>
            </w:r>
          </w:p>
        </w:tc>
        <w:tc>
          <w:tcPr>
            <w:tcW w:w="4755" w:type="dxa"/>
            <w:noWrap/>
            <w:vAlign w:val="center"/>
          </w:tcPr>
          <w:p w14:paraId="174BA98D">
            <w:pPr>
              <w:pStyle w:val="179"/>
              <w:widowControl w:val="0"/>
              <w:autoSpaceDE w:val="0"/>
              <w:autoSpaceDN w:val="0"/>
              <w:rPr>
                <w:i/>
                <w:iCs/>
                <w:lang w:eastAsia="en-US"/>
              </w:rPr>
            </w:pPr>
            <w:r>
              <w:rPr>
                <w:i/>
                <w:iCs/>
                <w:lang w:eastAsia="en-US"/>
              </w:rPr>
              <w:t>Potentilla chinensisSer.</w:t>
            </w:r>
          </w:p>
        </w:tc>
        <w:tc>
          <w:tcPr>
            <w:tcW w:w="1153" w:type="dxa"/>
            <w:noWrap/>
            <w:vAlign w:val="center"/>
          </w:tcPr>
          <w:p w14:paraId="3944B873">
            <w:pPr>
              <w:pStyle w:val="179"/>
              <w:widowControl w:val="0"/>
              <w:autoSpaceDE w:val="0"/>
              <w:autoSpaceDN w:val="0"/>
              <w:rPr>
                <w:lang w:eastAsia="en-US"/>
              </w:rPr>
            </w:pPr>
          </w:p>
        </w:tc>
      </w:tr>
      <w:tr w14:paraId="74B8D11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6292622E">
            <w:pPr>
              <w:pStyle w:val="179"/>
              <w:widowControl w:val="0"/>
              <w:autoSpaceDE w:val="0"/>
              <w:autoSpaceDN w:val="0"/>
              <w:rPr>
                <w:lang w:eastAsia="en-US"/>
              </w:rPr>
            </w:pPr>
            <w:r>
              <w:rPr>
                <w:rFonts w:hint="eastAsia"/>
                <w:lang w:eastAsia="en-US"/>
              </w:rPr>
              <w:t>30</w:t>
            </w:r>
          </w:p>
        </w:tc>
        <w:tc>
          <w:tcPr>
            <w:tcW w:w="1840" w:type="dxa"/>
            <w:noWrap/>
            <w:vAlign w:val="center"/>
          </w:tcPr>
          <w:p w14:paraId="1F654B10">
            <w:pPr>
              <w:pStyle w:val="179"/>
              <w:widowControl w:val="0"/>
              <w:autoSpaceDE w:val="0"/>
              <w:autoSpaceDN w:val="0"/>
              <w:rPr>
                <w:lang w:eastAsia="en-US"/>
              </w:rPr>
            </w:pPr>
            <w:r>
              <w:rPr>
                <w:lang w:eastAsia="en-US"/>
              </w:rPr>
              <w:t>朝天委陵菜</w:t>
            </w:r>
          </w:p>
        </w:tc>
        <w:tc>
          <w:tcPr>
            <w:tcW w:w="4755" w:type="dxa"/>
            <w:noWrap/>
            <w:vAlign w:val="center"/>
          </w:tcPr>
          <w:p w14:paraId="04331134">
            <w:pPr>
              <w:pStyle w:val="179"/>
              <w:widowControl w:val="0"/>
              <w:autoSpaceDE w:val="0"/>
              <w:autoSpaceDN w:val="0"/>
              <w:rPr>
                <w:i/>
                <w:iCs/>
                <w:lang w:eastAsia="en-US"/>
              </w:rPr>
            </w:pPr>
            <w:r>
              <w:rPr>
                <w:i/>
                <w:iCs/>
                <w:lang w:eastAsia="en-US"/>
              </w:rPr>
              <w:t>Potentilla supina L.</w:t>
            </w:r>
          </w:p>
        </w:tc>
        <w:tc>
          <w:tcPr>
            <w:tcW w:w="1153" w:type="dxa"/>
            <w:noWrap/>
            <w:vAlign w:val="center"/>
          </w:tcPr>
          <w:p w14:paraId="31819DD6">
            <w:pPr>
              <w:pStyle w:val="179"/>
              <w:widowControl w:val="0"/>
              <w:autoSpaceDE w:val="0"/>
              <w:autoSpaceDN w:val="0"/>
              <w:rPr>
                <w:lang w:eastAsia="en-US"/>
              </w:rPr>
            </w:pPr>
          </w:p>
        </w:tc>
      </w:tr>
      <w:tr w14:paraId="09408AE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16E7399D">
            <w:pPr>
              <w:pStyle w:val="179"/>
              <w:widowControl w:val="0"/>
              <w:autoSpaceDE w:val="0"/>
              <w:autoSpaceDN w:val="0"/>
              <w:rPr>
                <w:lang w:eastAsia="en-US"/>
              </w:rPr>
            </w:pPr>
            <w:r>
              <w:rPr>
                <w:rFonts w:hint="eastAsia"/>
                <w:lang w:eastAsia="en-US"/>
              </w:rPr>
              <w:t>31</w:t>
            </w:r>
          </w:p>
        </w:tc>
        <w:tc>
          <w:tcPr>
            <w:tcW w:w="1840" w:type="dxa"/>
            <w:noWrap/>
            <w:vAlign w:val="center"/>
          </w:tcPr>
          <w:p w14:paraId="6AEF6F15">
            <w:pPr>
              <w:pStyle w:val="179"/>
              <w:widowControl w:val="0"/>
              <w:autoSpaceDE w:val="0"/>
              <w:autoSpaceDN w:val="0"/>
              <w:rPr>
                <w:lang w:eastAsia="en-US"/>
              </w:rPr>
            </w:pPr>
            <w:r>
              <w:rPr>
                <w:lang w:eastAsia="en-US"/>
              </w:rPr>
              <w:t>小白花地榆</w:t>
            </w:r>
          </w:p>
        </w:tc>
        <w:tc>
          <w:tcPr>
            <w:tcW w:w="4755" w:type="dxa"/>
            <w:noWrap/>
            <w:vAlign w:val="center"/>
          </w:tcPr>
          <w:p w14:paraId="3072FB4B">
            <w:pPr>
              <w:pStyle w:val="179"/>
              <w:widowControl w:val="0"/>
              <w:autoSpaceDE w:val="0"/>
              <w:autoSpaceDN w:val="0"/>
              <w:rPr>
                <w:i/>
                <w:iCs/>
                <w:lang w:eastAsia="en-US"/>
              </w:rPr>
            </w:pPr>
            <w:r>
              <w:rPr>
                <w:i/>
                <w:iCs/>
                <w:lang w:eastAsia="en-US"/>
              </w:rPr>
              <w:t>SanguisorbatenuifoliaFisch. var.albaTrautv. et Mey.</w:t>
            </w:r>
          </w:p>
        </w:tc>
        <w:tc>
          <w:tcPr>
            <w:tcW w:w="1153" w:type="dxa"/>
            <w:noWrap/>
            <w:vAlign w:val="center"/>
          </w:tcPr>
          <w:p w14:paraId="01ABC305">
            <w:pPr>
              <w:pStyle w:val="179"/>
              <w:widowControl w:val="0"/>
              <w:autoSpaceDE w:val="0"/>
              <w:autoSpaceDN w:val="0"/>
              <w:rPr>
                <w:lang w:eastAsia="en-US"/>
              </w:rPr>
            </w:pPr>
          </w:p>
        </w:tc>
      </w:tr>
      <w:tr w14:paraId="293DE6A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5B865ABD">
            <w:pPr>
              <w:pStyle w:val="179"/>
              <w:widowControl w:val="0"/>
              <w:autoSpaceDE w:val="0"/>
              <w:autoSpaceDN w:val="0"/>
              <w:rPr>
                <w:lang w:eastAsia="en-US"/>
              </w:rPr>
            </w:pPr>
            <w:r>
              <w:rPr>
                <w:rFonts w:hint="eastAsia"/>
                <w:lang w:eastAsia="en-US"/>
              </w:rPr>
              <w:t>32</w:t>
            </w:r>
          </w:p>
        </w:tc>
        <w:tc>
          <w:tcPr>
            <w:tcW w:w="1840" w:type="dxa"/>
            <w:noWrap/>
            <w:vAlign w:val="center"/>
          </w:tcPr>
          <w:p w14:paraId="0D74013F">
            <w:pPr>
              <w:pStyle w:val="179"/>
              <w:widowControl w:val="0"/>
              <w:autoSpaceDE w:val="0"/>
              <w:autoSpaceDN w:val="0"/>
              <w:rPr>
                <w:lang w:eastAsia="en-US"/>
              </w:rPr>
            </w:pPr>
            <w:r>
              <w:rPr>
                <w:rFonts w:hint="eastAsia"/>
                <w:lang w:eastAsia="en-US"/>
              </w:rPr>
              <w:t>地榆</w:t>
            </w:r>
          </w:p>
        </w:tc>
        <w:tc>
          <w:tcPr>
            <w:tcW w:w="4755" w:type="dxa"/>
            <w:noWrap/>
            <w:vAlign w:val="center"/>
          </w:tcPr>
          <w:p w14:paraId="303A9575">
            <w:pPr>
              <w:pStyle w:val="179"/>
              <w:widowControl w:val="0"/>
              <w:autoSpaceDE w:val="0"/>
              <w:autoSpaceDN w:val="0"/>
              <w:rPr>
                <w:i/>
                <w:iCs/>
                <w:lang w:eastAsia="en-US"/>
              </w:rPr>
            </w:pPr>
            <w:r>
              <w:rPr>
                <w:i/>
                <w:iCs/>
                <w:lang w:eastAsia="en-US"/>
              </w:rPr>
              <w:t>Sanguisorba officinalisL.</w:t>
            </w:r>
          </w:p>
        </w:tc>
        <w:tc>
          <w:tcPr>
            <w:tcW w:w="1153" w:type="dxa"/>
            <w:noWrap/>
            <w:vAlign w:val="center"/>
          </w:tcPr>
          <w:p w14:paraId="5DE0C092">
            <w:pPr>
              <w:pStyle w:val="179"/>
              <w:widowControl w:val="0"/>
              <w:autoSpaceDE w:val="0"/>
              <w:autoSpaceDN w:val="0"/>
              <w:rPr>
                <w:lang w:eastAsia="en-US"/>
              </w:rPr>
            </w:pPr>
          </w:p>
        </w:tc>
      </w:tr>
      <w:tr w14:paraId="6EE662B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5CCE901E">
            <w:pPr>
              <w:pStyle w:val="179"/>
              <w:widowControl w:val="0"/>
              <w:autoSpaceDE w:val="0"/>
              <w:autoSpaceDN w:val="0"/>
              <w:rPr>
                <w:b/>
                <w:lang w:eastAsia="en-US"/>
              </w:rPr>
            </w:pPr>
            <w:r>
              <w:rPr>
                <w:rFonts w:hint="eastAsia"/>
                <w:b/>
                <w:lang w:eastAsia="en-US"/>
              </w:rPr>
              <w:t>十六</w:t>
            </w:r>
          </w:p>
        </w:tc>
        <w:tc>
          <w:tcPr>
            <w:tcW w:w="1840" w:type="dxa"/>
            <w:noWrap/>
            <w:vAlign w:val="center"/>
          </w:tcPr>
          <w:p w14:paraId="1A531E3C">
            <w:pPr>
              <w:pStyle w:val="179"/>
              <w:widowControl w:val="0"/>
              <w:autoSpaceDE w:val="0"/>
              <w:autoSpaceDN w:val="0"/>
              <w:rPr>
                <w:b/>
                <w:lang w:eastAsia="en-US"/>
              </w:rPr>
            </w:pPr>
            <w:r>
              <w:rPr>
                <w:b/>
                <w:lang w:eastAsia="en-US"/>
              </w:rPr>
              <w:t>豆科</w:t>
            </w:r>
          </w:p>
        </w:tc>
        <w:tc>
          <w:tcPr>
            <w:tcW w:w="4755" w:type="dxa"/>
            <w:noWrap/>
            <w:vAlign w:val="center"/>
          </w:tcPr>
          <w:p w14:paraId="19420C40">
            <w:pPr>
              <w:pStyle w:val="179"/>
              <w:widowControl w:val="0"/>
              <w:autoSpaceDE w:val="0"/>
              <w:autoSpaceDN w:val="0"/>
              <w:rPr>
                <w:b/>
                <w:lang w:eastAsia="en-US"/>
              </w:rPr>
            </w:pPr>
            <w:r>
              <w:rPr>
                <w:b/>
                <w:lang w:eastAsia="en-US"/>
              </w:rPr>
              <w:t>Fabaceae Lindl.</w:t>
            </w:r>
          </w:p>
        </w:tc>
        <w:tc>
          <w:tcPr>
            <w:tcW w:w="1153" w:type="dxa"/>
            <w:noWrap/>
            <w:vAlign w:val="center"/>
          </w:tcPr>
          <w:p w14:paraId="14D8685E">
            <w:pPr>
              <w:pStyle w:val="179"/>
              <w:widowControl w:val="0"/>
              <w:autoSpaceDE w:val="0"/>
              <w:autoSpaceDN w:val="0"/>
              <w:rPr>
                <w:b/>
                <w:lang w:eastAsia="en-US"/>
              </w:rPr>
            </w:pPr>
          </w:p>
        </w:tc>
      </w:tr>
      <w:tr w14:paraId="5952B3A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4CB0F7A3">
            <w:pPr>
              <w:pStyle w:val="179"/>
              <w:widowControl w:val="0"/>
              <w:autoSpaceDE w:val="0"/>
              <w:autoSpaceDN w:val="0"/>
              <w:rPr>
                <w:lang w:eastAsia="en-US"/>
              </w:rPr>
            </w:pPr>
            <w:r>
              <w:rPr>
                <w:rFonts w:hint="eastAsia"/>
                <w:lang w:eastAsia="en-US"/>
              </w:rPr>
              <w:t>33</w:t>
            </w:r>
          </w:p>
        </w:tc>
        <w:tc>
          <w:tcPr>
            <w:tcW w:w="1840" w:type="dxa"/>
            <w:noWrap/>
            <w:vAlign w:val="center"/>
          </w:tcPr>
          <w:p w14:paraId="25408597">
            <w:pPr>
              <w:pStyle w:val="179"/>
              <w:widowControl w:val="0"/>
              <w:autoSpaceDE w:val="0"/>
              <w:autoSpaceDN w:val="0"/>
              <w:rPr>
                <w:lang w:eastAsia="en-US"/>
              </w:rPr>
            </w:pPr>
            <w:r>
              <w:rPr>
                <w:lang w:eastAsia="en-US"/>
              </w:rPr>
              <w:t>长萼鸡眼草</w:t>
            </w:r>
          </w:p>
        </w:tc>
        <w:tc>
          <w:tcPr>
            <w:tcW w:w="4755" w:type="dxa"/>
            <w:noWrap/>
            <w:vAlign w:val="center"/>
          </w:tcPr>
          <w:p w14:paraId="3ABC8F11">
            <w:pPr>
              <w:pStyle w:val="179"/>
              <w:widowControl w:val="0"/>
              <w:autoSpaceDE w:val="0"/>
              <w:autoSpaceDN w:val="0"/>
              <w:rPr>
                <w:i/>
                <w:iCs/>
                <w:lang w:eastAsia="en-US"/>
              </w:rPr>
            </w:pPr>
            <w:r>
              <w:rPr>
                <w:i/>
                <w:iCs/>
                <w:lang w:eastAsia="en-US"/>
              </w:rPr>
              <w:t>Kummerowia stipulacea</w:t>
            </w:r>
            <w:r>
              <w:rPr>
                <w:rFonts w:hint="eastAsia"/>
                <w:i/>
                <w:iCs/>
                <w:lang w:eastAsia="en-US"/>
              </w:rPr>
              <w:t>（</w:t>
            </w:r>
            <w:r>
              <w:rPr>
                <w:i/>
                <w:iCs/>
                <w:lang w:eastAsia="en-US"/>
              </w:rPr>
              <w:t>（Maxim.</w:t>
            </w:r>
            <w:r>
              <w:rPr>
                <w:rFonts w:hint="eastAsia"/>
                <w:i/>
                <w:iCs/>
                <w:lang w:eastAsia="en-US"/>
              </w:rPr>
              <w:t>）</w:t>
            </w:r>
            <w:r>
              <w:rPr>
                <w:i/>
                <w:iCs/>
                <w:lang w:eastAsia="en-US"/>
              </w:rPr>
              <w:t>） Makino</w:t>
            </w:r>
          </w:p>
        </w:tc>
        <w:tc>
          <w:tcPr>
            <w:tcW w:w="1153" w:type="dxa"/>
            <w:noWrap/>
            <w:vAlign w:val="center"/>
          </w:tcPr>
          <w:p w14:paraId="4318AD6B">
            <w:pPr>
              <w:pStyle w:val="179"/>
              <w:widowControl w:val="0"/>
              <w:autoSpaceDE w:val="0"/>
              <w:autoSpaceDN w:val="0"/>
              <w:rPr>
                <w:lang w:eastAsia="en-US"/>
              </w:rPr>
            </w:pPr>
          </w:p>
        </w:tc>
      </w:tr>
      <w:tr w14:paraId="49655BA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4F9EDF68">
            <w:pPr>
              <w:pStyle w:val="179"/>
              <w:widowControl w:val="0"/>
              <w:autoSpaceDE w:val="0"/>
              <w:autoSpaceDN w:val="0"/>
              <w:rPr>
                <w:lang w:eastAsia="en-US"/>
              </w:rPr>
            </w:pPr>
            <w:r>
              <w:rPr>
                <w:rFonts w:hint="eastAsia"/>
                <w:lang w:eastAsia="en-US"/>
              </w:rPr>
              <w:t>34</w:t>
            </w:r>
          </w:p>
        </w:tc>
        <w:tc>
          <w:tcPr>
            <w:tcW w:w="1840" w:type="dxa"/>
            <w:noWrap/>
            <w:vAlign w:val="center"/>
          </w:tcPr>
          <w:p w14:paraId="09ACBDAA">
            <w:pPr>
              <w:pStyle w:val="179"/>
              <w:widowControl w:val="0"/>
              <w:autoSpaceDE w:val="0"/>
              <w:autoSpaceDN w:val="0"/>
              <w:rPr>
                <w:lang w:eastAsia="en-US"/>
              </w:rPr>
            </w:pPr>
            <w:r>
              <w:rPr>
                <w:rFonts w:hint="eastAsia"/>
                <w:lang w:eastAsia="en-US"/>
              </w:rPr>
              <w:t>胡枝子</w:t>
            </w:r>
          </w:p>
        </w:tc>
        <w:tc>
          <w:tcPr>
            <w:tcW w:w="4755" w:type="dxa"/>
            <w:noWrap/>
            <w:vAlign w:val="center"/>
          </w:tcPr>
          <w:p w14:paraId="53C11398">
            <w:pPr>
              <w:pStyle w:val="179"/>
              <w:widowControl w:val="0"/>
              <w:autoSpaceDE w:val="0"/>
              <w:autoSpaceDN w:val="0"/>
              <w:rPr>
                <w:i/>
                <w:iCs/>
                <w:lang w:eastAsia="en-US"/>
              </w:rPr>
            </w:pPr>
            <w:r>
              <w:rPr>
                <w:i/>
                <w:iCs/>
                <w:lang w:eastAsia="en-US"/>
              </w:rPr>
              <w:t>Lespedeza bicolor</w:t>
            </w:r>
          </w:p>
        </w:tc>
        <w:tc>
          <w:tcPr>
            <w:tcW w:w="1153" w:type="dxa"/>
            <w:noWrap/>
            <w:vAlign w:val="center"/>
          </w:tcPr>
          <w:p w14:paraId="401DA83F">
            <w:pPr>
              <w:pStyle w:val="179"/>
              <w:widowControl w:val="0"/>
              <w:autoSpaceDE w:val="0"/>
              <w:autoSpaceDN w:val="0"/>
              <w:rPr>
                <w:lang w:eastAsia="en-US"/>
              </w:rPr>
            </w:pPr>
          </w:p>
        </w:tc>
      </w:tr>
      <w:tr w14:paraId="0C77E79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2EFA2684">
            <w:pPr>
              <w:pStyle w:val="179"/>
              <w:widowControl w:val="0"/>
              <w:autoSpaceDE w:val="0"/>
              <w:autoSpaceDN w:val="0"/>
              <w:rPr>
                <w:lang w:eastAsia="en-US"/>
              </w:rPr>
            </w:pPr>
            <w:r>
              <w:rPr>
                <w:rFonts w:hint="eastAsia"/>
                <w:lang w:eastAsia="en-US"/>
              </w:rPr>
              <w:t>35</w:t>
            </w:r>
          </w:p>
        </w:tc>
        <w:tc>
          <w:tcPr>
            <w:tcW w:w="1840" w:type="dxa"/>
            <w:noWrap/>
            <w:vAlign w:val="center"/>
          </w:tcPr>
          <w:p w14:paraId="027A43C6">
            <w:pPr>
              <w:pStyle w:val="179"/>
              <w:widowControl w:val="0"/>
              <w:autoSpaceDE w:val="0"/>
              <w:autoSpaceDN w:val="0"/>
              <w:rPr>
                <w:lang w:eastAsia="en-US"/>
              </w:rPr>
            </w:pPr>
            <w:r>
              <w:rPr>
                <w:lang w:eastAsia="en-US"/>
              </w:rPr>
              <w:t>山野豌豆</w:t>
            </w:r>
          </w:p>
        </w:tc>
        <w:tc>
          <w:tcPr>
            <w:tcW w:w="4755" w:type="dxa"/>
            <w:noWrap/>
            <w:vAlign w:val="center"/>
          </w:tcPr>
          <w:p w14:paraId="164534DF">
            <w:pPr>
              <w:pStyle w:val="179"/>
              <w:widowControl w:val="0"/>
              <w:autoSpaceDE w:val="0"/>
              <w:autoSpaceDN w:val="0"/>
              <w:rPr>
                <w:i/>
                <w:iCs/>
                <w:lang w:eastAsia="en-US"/>
              </w:rPr>
            </w:pPr>
            <w:r>
              <w:rPr>
                <w:i/>
                <w:iCs/>
                <w:lang w:eastAsia="en-US"/>
              </w:rPr>
              <w:t>Vicia amoenaFisch. ex DC.</w:t>
            </w:r>
          </w:p>
        </w:tc>
        <w:tc>
          <w:tcPr>
            <w:tcW w:w="1153" w:type="dxa"/>
            <w:noWrap/>
            <w:vAlign w:val="center"/>
          </w:tcPr>
          <w:p w14:paraId="10B30206">
            <w:pPr>
              <w:pStyle w:val="179"/>
              <w:widowControl w:val="0"/>
              <w:autoSpaceDE w:val="0"/>
              <w:autoSpaceDN w:val="0"/>
              <w:rPr>
                <w:lang w:eastAsia="en-US"/>
              </w:rPr>
            </w:pPr>
          </w:p>
        </w:tc>
      </w:tr>
      <w:tr w14:paraId="4D8ECEC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69DBB6F2">
            <w:pPr>
              <w:pStyle w:val="179"/>
              <w:widowControl w:val="0"/>
              <w:autoSpaceDE w:val="0"/>
              <w:autoSpaceDN w:val="0"/>
              <w:rPr>
                <w:lang w:eastAsia="en-US"/>
              </w:rPr>
            </w:pPr>
            <w:r>
              <w:rPr>
                <w:rFonts w:hint="eastAsia"/>
                <w:lang w:eastAsia="en-US"/>
              </w:rPr>
              <w:t>36</w:t>
            </w:r>
          </w:p>
        </w:tc>
        <w:tc>
          <w:tcPr>
            <w:tcW w:w="1840" w:type="dxa"/>
            <w:noWrap/>
            <w:vAlign w:val="center"/>
          </w:tcPr>
          <w:p w14:paraId="3ABD5D48">
            <w:pPr>
              <w:pStyle w:val="179"/>
              <w:widowControl w:val="0"/>
              <w:autoSpaceDE w:val="0"/>
              <w:autoSpaceDN w:val="0"/>
              <w:rPr>
                <w:lang w:eastAsia="en-US"/>
              </w:rPr>
            </w:pPr>
            <w:r>
              <w:rPr>
                <w:lang w:eastAsia="en-US"/>
              </w:rPr>
              <w:t>广布野豌豆</w:t>
            </w:r>
          </w:p>
        </w:tc>
        <w:tc>
          <w:tcPr>
            <w:tcW w:w="4755" w:type="dxa"/>
            <w:noWrap/>
            <w:vAlign w:val="center"/>
          </w:tcPr>
          <w:p w14:paraId="6EE8B84A">
            <w:pPr>
              <w:pStyle w:val="179"/>
              <w:widowControl w:val="0"/>
              <w:autoSpaceDE w:val="0"/>
              <w:autoSpaceDN w:val="0"/>
              <w:rPr>
                <w:i/>
                <w:iCs/>
                <w:lang w:eastAsia="en-US"/>
              </w:rPr>
            </w:pPr>
            <w:r>
              <w:rPr>
                <w:i/>
                <w:iCs/>
                <w:lang w:eastAsia="en-US"/>
              </w:rPr>
              <w:t>V. cracca</w:t>
            </w:r>
          </w:p>
        </w:tc>
        <w:tc>
          <w:tcPr>
            <w:tcW w:w="1153" w:type="dxa"/>
            <w:noWrap/>
            <w:vAlign w:val="center"/>
          </w:tcPr>
          <w:p w14:paraId="31371657">
            <w:pPr>
              <w:pStyle w:val="179"/>
              <w:widowControl w:val="0"/>
              <w:autoSpaceDE w:val="0"/>
              <w:autoSpaceDN w:val="0"/>
              <w:rPr>
                <w:lang w:eastAsia="en-US"/>
              </w:rPr>
            </w:pPr>
          </w:p>
        </w:tc>
      </w:tr>
      <w:tr w14:paraId="01E5164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670EA819">
            <w:pPr>
              <w:pStyle w:val="179"/>
              <w:widowControl w:val="0"/>
              <w:autoSpaceDE w:val="0"/>
              <w:autoSpaceDN w:val="0"/>
              <w:rPr>
                <w:b/>
                <w:lang w:eastAsia="en-US"/>
              </w:rPr>
            </w:pPr>
            <w:r>
              <w:rPr>
                <w:rFonts w:hint="eastAsia"/>
                <w:b/>
                <w:lang w:eastAsia="en-US"/>
              </w:rPr>
              <w:t>十七</w:t>
            </w:r>
          </w:p>
        </w:tc>
        <w:tc>
          <w:tcPr>
            <w:tcW w:w="1840" w:type="dxa"/>
            <w:noWrap/>
            <w:vAlign w:val="center"/>
          </w:tcPr>
          <w:p w14:paraId="521CDE95">
            <w:pPr>
              <w:pStyle w:val="179"/>
              <w:widowControl w:val="0"/>
              <w:autoSpaceDE w:val="0"/>
              <w:autoSpaceDN w:val="0"/>
              <w:rPr>
                <w:b/>
                <w:lang w:eastAsia="en-US"/>
              </w:rPr>
            </w:pPr>
            <w:r>
              <w:rPr>
                <w:b/>
                <w:lang w:eastAsia="en-US"/>
              </w:rPr>
              <w:t>牻牛儿苗科</w:t>
            </w:r>
          </w:p>
        </w:tc>
        <w:tc>
          <w:tcPr>
            <w:tcW w:w="4755" w:type="dxa"/>
            <w:noWrap/>
            <w:vAlign w:val="center"/>
          </w:tcPr>
          <w:p w14:paraId="07608F51">
            <w:pPr>
              <w:pStyle w:val="179"/>
              <w:widowControl w:val="0"/>
              <w:autoSpaceDE w:val="0"/>
              <w:autoSpaceDN w:val="0"/>
              <w:rPr>
                <w:b/>
                <w:lang w:eastAsia="en-US"/>
              </w:rPr>
            </w:pPr>
            <w:r>
              <w:rPr>
                <w:b/>
                <w:lang w:eastAsia="en-US"/>
              </w:rPr>
              <w:t>Geraniaceae Juss.</w:t>
            </w:r>
          </w:p>
        </w:tc>
        <w:tc>
          <w:tcPr>
            <w:tcW w:w="1153" w:type="dxa"/>
            <w:noWrap/>
            <w:vAlign w:val="center"/>
          </w:tcPr>
          <w:p w14:paraId="6A327807">
            <w:pPr>
              <w:pStyle w:val="179"/>
              <w:widowControl w:val="0"/>
              <w:autoSpaceDE w:val="0"/>
              <w:autoSpaceDN w:val="0"/>
              <w:rPr>
                <w:b/>
                <w:lang w:eastAsia="en-US"/>
              </w:rPr>
            </w:pPr>
          </w:p>
        </w:tc>
      </w:tr>
      <w:tr w14:paraId="55E758D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5701DA3A">
            <w:pPr>
              <w:pStyle w:val="179"/>
              <w:widowControl w:val="0"/>
              <w:autoSpaceDE w:val="0"/>
              <w:autoSpaceDN w:val="0"/>
              <w:rPr>
                <w:lang w:eastAsia="en-US"/>
              </w:rPr>
            </w:pPr>
            <w:r>
              <w:rPr>
                <w:lang w:eastAsia="en-US"/>
              </w:rPr>
              <w:t>3</w:t>
            </w:r>
            <w:r>
              <w:rPr>
                <w:rFonts w:hint="eastAsia"/>
                <w:lang w:eastAsia="en-US"/>
              </w:rPr>
              <w:t>7</w:t>
            </w:r>
          </w:p>
        </w:tc>
        <w:tc>
          <w:tcPr>
            <w:tcW w:w="1840" w:type="dxa"/>
            <w:noWrap/>
            <w:vAlign w:val="center"/>
          </w:tcPr>
          <w:p w14:paraId="5E4DBE5D">
            <w:pPr>
              <w:pStyle w:val="179"/>
              <w:widowControl w:val="0"/>
              <w:autoSpaceDE w:val="0"/>
              <w:autoSpaceDN w:val="0"/>
              <w:rPr>
                <w:lang w:eastAsia="en-US"/>
              </w:rPr>
            </w:pPr>
            <w:r>
              <w:rPr>
                <w:lang w:eastAsia="en-US"/>
              </w:rPr>
              <w:t>鼠掌老鹳草</w:t>
            </w:r>
          </w:p>
        </w:tc>
        <w:tc>
          <w:tcPr>
            <w:tcW w:w="4755" w:type="dxa"/>
            <w:noWrap/>
            <w:vAlign w:val="center"/>
          </w:tcPr>
          <w:p w14:paraId="756F7206">
            <w:pPr>
              <w:pStyle w:val="179"/>
              <w:widowControl w:val="0"/>
              <w:autoSpaceDE w:val="0"/>
              <w:autoSpaceDN w:val="0"/>
              <w:rPr>
                <w:i/>
                <w:iCs/>
                <w:lang w:eastAsia="en-US"/>
              </w:rPr>
            </w:pPr>
            <w:r>
              <w:rPr>
                <w:i/>
                <w:iCs/>
                <w:lang w:eastAsia="en-US"/>
              </w:rPr>
              <w:t>Geranium sibiricum L.</w:t>
            </w:r>
          </w:p>
        </w:tc>
        <w:tc>
          <w:tcPr>
            <w:tcW w:w="1153" w:type="dxa"/>
            <w:noWrap/>
            <w:vAlign w:val="center"/>
          </w:tcPr>
          <w:p w14:paraId="278ECCCB">
            <w:pPr>
              <w:pStyle w:val="179"/>
              <w:widowControl w:val="0"/>
              <w:autoSpaceDE w:val="0"/>
              <w:autoSpaceDN w:val="0"/>
              <w:rPr>
                <w:lang w:eastAsia="en-US"/>
              </w:rPr>
            </w:pPr>
          </w:p>
        </w:tc>
      </w:tr>
      <w:tr w14:paraId="36A5B6E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68F8B988">
            <w:pPr>
              <w:pStyle w:val="179"/>
              <w:widowControl w:val="0"/>
              <w:autoSpaceDE w:val="0"/>
              <w:autoSpaceDN w:val="0"/>
              <w:rPr>
                <w:lang w:eastAsia="en-US"/>
              </w:rPr>
            </w:pPr>
            <w:r>
              <w:rPr>
                <w:rFonts w:hint="eastAsia"/>
                <w:lang w:eastAsia="en-US"/>
              </w:rPr>
              <w:t>38</w:t>
            </w:r>
          </w:p>
        </w:tc>
        <w:tc>
          <w:tcPr>
            <w:tcW w:w="1840" w:type="dxa"/>
            <w:noWrap/>
            <w:vAlign w:val="center"/>
          </w:tcPr>
          <w:p w14:paraId="1084D9D0">
            <w:pPr>
              <w:pStyle w:val="179"/>
              <w:widowControl w:val="0"/>
              <w:autoSpaceDE w:val="0"/>
              <w:autoSpaceDN w:val="0"/>
              <w:rPr>
                <w:lang w:eastAsia="en-US"/>
              </w:rPr>
            </w:pPr>
            <w:r>
              <w:rPr>
                <w:lang w:eastAsia="en-US"/>
              </w:rPr>
              <w:t>老鹳草</w:t>
            </w:r>
          </w:p>
        </w:tc>
        <w:tc>
          <w:tcPr>
            <w:tcW w:w="4755" w:type="dxa"/>
            <w:noWrap/>
            <w:vAlign w:val="center"/>
          </w:tcPr>
          <w:p w14:paraId="571FE3ED">
            <w:pPr>
              <w:pStyle w:val="179"/>
              <w:widowControl w:val="0"/>
              <w:autoSpaceDE w:val="0"/>
              <w:autoSpaceDN w:val="0"/>
              <w:rPr>
                <w:i/>
                <w:iCs/>
                <w:lang w:eastAsia="en-US"/>
              </w:rPr>
            </w:pPr>
            <w:r>
              <w:rPr>
                <w:i/>
                <w:iCs/>
                <w:lang w:eastAsia="en-US"/>
              </w:rPr>
              <w:t>Geranium wilfordiiMaxim.</w:t>
            </w:r>
          </w:p>
        </w:tc>
        <w:tc>
          <w:tcPr>
            <w:tcW w:w="1153" w:type="dxa"/>
            <w:noWrap/>
            <w:vAlign w:val="center"/>
          </w:tcPr>
          <w:p w14:paraId="4F080696">
            <w:pPr>
              <w:pStyle w:val="179"/>
              <w:widowControl w:val="0"/>
              <w:autoSpaceDE w:val="0"/>
              <w:autoSpaceDN w:val="0"/>
              <w:rPr>
                <w:lang w:eastAsia="en-US"/>
              </w:rPr>
            </w:pPr>
          </w:p>
        </w:tc>
      </w:tr>
      <w:tr w14:paraId="4E2E765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68E92B8B">
            <w:pPr>
              <w:pStyle w:val="179"/>
              <w:widowControl w:val="0"/>
              <w:autoSpaceDE w:val="0"/>
              <w:autoSpaceDN w:val="0"/>
              <w:rPr>
                <w:lang w:eastAsia="en-US"/>
              </w:rPr>
            </w:pPr>
            <w:r>
              <w:rPr>
                <w:rFonts w:hint="eastAsia"/>
                <w:lang w:eastAsia="en-US"/>
              </w:rPr>
              <w:t>39</w:t>
            </w:r>
          </w:p>
        </w:tc>
        <w:tc>
          <w:tcPr>
            <w:tcW w:w="1840" w:type="dxa"/>
            <w:noWrap/>
            <w:vAlign w:val="center"/>
          </w:tcPr>
          <w:p w14:paraId="3D3F4F37">
            <w:pPr>
              <w:pStyle w:val="179"/>
              <w:widowControl w:val="0"/>
              <w:autoSpaceDE w:val="0"/>
              <w:autoSpaceDN w:val="0"/>
              <w:rPr>
                <w:lang w:eastAsia="en-US"/>
              </w:rPr>
            </w:pPr>
            <w:r>
              <w:rPr>
                <w:rFonts w:hint="eastAsia"/>
                <w:lang w:eastAsia="en-US"/>
              </w:rPr>
              <w:t>毛蕊老鹳草</w:t>
            </w:r>
          </w:p>
        </w:tc>
        <w:tc>
          <w:tcPr>
            <w:tcW w:w="4755" w:type="dxa"/>
            <w:noWrap/>
            <w:vAlign w:val="center"/>
          </w:tcPr>
          <w:p w14:paraId="41D2BB48">
            <w:pPr>
              <w:pStyle w:val="179"/>
              <w:widowControl w:val="0"/>
              <w:autoSpaceDE w:val="0"/>
              <w:autoSpaceDN w:val="0"/>
              <w:rPr>
                <w:i/>
                <w:iCs/>
                <w:lang w:eastAsia="en-US"/>
              </w:rPr>
            </w:pPr>
            <w:r>
              <w:rPr>
                <w:i/>
                <w:iCs/>
                <w:lang w:eastAsia="en-US"/>
              </w:rPr>
              <w:t>Geranium platyanthum Duthie</w:t>
            </w:r>
          </w:p>
        </w:tc>
        <w:tc>
          <w:tcPr>
            <w:tcW w:w="1153" w:type="dxa"/>
            <w:noWrap/>
            <w:vAlign w:val="center"/>
          </w:tcPr>
          <w:p w14:paraId="51585F62">
            <w:pPr>
              <w:pStyle w:val="179"/>
              <w:widowControl w:val="0"/>
              <w:autoSpaceDE w:val="0"/>
              <w:autoSpaceDN w:val="0"/>
              <w:rPr>
                <w:lang w:eastAsia="en-US"/>
              </w:rPr>
            </w:pPr>
          </w:p>
        </w:tc>
      </w:tr>
      <w:tr w14:paraId="1F0F653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5708D762">
            <w:pPr>
              <w:pStyle w:val="179"/>
              <w:widowControl w:val="0"/>
              <w:autoSpaceDE w:val="0"/>
              <w:autoSpaceDN w:val="0"/>
              <w:rPr>
                <w:b/>
                <w:lang w:eastAsia="en-US"/>
              </w:rPr>
            </w:pPr>
            <w:r>
              <w:rPr>
                <w:rFonts w:hint="eastAsia"/>
                <w:b/>
                <w:lang w:eastAsia="en-US"/>
              </w:rPr>
              <w:t>十八</w:t>
            </w:r>
          </w:p>
        </w:tc>
        <w:tc>
          <w:tcPr>
            <w:tcW w:w="1840" w:type="dxa"/>
            <w:noWrap/>
            <w:vAlign w:val="center"/>
          </w:tcPr>
          <w:p w14:paraId="68DB254E">
            <w:pPr>
              <w:pStyle w:val="179"/>
              <w:widowControl w:val="0"/>
              <w:autoSpaceDE w:val="0"/>
              <w:autoSpaceDN w:val="0"/>
              <w:rPr>
                <w:b/>
                <w:lang w:eastAsia="en-US"/>
              </w:rPr>
            </w:pPr>
            <w:r>
              <w:rPr>
                <w:rFonts w:hint="eastAsia"/>
                <w:b/>
                <w:lang w:eastAsia="en-US"/>
              </w:rPr>
              <w:t>槭树科</w:t>
            </w:r>
          </w:p>
        </w:tc>
        <w:tc>
          <w:tcPr>
            <w:tcW w:w="4755" w:type="dxa"/>
            <w:noWrap/>
            <w:vAlign w:val="center"/>
          </w:tcPr>
          <w:p w14:paraId="51D9EC05">
            <w:pPr>
              <w:pStyle w:val="179"/>
              <w:widowControl w:val="0"/>
              <w:autoSpaceDE w:val="0"/>
              <w:autoSpaceDN w:val="0"/>
              <w:rPr>
                <w:b/>
                <w:lang w:eastAsia="en-US"/>
              </w:rPr>
            </w:pPr>
            <w:r>
              <w:rPr>
                <w:b/>
                <w:lang w:eastAsia="en-US"/>
              </w:rPr>
              <w:t>Aceraceae</w:t>
            </w:r>
          </w:p>
        </w:tc>
        <w:tc>
          <w:tcPr>
            <w:tcW w:w="1153" w:type="dxa"/>
            <w:noWrap/>
            <w:vAlign w:val="center"/>
          </w:tcPr>
          <w:p w14:paraId="47A68B29">
            <w:pPr>
              <w:pStyle w:val="179"/>
              <w:widowControl w:val="0"/>
              <w:autoSpaceDE w:val="0"/>
              <w:autoSpaceDN w:val="0"/>
              <w:rPr>
                <w:b/>
                <w:lang w:eastAsia="en-US"/>
              </w:rPr>
            </w:pPr>
          </w:p>
        </w:tc>
      </w:tr>
      <w:tr w14:paraId="543DA1B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796F955B">
            <w:pPr>
              <w:pStyle w:val="179"/>
              <w:widowControl w:val="0"/>
              <w:autoSpaceDE w:val="0"/>
              <w:autoSpaceDN w:val="0"/>
              <w:rPr>
                <w:lang w:eastAsia="en-US"/>
              </w:rPr>
            </w:pPr>
            <w:r>
              <w:rPr>
                <w:rFonts w:hint="eastAsia"/>
                <w:lang w:eastAsia="en-US"/>
              </w:rPr>
              <w:t>40</w:t>
            </w:r>
          </w:p>
        </w:tc>
        <w:tc>
          <w:tcPr>
            <w:tcW w:w="1840" w:type="dxa"/>
            <w:noWrap/>
            <w:vAlign w:val="center"/>
          </w:tcPr>
          <w:p w14:paraId="7AA9A2EA">
            <w:pPr>
              <w:pStyle w:val="179"/>
              <w:widowControl w:val="0"/>
              <w:autoSpaceDE w:val="0"/>
              <w:autoSpaceDN w:val="0"/>
              <w:rPr>
                <w:lang w:eastAsia="en-US"/>
              </w:rPr>
            </w:pPr>
            <w:r>
              <w:rPr>
                <w:rFonts w:hint="eastAsia"/>
                <w:lang w:eastAsia="en-US"/>
              </w:rPr>
              <w:t>色木槭</w:t>
            </w:r>
          </w:p>
        </w:tc>
        <w:tc>
          <w:tcPr>
            <w:tcW w:w="4755" w:type="dxa"/>
            <w:noWrap/>
            <w:vAlign w:val="center"/>
          </w:tcPr>
          <w:p w14:paraId="2AD82698">
            <w:pPr>
              <w:pStyle w:val="179"/>
              <w:widowControl w:val="0"/>
              <w:autoSpaceDE w:val="0"/>
              <w:autoSpaceDN w:val="0"/>
              <w:rPr>
                <w:lang w:eastAsia="en-US"/>
              </w:rPr>
            </w:pPr>
            <w:r>
              <w:rPr>
                <w:i/>
                <w:iCs/>
                <w:lang w:eastAsia="en-US"/>
              </w:rPr>
              <w:t>Acer mono</w:t>
            </w:r>
          </w:p>
        </w:tc>
        <w:tc>
          <w:tcPr>
            <w:tcW w:w="1153" w:type="dxa"/>
            <w:noWrap/>
            <w:vAlign w:val="center"/>
          </w:tcPr>
          <w:p w14:paraId="4DCBD534">
            <w:pPr>
              <w:pStyle w:val="179"/>
              <w:widowControl w:val="0"/>
              <w:autoSpaceDE w:val="0"/>
              <w:autoSpaceDN w:val="0"/>
              <w:rPr>
                <w:lang w:eastAsia="en-US"/>
              </w:rPr>
            </w:pPr>
          </w:p>
        </w:tc>
      </w:tr>
      <w:tr w14:paraId="4ED2329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407B3F95">
            <w:pPr>
              <w:pStyle w:val="179"/>
              <w:widowControl w:val="0"/>
              <w:autoSpaceDE w:val="0"/>
              <w:autoSpaceDN w:val="0"/>
              <w:rPr>
                <w:b/>
                <w:lang w:eastAsia="en-US"/>
              </w:rPr>
            </w:pPr>
            <w:r>
              <w:rPr>
                <w:rFonts w:hint="eastAsia"/>
                <w:b/>
                <w:lang w:eastAsia="en-US"/>
              </w:rPr>
              <w:t>十九</w:t>
            </w:r>
          </w:p>
        </w:tc>
        <w:tc>
          <w:tcPr>
            <w:tcW w:w="1840" w:type="dxa"/>
            <w:noWrap/>
            <w:vAlign w:val="center"/>
          </w:tcPr>
          <w:p w14:paraId="4142FAA0">
            <w:pPr>
              <w:pStyle w:val="179"/>
              <w:widowControl w:val="0"/>
              <w:autoSpaceDE w:val="0"/>
              <w:autoSpaceDN w:val="0"/>
              <w:rPr>
                <w:b/>
                <w:lang w:eastAsia="en-US"/>
              </w:rPr>
            </w:pPr>
            <w:r>
              <w:rPr>
                <w:rFonts w:hint="eastAsia"/>
                <w:b/>
                <w:lang w:eastAsia="en-US"/>
              </w:rPr>
              <w:t>卫矛科</w:t>
            </w:r>
          </w:p>
        </w:tc>
        <w:tc>
          <w:tcPr>
            <w:tcW w:w="4755" w:type="dxa"/>
            <w:noWrap/>
            <w:vAlign w:val="center"/>
          </w:tcPr>
          <w:p w14:paraId="796DBDA8">
            <w:pPr>
              <w:pStyle w:val="179"/>
              <w:widowControl w:val="0"/>
              <w:autoSpaceDE w:val="0"/>
              <w:autoSpaceDN w:val="0"/>
              <w:rPr>
                <w:b/>
                <w:lang w:eastAsia="en-US"/>
              </w:rPr>
            </w:pPr>
            <w:r>
              <w:rPr>
                <w:b/>
                <w:lang w:eastAsia="en-US"/>
              </w:rPr>
              <w:t>Celastraceae</w:t>
            </w:r>
          </w:p>
        </w:tc>
        <w:tc>
          <w:tcPr>
            <w:tcW w:w="1153" w:type="dxa"/>
            <w:noWrap/>
            <w:vAlign w:val="center"/>
          </w:tcPr>
          <w:p w14:paraId="1805E99A">
            <w:pPr>
              <w:pStyle w:val="179"/>
              <w:widowControl w:val="0"/>
              <w:autoSpaceDE w:val="0"/>
              <w:autoSpaceDN w:val="0"/>
              <w:rPr>
                <w:b/>
                <w:lang w:eastAsia="en-US"/>
              </w:rPr>
            </w:pPr>
          </w:p>
        </w:tc>
      </w:tr>
      <w:tr w14:paraId="2F17A4A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279C5581">
            <w:pPr>
              <w:pStyle w:val="179"/>
              <w:widowControl w:val="0"/>
              <w:autoSpaceDE w:val="0"/>
              <w:autoSpaceDN w:val="0"/>
              <w:rPr>
                <w:lang w:eastAsia="en-US"/>
              </w:rPr>
            </w:pPr>
            <w:r>
              <w:rPr>
                <w:rFonts w:hint="eastAsia"/>
                <w:lang w:eastAsia="en-US"/>
              </w:rPr>
              <w:t>41</w:t>
            </w:r>
          </w:p>
        </w:tc>
        <w:tc>
          <w:tcPr>
            <w:tcW w:w="1840" w:type="dxa"/>
            <w:noWrap/>
            <w:vAlign w:val="center"/>
          </w:tcPr>
          <w:p w14:paraId="04D8B505">
            <w:pPr>
              <w:pStyle w:val="179"/>
              <w:widowControl w:val="0"/>
              <w:autoSpaceDE w:val="0"/>
              <w:autoSpaceDN w:val="0"/>
              <w:rPr>
                <w:lang w:eastAsia="en-US"/>
              </w:rPr>
            </w:pPr>
            <w:r>
              <w:rPr>
                <w:rFonts w:hint="eastAsia"/>
                <w:lang w:eastAsia="en-US"/>
              </w:rPr>
              <w:t>卫矛</w:t>
            </w:r>
          </w:p>
        </w:tc>
        <w:tc>
          <w:tcPr>
            <w:tcW w:w="4755" w:type="dxa"/>
            <w:noWrap/>
            <w:vAlign w:val="center"/>
          </w:tcPr>
          <w:p w14:paraId="6070305A">
            <w:pPr>
              <w:pStyle w:val="179"/>
              <w:widowControl w:val="0"/>
              <w:autoSpaceDE w:val="0"/>
              <w:autoSpaceDN w:val="0"/>
              <w:rPr>
                <w:lang w:eastAsia="en-US"/>
              </w:rPr>
            </w:pPr>
            <w:r>
              <w:rPr>
                <w:i/>
                <w:iCs/>
                <w:lang w:eastAsia="en-US"/>
              </w:rPr>
              <w:t>E. alatus</w:t>
            </w:r>
          </w:p>
        </w:tc>
        <w:tc>
          <w:tcPr>
            <w:tcW w:w="1153" w:type="dxa"/>
            <w:noWrap/>
            <w:vAlign w:val="center"/>
          </w:tcPr>
          <w:p w14:paraId="28E98536">
            <w:pPr>
              <w:pStyle w:val="179"/>
              <w:widowControl w:val="0"/>
              <w:autoSpaceDE w:val="0"/>
              <w:autoSpaceDN w:val="0"/>
              <w:rPr>
                <w:lang w:eastAsia="en-US"/>
              </w:rPr>
            </w:pPr>
          </w:p>
        </w:tc>
      </w:tr>
      <w:tr w14:paraId="01B4236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457EA326">
            <w:pPr>
              <w:pStyle w:val="179"/>
              <w:widowControl w:val="0"/>
              <w:autoSpaceDE w:val="0"/>
              <w:autoSpaceDN w:val="0"/>
              <w:rPr>
                <w:b/>
                <w:lang w:eastAsia="en-US"/>
              </w:rPr>
            </w:pPr>
            <w:r>
              <w:rPr>
                <w:rFonts w:hint="eastAsia"/>
                <w:b/>
                <w:lang w:eastAsia="en-US"/>
              </w:rPr>
              <w:t>二十</w:t>
            </w:r>
          </w:p>
        </w:tc>
        <w:tc>
          <w:tcPr>
            <w:tcW w:w="1840" w:type="dxa"/>
            <w:noWrap/>
            <w:vAlign w:val="center"/>
          </w:tcPr>
          <w:p w14:paraId="56ADFDDA">
            <w:pPr>
              <w:pStyle w:val="179"/>
              <w:widowControl w:val="0"/>
              <w:autoSpaceDE w:val="0"/>
              <w:autoSpaceDN w:val="0"/>
              <w:rPr>
                <w:b/>
                <w:lang w:eastAsia="en-US"/>
              </w:rPr>
            </w:pPr>
            <w:r>
              <w:rPr>
                <w:b/>
                <w:lang w:eastAsia="en-US"/>
              </w:rPr>
              <w:t>堇菜科</w:t>
            </w:r>
          </w:p>
        </w:tc>
        <w:tc>
          <w:tcPr>
            <w:tcW w:w="4755" w:type="dxa"/>
            <w:noWrap/>
            <w:vAlign w:val="center"/>
          </w:tcPr>
          <w:p w14:paraId="57BA7621">
            <w:pPr>
              <w:pStyle w:val="179"/>
              <w:widowControl w:val="0"/>
              <w:autoSpaceDE w:val="0"/>
              <w:autoSpaceDN w:val="0"/>
              <w:rPr>
                <w:b/>
                <w:lang w:eastAsia="en-US"/>
              </w:rPr>
            </w:pPr>
            <w:r>
              <w:rPr>
                <w:b/>
                <w:lang w:eastAsia="en-US"/>
              </w:rPr>
              <w:t>Violaceae Batsch</w:t>
            </w:r>
          </w:p>
        </w:tc>
        <w:tc>
          <w:tcPr>
            <w:tcW w:w="1153" w:type="dxa"/>
            <w:noWrap/>
            <w:vAlign w:val="center"/>
          </w:tcPr>
          <w:p w14:paraId="71344AE4">
            <w:pPr>
              <w:pStyle w:val="179"/>
              <w:widowControl w:val="0"/>
              <w:autoSpaceDE w:val="0"/>
              <w:autoSpaceDN w:val="0"/>
              <w:rPr>
                <w:b/>
                <w:lang w:eastAsia="en-US"/>
              </w:rPr>
            </w:pPr>
          </w:p>
        </w:tc>
      </w:tr>
      <w:tr w14:paraId="6E919D9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4684F8CF">
            <w:pPr>
              <w:pStyle w:val="179"/>
              <w:widowControl w:val="0"/>
              <w:autoSpaceDE w:val="0"/>
              <w:autoSpaceDN w:val="0"/>
              <w:rPr>
                <w:lang w:eastAsia="en-US"/>
              </w:rPr>
            </w:pPr>
            <w:r>
              <w:rPr>
                <w:rFonts w:hint="eastAsia"/>
                <w:lang w:eastAsia="en-US"/>
              </w:rPr>
              <w:t>42</w:t>
            </w:r>
          </w:p>
        </w:tc>
        <w:tc>
          <w:tcPr>
            <w:tcW w:w="1840" w:type="dxa"/>
            <w:noWrap/>
            <w:vAlign w:val="center"/>
          </w:tcPr>
          <w:p w14:paraId="44CB4797">
            <w:pPr>
              <w:pStyle w:val="179"/>
              <w:widowControl w:val="0"/>
              <w:autoSpaceDE w:val="0"/>
              <w:autoSpaceDN w:val="0"/>
              <w:rPr>
                <w:lang w:eastAsia="en-US"/>
              </w:rPr>
            </w:pPr>
            <w:r>
              <w:rPr>
                <w:lang w:eastAsia="en-US"/>
              </w:rPr>
              <w:t>白花堇菜</w:t>
            </w:r>
          </w:p>
        </w:tc>
        <w:tc>
          <w:tcPr>
            <w:tcW w:w="4755" w:type="dxa"/>
            <w:noWrap/>
            <w:vAlign w:val="center"/>
          </w:tcPr>
          <w:p w14:paraId="631587DA">
            <w:pPr>
              <w:pStyle w:val="179"/>
              <w:widowControl w:val="0"/>
              <w:autoSpaceDE w:val="0"/>
              <w:autoSpaceDN w:val="0"/>
              <w:rPr>
                <w:lang w:eastAsia="en-US"/>
              </w:rPr>
            </w:pPr>
            <w:r>
              <w:rPr>
                <w:i/>
                <w:iCs/>
                <w:lang w:eastAsia="en-US"/>
              </w:rPr>
              <w:t>Viola lactifloraNakai</w:t>
            </w:r>
          </w:p>
        </w:tc>
        <w:tc>
          <w:tcPr>
            <w:tcW w:w="1153" w:type="dxa"/>
            <w:noWrap/>
            <w:vAlign w:val="center"/>
          </w:tcPr>
          <w:p w14:paraId="6B7AA129">
            <w:pPr>
              <w:pStyle w:val="179"/>
              <w:widowControl w:val="0"/>
              <w:autoSpaceDE w:val="0"/>
              <w:autoSpaceDN w:val="0"/>
              <w:rPr>
                <w:lang w:eastAsia="en-US"/>
              </w:rPr>
            </w:pPr>
          </w:p>
        </w:tc>
      </w:tr>
      <w:tr w14:paraId="25B1D8D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5207058B">
            <w:pPr>
              <w:pStyle w:val="179"/>
              <w:widowControl w:val="0"/>
              <w:autoSpaceDE w:val="0"/>
              <w:autoSpaceDN w:val="0"/>
              <w:rPr>
                <w:b/>
                <w:lang w:eastAsia="en-US"/>
              </w:rPr>
            </w:pPr>
            <w:r>
              <w:rPr>
                <w:rFonts w:hint="eastAsia"/>
                <w:b/>
                <w:lang w:eastAsia="en-US"/>
              </w:rPr>
              <w:t>二十一</w:t>
            </w:r>
          </w:p>
        </w:tc>
        <w:tc>
          <w:tcPr>
            <w:tcW w:w="1840" w:type="dxa"/>
            <w:noWrap/>
            <w:vAlign w:val="center"/>
          </w:tcPr>
          <w:p w14:paraId="55C502CE">
            <w:pPr>
              <w:pStyle w:val="179"/>
              <w:widowControl w:val="0"/>
              <w:autoSpaceDE w:val="0"/>
              <w:autoSpaceDN w:val="0"/>
              <w:rPr>
                <w:b/>
                <w:lang w:eastAsia="en-US"/>
              </w:rPr>
            </w:pPr>
            <w:r>
              <w:rPr>
                <w:b/>
                <w:lang w:eastAsia="en-US"/>
              </w:rPr>
              <w:t>伞形科</w:t>
            </w:r>
          </w:p>
        </w:tc>
        <w:tc>
          <w:tcPr>
            <w:tcW w:w="4755" w:type="dxa"/>
            <w:noWrap/>
            <w:vAlign w:val="center"/>
          </w:tcPr>
          <w:p w14:paraId="5C4FD4D1">
            <w:pPr>
              <w:pStyle w:val="179"/>
              <w:widowControl w:val="0"/>
              <w:autoSpaceDE w:val="0"/>
              <w:autoSpaceDN w:val="0"/>
              <w:rPr>
                <w:b/>
                <w:lang w:eastAsia="en-US"/>
              </w:rPr>
            </w:pPr>
            <w:r>
              <w:rPr>
                <w:b/>
                <w:lang w:eastAsia="en-US"/>
              </w:rPr>
              <w:t>Apiaceae Lindl.</w:t>
            </w:r>
          </w:p>
        </w:tc>
        <w:tc>
          <w:tcPr>
            <w:tcW w:w="1153" w:type="dxa"/>
            <w:noWrap/>
            <w:vAlign w:val="center"/>
          </w:tcPr>
          <w:p w14:paraId="5C80A55A">
            <w:pPr>
              <w:pStyle w:val="179"/>
              <w:widowControl w:val="0"/>
              <w:autoSpaceDE w:val="0"/>
              <w:autoSpaceDN w:val="0"/>
              <w:rPr>
                <w:b/>
                <w:lang w:eastAsia="en-US"/>
              </w:rPr>
            </w:pPr>
          </w:p>
        </w:tc>
      </w:tr>
      <w:tr w14:paraId="02562A4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23FEF51A">
            <w:pPr>
              <w:pStyle w:val="179"/>
              <w:widowControl w:val="0"/>
              <w:autoSpaceDE w:val="0"/>
              <w:autoSpaceDN w:val="0"/>
              <w:rPr>
                <w:lang w:eastAsia="en-US"/>
              </w:rPr>
            </w:pPr>
            <w:r>
              <w:rPr>
                <w:rFonts w:hint="eastAsia"/>
                <w:lang w:eastAsia="en-US"/>
              </w:rPr>
              <w:t>43</w:t>
            </w:r>
          </w:p>
        </w:tc>
        <w:tc>
          <w:tcPr>
            <w:tcW w:w="1840" w:type="dxa"/>
            <w:noWrap/>
            <w:vAlign w:val="center"/>
          </w:tcPr>
          <w:p w14:paraId="3647470F">
            <w:pPr>
              <w:pStyle w:val="179"/>
              <w:widowControl w:val="0"/>
              <w:autoSpaceDE w:val="0"/>
              <w:autoSpaceDN w:val="0"/>
              <w:rPr>
                <w:lang w:eastAsia="en-US"/>
              </w:rPr>
            </w:pPr>
            <w:r>
              <w:rPr>
                <w:rFonts w:hint="eastAsia"/>
                <w:lang w:eastAsia="en-US"/>
              </w:rPr>
              <w:t>大叶柴胡</w:t>
            </w:r>
          </w:p>
        </w:tc>
        <w:tc>
          <w:tcPr>
            <w:tcW w:w="4755" w:type="dxa"/>
            <w:noWrap/>
            <w:vAlign w:val="center"/>
          </w:tcPr>
          <w:p w14:paraId="1A1F3418">
            <w:pPr>
              <w:pStyle w:val="179"/>
              <w:widowControl w:val="0"/>
              <w:autoSpaceDE w:val="0"/>
              <w:autoSpaceDN w:val="0"/>
              <w:rPr>
                <w:i/>
                <w:iCs/>
                <w:lang w:eastAsia="en-US"/>
              </w:rPr>
            </w:pPr>
            <w:r>
              <w:rPr>
                <w:i/>
                <w:iCs/>
                <w:lang w:eastAsia="en-US"/>
              </w:rPr>
              <w:t>Bupleurum longiradiatum</w:t>
            </w:r>
          </w:p>
        </w:tc>
        <w:tc>
          <w:tcPr>
            <w:tcW w:w="1153" w:type="dxa"/>
            <w:noWrap/>
            <w:vAlign w:val="center"/>
          </w:tcPr>
          <w:p w14:paraId="731CAB1E">
            <w:pPr>
              <w:pStyle w:val="179"/>
              <w:widowControl w:val="0"/>
              <w:autoSpaceDE w:val="0"/>
              <w:autoSpaceDN w:val="0"/>
              <w:rPr>
                <w:lang w:eastAsia="en-US"/>
              </w:rPr>
            </w:pPr>
          </w:p>
        </w:tc>
      </w:tr>
      <w:tr w14:paraId="3657CEF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6A8684C5">
            <w:pPr>
              <w:pStyle w:val="179"/>
              <w:widowControl w:val="0"/>
              <w:autoSpaceDE w:val="0"/>
              <w:autoSpaceDN w:val="0"/>
              <w:rPr>
                <w:lang w:eastAsia="en-US"/>
              </w:rPr>
            </w:pPr>
            <w:r>
              <w:rPr>
                <w:rFonts w:hint="eastAsia"/>
                <w:lang w:eastAsia="en-US"/>
              </w:rPr>
              <w:t>44</w:t>
            </w:r>
          </w:p>
        </w:tc>
        <w:tc>
          <w:tcPr>
            <w:tcW w:w="1840" w:type="dxa"/>
            <w:noWrap/>
            <w:vAlign w:val="center"/>
          </w:tcPr>
          <w:p w14:paraId="0D30BB9C">
            <w:pPr>
              <w:pStyle w:val="179"/>
              <w:widowControl w:val="0"/>
              <w:autoSpaceDE w:val="0"/>
              <w:autoSpaceDN w:val="0"/>
              <w:rPr>
                <w:lang w:eastAsia="en-US"/>
              </w:rPr>
            </w:pPr>
            <w:r>
              <w:rPr>
                <w:rFonts w:hint="eastAsia"/>
                <w:lang w:eastAsia="en-US"/>
              </w:rPr>
              <w:t>红花鹿蹄草</w:t>
            </w:r>
          </w:p>
        </w:tc>
        <w:tc>
          <w:tcPr>
            <w:tcW w:w="4755" w:type="dxa"/>
            <w:noWrap/>
            <w:vAlign w:val="center"/>
          </w:tcPr>
          <w:p w14:paraId="29DE4EFB">
            <w:pPr>
              <w:pStyle w:val="179"/>
              <w:widowControl w:val="0"/>
              <w:autoSpaceDE w:val="0"/>
              <w:autoSpaceDN w:val="0"/>
              <w:rPr>
                <w:i/>
                <w:iCs/>
                <w:lang w:eastAsia="en-US"/>
              </w:rPr>
            </w:pPr>
            <w:r>
              <w:rPr>
                <w:i/>
                <w:iCs/>
                <w:lang w:eastAsia="en-US"/>
              </w:rPr>
              <w:t>Pyrola incarnata</w:t>
            </w:r>
          </w:p>
        </w:tc>
        <w:tc>
          <w:tcPr>
            <w:tcW w:w="1153" w:type="dxa"/>
            <w:noWrap/>
            <w:vAlign w:val="center"/>
          </w:tcPr>
          <w:p w14:paraId="211E3AA4">
            <w:pPr>
              <w:pStyle w:val="179"/>
              <w:widowControl w:val="0"/>
              <w:autoSpaceDE w:val="0"/>
              <w:autoSpaceDN w:val="0"/>
              <w:rPr>
                <w:lang w:eastAsia="en-US"/>
              </w:rPr>
            </w:pPr>
          </w:p>
        </w:tc>
      </w:tr>
      <w:tr w14:paraId="351E100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65A9DA92">
            <w:pPr>
              <w:pStyle w:val="179"/>
              <w:widowControl w:val="0"/>
              <w:autoSpaceDE w:val="0"/>
              <w:autoSpaceDN w:val="0"/>
              <w:rPr>
                <w:lang w:eastAsia="en-US"/>
              </w:rPr>
            </w:pPr>
            <w:r>
              <w:rPr>
                <w:rFonts w:hint="eastAsia"/>
                <w:lang w:eastAsia="en-US"/>
              </w:rPr>
              <w:t>45</w:t>
            </w:r>
          </w:p>
        </w:tc>
        <w:tc>
          <w:tcPr>
            <w:tcW w:w="1840" w:type="dxa"/>
            <w:noWrap/>
            <w:vAlign w:val="center"/>
          </w:tcPr>
          <w:p w14:paraId="007AD436">
            <w:pPr>
              <w:pStyle w:val="179"/>
              <w:widowControl w:val="0"/>
              <w:autoSpaceDE w:val="0"/>
              <w:autoSpaceDN w:val="0"/>
              <w:rPr>
                <w:lang w:eastAsia="en-US"/>
              </w:rPr>
            </w:pPr>
            <w:r>
              <w:rPr>
                <w:rFonts w:hint="eastAsia"/>
                <w:lang w:eastAsia="en-US"/>
              </w:rPr>
              <w:t>东北羊角芹</w:t>
            </w:r>
          </w:p>
        </w:tc>
        <w:tc>
          <w:tcPr>
            <w:tcW w:w="4755" w:type="dxa"/>
            <w:noWrap/>
            <w:vAlign w:val="center"/>
          </w:tcPr>
          <w:p w14:paraId="3C15027F">
            <w:pPr>
              <w:pStyle w:val="179"/>
              <w:widowControl w:val="0"/>
              <w:autoSpaceDE w:val="0"/>
              <w:autoSpaceDN w:val="0"/>
              <w:rPr>
                <w:i/>
                <w:iCs/>
                <w:lang w:eastAsia="en-US"/>
              </w:rPr>
            </w:pPr>
            <w:r>
              <w:rPr>
                <w:i/>
                <w:iCs/>
                <w:lang w:eastAsia="en-US"/>
              </w:rPr>
              <w:t>Aegopodium alpestre Ledeb.</w:t>
            </w:r>
          </w:p>
        </w:tc>
        <w:tc>
          <w:tcPr>
            <w:tcW w:w="1153" w:type="dxa"/>
            <w:noWrap/>
            <w:vAlign w:val="center"/>
          </w:tcPr>
          <w:p w14:paraId="222BC328">
            <w:pPr>
              <w:pStyle w:val="179"/>
              <w:widowControl w:val="0"/>
              <w:autoSpaceDE w:val="0"/>
              <w:autoSpaceDN w:val="0"/>
              <w:rPr>
                <w:lang w:eastAsia="en-US"/>
              </w:rPr>
            </w:pPr>
          </w:p>
        </w:tc>
      </w:tr>
      <w:tr w14:paraId="7DB7465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253CDD02">
            <w:pPr>
              <w:pStyle w:val="179"/>
              <w:widowControl w:val="0"/>
              <w:autoSpaceDE w:val="0"/>
              <w:autoSpaceDN w:val="0"/>
              <w:rPr>
                <w:b/>
                <w:lang w:eastAsia="en-US"/>
              </w:rPr>
            </w:pPr>
            <w:r>
              <w:rPr>
                <w:rFonts w:hint="eastAsia"/>
                <w:b/>
                <w:lang w:eastAsia="en-US"/>
              </w:rPr>
              <w:t>二十二</w:t>
            </w:r>
          </w:p>
        </w:tc>
        <w:tc>
          <w:tcPr>
            <w:tcW w:w="1840" w:type="dxa"/>
            <w:noWrap/>
            <w:vAlign w:val="center"/>
          </w:tcPr>
          <w:p w14:paraId="030EDE8B">
            <w:pPr>
              <w:pStyle w:val="179"/>
              <w:widowControl w:val="0"/>
              <w:autoSpaceDE w:val="0"/>
              <w:autoSpaceDN w:val="0"/>
              <w:rPr>
                <w:b/>
                <w:lang w:eastAsia="en-US"/>
              </w:rPr>
            </w:pPr>
            <w:r>
              <w:rPr>
                <w:rFonts w:hint="eastAsia"/>
                <w:b/>
                <w:lang w:eastAsia="en-US"/>
              </w:rPr>
              <w:t>杜鹃花科</w:t>
            </w:r>
          </w:p>
        </w:tc>
        <w:tc>
          <w:tcPr>
            <w:tcW w:w="4755" w:type="dxa"/>
            <w:noWrap/>
            <w:vAlign w:val="center"/>
          </w:tcPr>
          <w:p w14:paraId="28E044FE">
            <w:pPr>
              <w:pStyle w:val="179"/>
              <w:widowControl w:val="0"/>
              <w:autoSpaceDE w:val="0"/>
              <w:autoSpaceDN w:val="0"/>
              <w:rPr>
                <w:b/>
                <w:lang w:eastAsia="en-US"/>
              </w:rPr>
            </w:pPr>
            <w:r>
              <w:rPr>
                <w:b/>
                <w:lang w:eastAsia="en-US"/>
              </w:rPr>
              <w:t>Ericaceae</w:t>
            </w:r>
          </w:p>
        </w:tc>
        <w:tc>
          <w:tcPr>
            <w:tcW w:w="1153" w:type="dxa"/>
            <w:noWrap/>
            <w:vAlign w:val="center"/>
          </w:tcPr>
          <w:p w14:paraId="24DFE3BD">
            <w:pPr>
              <w:pStyle w:val="179"/>
              <w:widowControl w:val="0"/>
              <w:autoSpaceDE w:val="0"/>
              <w:autoSpaceDN w:val="0"/>
              <w:rPr>
                <w:b/>
                <w:lang w:eastAsia="en-US"/>
              </w:rPr>
            </w:pPr>
          </w:p>
        </w:tc>
      </w:tr>
      <w:tr w14:paraId="18557BE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0F13AF0D">
            <w:pPr>
              <w:pStyle w:val="179"/>
              <w:widowControl w:val="0"/>
              <w:autoSpaceDE w:val="0"/>
              <w:autoSpaceDN w:val="0"/>
              <w:rPr>
                <w:lang w:eastAsia="en-US"/>
              </w:rPr>
            </w:pPr>
            <w:r>
              <w:rPr>
                <w:rFonts w:hint="eastAsia"/>
                <w:lang w:eastAsia="en-US"/>
              </w:rPr>
              <w:t>46</w:t>
            </w:r>
          </w:p>
        </w:tc>
        <w:tc>
          <w:tcPr>
            <w:tcW w:w="1840" w:type="dxa"/>
            <w:noWrap/>
            <w:vAlign w:val="center"/>
          </w:tcPr>
          <w:p w14:paraId="2724BF9E">
            <w:pPr>
              <w:pStyle w:val="179"/>
              <w:widowControl w:val="0"/>
              <w:autoSpaceDE w:val="0"/>
              <w:autoSpaceDN w:val="0"/>
              <w:rPr>
                <w:lang w:eastAsia="en-US"/>
              </w:rPr>
            </w:pPr>
            <w:r>
              <w:rPr>
                <w:lang w:eastAsia="en-US"/>
              </w:rPr>
              <w:t>笃斯越橘</w:t>
            </w:r>
          </w:p>
        </w:tc>
        <w:tc>
          <w:tcPr>
            <w:tcW w:w="4755" w:type="dxa"/>
            <w:noWrap/>
            <w:vAlign w:val="center"/>
          </w:tcPr>
          <w:p w14:paraId="51370883">
            <w:pPr>
              <w:pStyle w:val="179"/>
              <w:widowControl w:val="0"/>
              <w:autoSpaceDE w:val="0"/>
              <w:autoSpaceDN w:val="0"/>
              <w:rPr>
                <w:i/>
                <w:iCs/>
                <w:lang w:eastAsia="en-US"/>
              </w:rPr>
            </w:pPr>
            <w:r>
              <w:rPr>
                <w:i/>
                <w:iCs/>
                <w:lang w:eastAsia="en-US"/>
              </w:rPr>
              <w:t>Vaccinium uliginosumL.</w:t>
            </w:r>
          </w:p>
        </w:tc>
        <w:tc>
          <w:tcPr>
            <w:tcW w:w="1153" w:type="dxa"/>
            <w:noWrap/>
            <w:vAlign w:val="center"/>
          </w:tcPr>
          <w:p w14:paraId="23E6BB72">
            <w:pPr>
              <w:pStyle w:val="179"/>
              <w:widowControl w:val="0"/>
              <w:autoSpaceDE w:val="0"/>
              <w:autoSpaceDN w:val="0"/>
              <w:rPr>
                <w:lang w:eastAsia="en-US"/>
              </w:rPr>
            </w:pPr>
          </w:p>
        </w:tc>
      </w:tr>
      <w:tr w14:paraId="67D7A87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166434A1">
            <w:pPr>
              <w:pStyle w:val="179"/>
              <w:widowControl w:val="0"/>
              <w:autoSpaceDE w:val="0"/>
              <w:autoSpaceDN w:val="0"/>
              <w:rPr>
                <w:lang w:eastAsia="en-US"/>
              </w:rPr>
            </w:pPr>
            <w:r>
              <w:rPr>
                <w:rFonts w:hint="eastAsia"/>
                <w:lang w:eastAsia="en-US"/>
              </w:rPr>
              <w:t>47</w:t>
            </w:r>
          </w:p>
        </w:tc>
        <w:tc>
          <w:tcPr>
            <w:tcW w:w="1840" w:type="dxa"/>
            <w:noWrap/>
            <w:vAlign w:val="center"/>
          </w:tcPr>
          <w:p w14:paraId="301D1004">
            <w:pPr>
              <w:pStyle w:val="179"/>
              <w:widowControl w:val="0"/>
              <w:autoSpaceDE w:val="0"/>
              <w:autoSpaceDN w:val="0"/>
              <w:rPr>
                <w:lang w:eastAsia="en-US"/>
              </w:rPr>
            </w:pPr>
            <w:r>
              <w:rPr>
                <w:rFonts w:hint="eastAsia"/>
                <w:lang w:eastAsia="en-US"/>
              </w:rPr>
              <w:t>越橘</w:t>
            </w:r>
          </w:p>
        </w:tc>
        <w:tc>
          <w:tcPr>
            <w:tcW w:w="4755" w:type="dxa"/>
            <w:noWrap/>
            <w:vAlign w:val="center"/>
          </w:tcPr>
          <w:p w14:paraId="23A81E1D">
            <w:pPr>
              <w:pStyle w:val="179"/>
              <w:widowControl w:val="0"/>
              <w:autoSpaceDE w:val="0"/>
              <w:autoSpaceDN w:val="0"/>
              <w:rPr>
                <w:i/>
                <w:iCs/>
                <w:lang w:eastAsia="en-US"/>
              </w:rPr>
            </w:pPr>
            <w:r>
              <w:rPr>
                <w:i/>
                <w:iCs/>
                <w:lang w:eastAsia="en-US"/>
              </w:rPr>
              <w:t>Vaccinium vitis-idaeaL.</w:t>
            </w:r>
          </w:p>
        </w:tc>
        <w:tc>
          <w:tcPr>
            <w:tcW w:w="1153" w:type="dxa"/>
            <w:noWrap/>
            <w:vAlign w:val="center"/>
          </w:tcPr>
          <w:p w14:paraId="3940D0E1">
            <w:pPr>
              <w:pStyle w:val="179"/>
              <w:widowControl w:val="0"/>
              <w:autoSpaceDE w:val="0"/>
              <w:autoSpaceDN w:val="0"/>
              <w:rPr>
                <w:lang w:eastAsia="en-US"/>
              </w:rPr>
            </w:pPr>
          </w:p>
        </w:tc>
      </w:tr>
      <w:tr w14:paraId="4557790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07E7CD57">
            <w:pPr>
              <w:pStyle w:val="179"/>
              <w:widowControl w:val="0"/>
              <w:autoSpaceDE w:val="0"/>
              <w:autoSpaceDN w:val="0"/>
              <w:rPr>
                <w:b/>
                <w:lang w:eastAsia="en-US"/>
              </w:rPr>
            </w:pPr>
            <w:r>
              <w:rPr>
                <w:rFonts w:hint="eastAsia"/>
                <w:b/>
                <w:lang w:eastAsia="en-US"/>
              </w:rPr>
              <w:t>二十三</w:t>
            </w:r>
          </w:p>
        </w:tc>
        <w:tc>
          <w:tcPr>
            <w:tcW w:w="1840" w:type="dxa"/>
            <w:noWrap/>
            <w:vAlign w:val="center"/>
          </w:tcPr>
          <w:p w14:paraId="47B8915C">
            <w:pPr>
              <w:pStyle w:val="179"/>
              <w:widowControl w:val="0"/>
              <w:autoSpaceDE w:val="0"/>
              <w:autoSpaceDN w:val="0"/>
              <w:rPr>
                <w:b/>
                <w:lang w:eastAsia="en-US"/>
              </w:rPr>
            </w:pPr>
            <w:r>
              <w:rPr>
                <w:b/>
                <w:lang w:eastAsia="en-US"/>
              </w:rPr>
              <w:t>报春花科</w:t>
            </w:r>
          </w:p>
        </w:tc>
        <w:tc>
          <w:tcPr>
            <w:tcW w:w="4755" w:type="dxa"/>
            <w:noWrap/>
            <w:vAlign w:val="center"/>
          </w:tcPr>
          <w:p w14:paraId="070D8ADF">
            <w:pPr>
              <w:pStyle w:val="179"/>
              <w:widowControl w:val="0"/>
              <w:autoSpaceDE w:val="0"/>
              <w:autoSpaceDN w:val="0"/>
              <w:rPr>
                <w:b/>
                <w:lang w:eastAsia="en-US"/>
              </w:rPr>
            </w:pPr>
            <w:r>
              <w:rPr>
                <w:b/>
                <w:lang w:eastAsia="en-US"/>
              </w:rPr>
              <w:t>Primulaceae Batsch ex Borkh.</w:t>
            </w:r>
          </w:p>
        </w:tc>
        <w:tc>
          <w:tcPr>
            <w:tcW w:w="1153" w:type="dxa"/>
            <w:noWrap/>
            <w:vAlign w:val="center"/>
          </w:tcPr>
          <w:p w14:paraId="64A6C61A">
            <w:pPr>
              <w:pStyle w:val="179"/>
              <w:widowControl w:val="0"/>
              <w:autoSpaceDE w:val="0"/>
              <w:autoSpaceDN w:val="0"/>
              <w:rPr>
                <w:b/>
                <w:lang w:eastAsia="en-US"/>
              </w:rPr>
            </w:pPr>
          </w:p>
        </w:tc>
      </w:tr>
      <w:tr w14:paraId="7A173BE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78186AE9">
            <w:pPr>
              <w:pStyle w:val="179"/>
              <w:widowControl w:val="0"/>
              <w:autoSpaceDE w:val="0"/>
              <w:autoSpaceDN w:val="0"/>
              <w:rPr>
                <w:lang w:eastAsia="en-US"/>
              </w:rPr>
            </w:pPr>
            <w:r>
              <w:rPr>
                <w:rFonts w:hint="eastAsia"/>
                <w:lang w:eastAsia="en-US"/>
              </w:rPr>
              <w:t>48</w:t>
            </w:r>
          </w:p>
        </w:tc>
        <w:tc>
          <w:tcPr>
            <w:tcW w:w="1840" w:type="dxa"/>
            <w:noWrap/>
            <w:vAlign w:val="center"/>
          </w:tcPr>
          <w:p w14:paraId="670E3F51">
            <w:pPr>
              <w:pStyle w:val="179"/>
              <w:widowControl w:val="0"/>
              <w:autoSpaceDE w:val="0"/>
              <w:autoSpaceDN w:val="0"/>
              <w:rPr>
                <w:lang w:eastAsia="en-US"/>
              </w:rPr>
            </w:pPr>
            <w:r>
              <w:rPr>
                <w:lang w:eastAsia="en-US"/>
              </w:rPr>
              <w:t>东北点地梅</w:t>
            </w:r>
          </w:p>
        </w:tc>
        <w:tc>
          <w:tcPr>
            <w:tcW w:w="4755" w:type="dxa"/>
            <w:noWrap/>
            <w:vAlign w:val="center"/>
          </w:tcPr>
          <w:p w14:paraId="75C25AF5">
            <w:pPr>
              <w:pStyle w:val="179"/>
              <w:widowControl w:val="0"/>
              <w:autoSpaceDE w:val="0"/>
              <w:autoSpaceDN w:val="0"/>
              <w:rPr>
                <w:lang w:eastAsia="en-US"/>
              </w:rPr>
            </w:pPr>
            <w:r>
              <w:rPr>
                <w:i/>
                <w:iCs/>
                <w:lang w:eastAsia="en-US"/>
              </w:rPr>
              <w:t>Androsace filiformisRetz.</w:t>
            </w:r>
          </w:p>
        </w:tc>
        <w:tc>
          <w:tcPr>
            <w:tcW w:w="1153" w:type="dxa"/>
            <w:noWrap/>
            <w:vAlign w:val="center"/>
          </w:tcPr>
          <w:p w14:paraId="2D361144">
            <w:pPr>
              <w:pStyle w:val="179"/>
              <w:widowControl w:val="0"/>
              <w:autoSpaceDE w:val="0"/>
              <w:autoSpaceDN w:val="0"/>
              <w:rPr>
                <w:lang w:eastAsia="en-US"/>
              </w:rPr>
            </w:pPr>
          </w:p>
        </w:tc>
      </w:tr>
      <w:tr w14:paraId="49087B0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6B61C654">
            <w:pPr>
              <w:pStyle w:val="179"/>
              <w:widowControl w:val="0"/>
              <w:autoSpaceDE w:val="0"/>
              <w:autoSpaceDN w:val="0"/>
              <w:rPr>
                <w:b/>
                <w:lang w:eastAsia="en-US"/>
              </w:rPr>
            </w:pPr>
            <w:r>
              <w:rPr>
                <w:rFonts w:hint="eastAsia"/>
                <w:b/>
                <w:lang w:eastAsia="en-US"/>
              </w:rPr>
              <w:t>二十四</w:t>
            </w:r>
          </w:p>
        </w:tc>
        <w:tc>
          <w:tcPr>
            <w:tcW w:w="1840" w:type="dxa"/>
            <w:noWrap/>
            <w:vAlign w:val="center"/>
          </w:tcPr>
          <w:p w14:paraId="353D42DE">
            <w:pPr>
              <w:pStyle w:val="179"/>
              <w:widowControl w:val="0"/>
              <w:autoSpaceDE w:val="0"/>
              <w:autoSpaceDN w:val="0"/>
              <w:rPr>
                <w:b/>
                <w:lang w:eastAsia="en-US"/>
              </w:rPr>
            </w:pPr>
            <w:r>
              <w:rPr>
                <w:b/>
                <w:lang w:eastAsia="en-US"/>
              </w:rPr>
              <w:t>夹竹桃科</w:t>
            </w:r>
          </w:p>
        </w:tc>
        <w:tc>
          <w:tcPr>
            <w:tcW w:w="4755" w:type="dxa"/>
            <w:noWrap/>
            <w:vAlign w:val="center"/>
          </w:tcPr>
          <w:p w14:paraId="7163775E">
            <w:pPr>
              <w:pStyle w:val="179"/>
              <w:widowControl w:val="0"/>
              <w:autoSpaceDE w:val="0"/>
              <w:autoSpaceDN w:val="0"/>
              <w:rPr>
                <w:b/>
                <w:lang w:eastAsia="en-US"/>
              </w:rPr>
            </w:pPr>
            <w:r>
              <w:rPr>
                <w:b/>
                <w:lang w:eastAsia="en-US"/>
              </w:rPr>
              <w:t>Apocynaceae Juss.</w:t>
            </w:r>
          </w:p>
        </w:tc>
        <w:tc>
          <w:tcPr>
            <w:tcW w:w="1153" w:type="dxa"/>
            <w:noWrap/>
            <w:vAlign w:val="center"/>
          </w:tcPr>
          <w:p w14:paraId="320785ED">
            <w:pPr>
              <w:pStyle w:val="179"/>
              <w:widowControl w:val="0"/>
              <w:autoSpaceDE w:val="0"/>
              <w:autoSpaceDN w:val="0"/>
              <w:rPr>
                <w:b/>
                <w:lang w:eastAsia="en-US"/>
              </w:rPr>
            </w:pPr>
          </w:p>
        </w:tc>
      </w:tr>
      <w:tr w14:paraId="7AE6433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32E935A1">
            <w:pPr>
              <w:pStyle w:val="179"/>
              <w:widowControl w:val="0"/>
              <w:autoSpaceDE w:val="0"/>
              <w:autoSpaceDN w:val="0"/>
              <w:rPr>
                <w:lang w:eastAsia="en-US"/>
              </w:rPr>
            </w:pPr>
            <w:r>
              <w:rPr>
                <w:rFonts w:hint="eastAsia"/>
                <w:lang w:eastAsia="en-US"/>
              </w:rPr>
              <w:t>49</w:t>
            </w:r>
          </w:p>
        </w:tc>
        <w:tc>
          <w:tcPr>
            <w:tcW w:w="1840" w:type="dxa"/>
            <w:noWrap/>
            <w:vAlign w:val="center"/>
          </w:tcPr>
          <w:p w14:paraId="535F5BB9">
            <w:pPr>
              <w:pStyle w:val="179"/>
              <w:widowControl w:val="0"/>
              <w:autoSpaceDE w:val="0"/>
              <w:autoSpaceDN w:val="0"/>
              <w:rPr>
                <w:lang w:eastAsia="en-US"/>
              </w:rPr>
            </w:pPr>
            <w:r>
              <w:rPr>
                <w:lang w:eastAsia="en-US"/>
              </w:rPr>
              <w:t>萝藦</w:t>
            </w:r>
          </w:p>
        </w:tc>
        <w:tc>
          <w:tcPr>
            <w:tcW w:w="4755" w:type="dxa"/>
            <w:noWrap/>
            <w:vAlign w:val="center"/>
          </w:tcPr>
          <w:p w14:paraId="5FDE0194">
            <w:pPr>
              <w:pStyle w:val="179"/>
              <w:widowControl w:val="0"/>
              <w:autoSpaceDE w:val="0"/>
              <w:autoSpaceDN w:val="0"/>
              <w:rPr>
                <w:lang w:eastAsia="en-US"/>
              </w:rPr>
            </w:pPr>
            <w:r>
              <w:rPr>
                <w:i/>
                <w:iCs/>
                <w:lang w:eastAsia="en-US"/>
              </w:rPr>
              <w:t>Metaplexis japonica （Thunb.</w:t>
            </w:r>
            <w:r>
              <w:rPr>
                <w:rFonts w:hint="eastAsia"/>
                <w:i/>
                <w:iCs/>
                <w:lang w:eastAsia="en-US"/>
              </w:rPr>
              <w:t>）</w:t>
            </w:r>
            <w:r>
              <w:rPr>
                <w:i/>
                <w:iCs/>
                <w:lang w:eastAsia="en-US"/>
              </w:rPr>
              <w:t>） Makino</w:t>
            </w:r>
          </w:p>
        </w:tc>
        <w:tc>
          <w:tcPr>
            <w:tcW w:w="1153" w:type="dxa"/>
            <w:noWrap/>
            <w:vAlign w:val="center"/>
          </w:tcPr>
          <w:p w14:paraId="10A248C2">
            <w:pPr>
              <w:pStyle w:val="179"/>
              <w:widowControl w:val="0"/>
              <w:autoSpaceDE w:val="0"/>
              <w:autoSpaceDN w:val="0"/>
              <w:rPr>
                <w:lang w:eastAsia="en-US"/>
              </w:rPr>
            </w:pPr>
          </w:p>
        </w:tc>
      </w:tr>
      <w:tr w14:paraId="6A146F1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651FEC36">
            <w:pPr>
              <w:pStyle w:val="179"/>
              <w:widowControl w:val="0"/>
              <w:autoSpaceDE w:val="0"/>
              <w:autoSpaceDN w:val="0"/>
              <w:rPr>
                <w:b/>
                <w:lang w:eastAsia="en-US"/>
              </w:rPr>
            </w:pPr>
            <w:r>
              <w:rPr>
                <w:rFonts w:hint="eastAsia"/>
                <w:b/>
                <w:lang w:eastAsia="en-US"/>
              </w:rPr>
              <w:t>二十五</w:t>
            </w:r>
          </w:p>
        </w:tc>
        <w:tc>
          <w:tcPr>
            <w:tcW w:w="1840" w:type="dxa"/>
            <w:noWrap/>
            <w:vAlign w:val="center"/>
          </w:tcPr>
          <w:p w14:paraId="15F38479">
            <w:pPr>
              <w:pStyle w:val="179"/>
              <w:widowControl w:val="0"/>
              <w:autoSpaceDE w:val="0"/>
              <w:autoSpaceDN w:val="0"/>
              <w:rPr>
                <w:b/>
                <w:lang w:eastAsia="en-US"/>
              </w:rPr>
            </w:pPr>
            <w:r>
              <w:rPr>
                <w:b/>
                <w:lang w:eastAsia="en-US"/>
              </w:rPr>
              <w:t>茜草科</w:t>
            </w:r>
          </w:p>
        </w:tc>
        <w:tc>
          <w:tcPr>
            <w:tcW w:w="4755" w:type="dxa"/>
            <w:noWrap/>
            <w:vAlign w:val="center"/>
          </w:tcPr>
          <w:p w14:paraId="1B8E2B2E">
            <w:pPr>
              <w:pStyle w:val="179"/>
              <w:widowControl w:val="0"/>
              <w:autoSpaceDE w:val="0"/>
              <w:autoSpaceDN w:val="0"/>
              <w:rPr>
                <w:b/>
                <w:lang w:eastAsia="en-US"/>
              </w:rPr>
            </w:pPr>
            <w:r>
              <w:rPr>
                <w:b/>
                <w:lang w:eastAsia="en-US"/>
              </w:rPr>
              <w:t>RubiaceaeJuss.</w:t>
            </w:r>
          </w:p>
        </w:tc>
        <w:tc>
          <w:tcPr>
            <w:tcW w:w="1153" w:type="dxa"/>
            <w:noWrap/>
            <w:vAlign w:val="center"/>
          </w:tcPr>
          <w:p w14:paraId="27973CB0">
            <w:pPr>
              <w:pStyle w:val="179"/>
              <w:widowControl w:val="0"/>
              <w:autoSpaceDE w:val="0"/>
              <w:autoSpaceDN w:val="0"/>
              <w:rPr>
                <w:b/>
                <w:lang w:eastAsia="en-US"/>
              </w:rPr>
            </w:pPr>
          </w:p>
        </w:tc>
      </w:tr>
      <w:tr w14:paraId="2AE2BAE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19347E06">
            <w:pPr>
              <w:pStyle w:val="179"/>
              <w:widowControl w:val="0"/>
              <w:autoSpaceDE w:val="0"/>
              <w:autoSpaceDN w:val="0"/>
              <w:rPr>
                <w:lang w:eastAsia="en-US"/>
              </w:rPr>
            </w:pPr>
            <w:r>
              <w:rPr>
                <w:rFonts w:hint="eastAsia"/>
                <w:lang w:eastAsia="en-US"/>
              </w:rPr>
              <w:t>50</w:t>
            </w:r>
          </w:p>
        </w:tc>
        <w:tc>
          <w:tcPr>
            <w:tcW w:w="1840" w:type="dxa"/>
            <w:noWrap/>
            <w:vAlign w:val="center"/>
          </w:tcPr>
          <w:p w14:paraId="0DA1B999">
            <w:pPr>
              <w:pStyle w:val="179"/>
              <w:widowControl w:val="0"/>
              <w:autoSpaceDE w:val="0"/>
              <w:autoSpaceDN w:val="0"/>
              <w:rPr>
                <w:lang w:eastAsia="en-US"/>
              </w:rPr>
            </w:pPr>
            <w:r>
              <w:rPr>
                <w:lang w:eastAsia="en-US"/>
              </w:rPr>
              <w:t>猪殃殃</w:t>
            </w:r>
          </w:p>
        </w:tc>
        <w:tc>
          <w:tcPr>
            <w:tcW w:w="4755" w:type="dxa"/>
            <w:noWrap/>
            <w:vAlign w:val="center"/>
          </w:tcPr>
          <w:p w14:paraId="482E7FEB">
            <w:pPr>
              <w:pStyle w:val="179"/>
              <w:widowControl w:val="0"/>
              <w:autoSpaceDE w:val="0"/>
              <w:autoSpaceDN w:val="0"/>
              <w:rPr>
                <w:i/>
                <w:iCs/>
                <w:lang w:eastAsia="en-US"/>
              </w:rPr>
            </w:pPr>
            <w:r>
              <w:rPr>
                <w:i/>
                <w:iCs/>
                <w:lang w:eastAsia="en-US"/>
              </w:rPr>
              <w:t xml:space="preserve">Galium davuricum Turcz. var. manshuricum </w:t>
            </w:r>
            <w:r>
              <w:rPr>
                <w:rFonts w:hint="eastAsia"/>
                <w:i/>
                <w:iCs/>
                <w:lang w:eastAsia="en-US"/>
              </w:rPr>
              <w:t>（</w:t>
            </w:r>
            <w:r>
              <w:rPr>
                <w:i/>
                <w:iCs/>
                <w:lang w:eastAsia="en-US"/>
              </w:rPr>
              <w:t>（Kitagawa</w:t>
            </w:r>
            <w:r>
              <w:rPr>
                <w:rFonts w:hint="eastAsia"/>
                <w:i/>
                <w:iCs/>
                <w:lang w:eastAsia="en-US"/>
              </w:rPr>
              <w:t>）</w:t>
            </w:r>
            <w:r>
              <w:rPr>
                <w:i/>
                <w:iCs/>
                <w:lang w:eastAsia="en-US"/>
              </w:rPr>
              <w:t>） Hara</w:t>
            </w:r>
          </w:p>
        </w:tc>
        <w:tc>
          <w:tcPr>
            <w:tcW w:w="1153" w:type="dxa"/>
            <w:noWrap/>
            <w:vAlign w:val="center"/>
          </w:tcPr>
          <w:p w14:paraId="5DD47641">
            <w:pPr>
              <w:pStyle w:val="179"/>
              <w:widowControl w:val="0"/>
              <w:autoSpaceDE w:val="0"/>
              <w:autoSpaceDN w:val="0"/>
              <w:rPr>
                <w:lang w:eastAsia="en-US"/>
              </w:rPr>
            </w:pPr>
          </w:p>
        </w:tc>
      </w:tr>
      <w:tr w14:paraId="76C9F0E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61FC7391">
            <w:pPr>
              <w:pStyle w:val="179"/>
              <w:widowControl w:val="0"/>
              <w:autoSpaceDE w:val="0"/>
              <w:autoSpaceDN w:val="0"/>
              <w:rPr>
                <w:lang w:eastAsia="en-US"/>
              </w:rPr>
            </w:pPr>
            <w:r>
              <w:rPr>
                <w:rFonts w:hint="eastAsia"/>
                <w:lang w:eastAsia="en-US"/>
              </w:rPr>
              <w:t>51</w:t>
            </w:r>
          </w:p>
        </w:tc>
        <w:tc>
          <w:tcPr>
            <w:tcW w:w="1840" w:type="dxa"/>
            <w:noWrap/>
            <w:vAlign w:val="center"/>
          </w:tcPr>
          <w:p w14:paraId="4C05BFAC">
            <w:pPr>
              <w:pStyle w:val="179"/>
              <w:widowControl w:val="0"/>
              <w:autoSpaceDE w:val="0"/>
              <w:autoSpaceDN w:val="0"/>
              <w:rPr>
                <w:lang w:eastAsia="en-US"/>
              </w:rPr>
            </w:pPr>
            <w:r>
              <w:rPr>
                <w:rFonts w:hint="eastAsia"/>
                <w:lang w:eastAsia="en-US"/>
              </w:rPr>
              <w:t>紫草科</w:t>
            </w:r>
          </w:p>
        </w:tc>
        <w:tc>
          <w:tcPr>
            <w:tcW w:w="4755" w:type="dxa"/>
            <w:noWrap/>
            <w:vAlign w:val="center"/>
          </w:tcPr>
          <w:p w14:paraId="1E92DA72">
            <w:pPr>
              <w:pStyle w:val="179"/>
              <w:widowControl w:val="0"/>
              <w:autoSpaceDE w:val="0"/>
              <w:autoSpaceDN w:val="0"/>
              <w:rPr>
                <w:i/>
                <w:iCs/>
                <w:lang w:eastAsia="en-US"/>
              </w:rPr>
            </w:pPr>
            <w:r>
              <w:rPr>
                <w:i/>
                <w:iCs/>
                <w:lang w:eastAsia="en-US"/>
              </w:rPr>
              <w:t>Borraginaceae</w:t>
            </w:r>
          </w:p>
        </w:tc>
        <w:tc>
          <w:tcPr>
            <w:tcW w:w="1153" w:type="dxa"/>
            <w:noWrap/>
            <w:vAlign w:val="center"/>
          </w:tcPr>
          <w:p w14:paraId="302E7C22">
            <w:pPr>
              <w:pStyle w:val="179"/>
              <w:widowControl w:val="0"/>
              <w:autoSpaceDE w:val="0"/>
              <w:autoSpaceDN w:val="0"/>
              <w:rPr>
                <w:lang w:eastAsia="en-US"/>
              </w:rPr>
            </w:pPr>
          </w:p>
        </w:tc>
      </w:tr>
      <w:tr w14:paraId="1830B04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5BEC4CED">
            <w:pPr>
              <w:pStyle w:val="179"/>
              <w:widowControl w:val="0"/>
              <w:autoSpaceDE w:val="0"/>
              <w:autoSpaceDN w:val="0"/>
              <w:rPr>
                <w:lang w:eastAsia="en-US"/>
              </w:rPr>
            </w:pPr>
            <w:r>
              <w:rPr>
                <w:rFonts w:hint="eastAsia"/>
                <w:lang w:eastAsia="en-US"/>
              </w:rPr>
              <w:t>52</w:t>
            </w:r>
          </w:p>
        </w:tc>
        <w:tc>
          <w:tcPr>
            <w:tcW w:w="1840" w:type="dxa"/>
            <w:noWrap/>
            <w:vAlign w:val="center"/>
          </w:tcPr>
          <w:p w14:paraId="751DBC99">
            <w:pPr>
              <w:pStyle w:val="179"/>
              <w:widowControl w:val="0"/>
              <w:autoSpaceDE w:val="0"/>
              <w:autoSpaceDN w:val="0"/>
              <w:rPr>
                <w:lang w:eastAsia="en-US"/>
              </w:rPr>
            </w:pPr>
            <w:r>
              <w:rPr>
                <w:rFonts w:hint="eastAsia"/>
                <w:lang w:eastAsia="en-US"/>
              </w:rPr>
              <w:t>附地菜</w:t>
            </w:r>
          </w:p>
        </w:tc>
        <w:tc>
          <w:tcPr>
            <w:tcW w:w="4755" w:type="dxa"/>
            <w:noWrap/>
            <w:vAlign w:val="center"/>
          </w:tcPr>
          <w:p w14:paraId="2F9C2669">
            <w:pPr>
              <w:pStyle w:val="179"/>
              <w:widowControl w:val="0"/>
              <w:autoSpaceDE w:val="0"/>
              <w:autoSpaceDN w:val="0"/>
              <w:rPr>
                <w:i/>
                <w:iCs/>
                <w:lang w:eastAsia="en-US"/>
              </w:rPr>
            </w:pPr>
            <w:r>
              <w:rPr>
                <w:i/>
                <w:iCs/>
                <w:lang w:eastAsia="en-US"/>
              </w:rPr>
              <w:t>Trigonotis peduncularis</w:t>
            </w:r>
          </w:p>
        </w:tc>
        <w:tc>
          <w:tcPr>
            <w:tcW w:w="1153" w:type="dxa"/>
            <w:noWrap/>
            <w:vAlign w:val="center"/>
          </w:tcPr>
          <w:p w14:paraId="2F17C6E9">
            <w:pPr>
              <w:pStyle w:val="179"/>
              <w:widowControl w:val="0"/>
              <w:autoSpaceDE w:val="0"/>
              <w:autoSpaceDN w:val="0"/>
              <w:rPr>
                <w:lang w:eastAsia="en-US"/>
              </w:rPr>
            </w:pPr>
          </w:p>
        </w:tc>
      </w:tr>
      <w:tr w14:paraId="3FA32B0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2347FC60">
            <w:pPr>
              <w:pStyle w:val="179"/>
              <w:widowControl w:val="0"/>
              <w:autoSpaceDE w:val="0"/>
              <w:autoSpaceDN w:val="0"/>
              <w:rPr>
                <w:b/>
                <w:lang w:eastAsia="en-US"/>
              </w:rPr>
            </w:pPr>
            <w:r>
              <w:rPr>
                <w:rFonts w:hint="eastAsia"/>
                <w:b/>
                <w:lang w:eastAsia="en-US"/>
              </w:rPr>
              <w:t>二十六</w:t>
            </w:r>
          </w:p>
        </w:tc>
        <w:tc>
          <w:tcPr>
            <w:tcW w:w="1840" w:type="dxa"/>
            <w:noWrap/>
            <w:vAlign w:val="center"/>
          </w:tcPr>
          <w:p w14:paraId="45256679">
            <w:pPr>
              <w:pStyle w:val="179"/>
              <w:widowControl w:val="0"/>
              <w:autoSpaceDE w:val="0"/>
              <w:autoSpaceDN w:val="0"/>
              <w:rPr>
                <w:b/>
                <w:lang w:eastAsia="en-US"/>
              </w:rPr>
            </w:pPr>
            <w:r>
              <w:rPr>
                <w:b/>
                <w:lang w:eastAsia="en-US"/>
              </w:rPr>
              <w:t>唇形科</w:t>
            </w:r>
          </w:p>
        </w:tc>
        <w:tc>
          <w:tcPr>
            <w:tcW w:w="4755" w:type="dxa"/>
            <w:noWrap/>
            <w:vAlign w:val="center"/>
          </w:tcPr>
          <w:p w14:paraId="7389C430">
            <w:pPr>
              <w:pStyle w:val="179"/>
              <w:widowControl w:val="0"/>
              <w:autoSpaceDE w:val="0"/>
              <w:autoSpaceDN w:val="0"/>
              <w:rPr>
                <w:b/>
                <w:lang w:eastAsia="en-US"/>
              </w:rPr>
            </w:pPr>
            <w:r>
              <w:rPr>
                <w:b/>
                <w:lang w:eastAsia="en-US"/>
              </w:rPr>
              <w:t>Lamiaceae Martinov</w:t>
            </w:r>
          </w:p>
        </w:tc>
        <w:tc>
          <w:tcPr>
            <w:tcW w:w="1153" w:type="dxa"/>
            <w:noWrap/>
            <w:vAlign w:val="center"/>
          </w:tcPr>
          <w:p w14:paraId="27CA8416">
            <w:pPr>
              <w:pStyle w:val="179"/>
              <w:widowControl w:val="0"/>
              <w:autoSpaceDE w:val="0"/>
              <w:autoSpaceDN w:val="0"/>
              <w:rPr>
                <w:b/>
                <w:lang w:eastAsia="en-US"/>
              </w:rPr>
            </w:pPr>
          </w:p>
        </w:tc>
      </w:tr>
      <w:tr w14:paraId="79DB289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66A88DE5">
            <w:pPr>
              <w:pStyle w:val="179"/>
              <w:widowControl w:val="0"/>
              <w:autoSpaceDE w:val="0"/>
              <w:autoSpaceDN w:val="0"/>
              <w:rPr>
                <w:lang w:eastAsia="en-US"/>
              </w:rPr>
            </w:pPr>
            <w:r>
              <w:rPr>
                <w:rFonts w:hint="eastAsia"/>
                <w:lang w:eastAsia="en-US"/>
              </w:rPr>
              <w:t>53</w:t>
            </w:r>
          </w:p>
        </w:tc>
        <w:tc>
          <w:tcPr>
            <w:tcW w:w="1840" w:type="dxa"/>
            <w:noWrap/>
            <w:vAlign w:val="center"/>
          </w:tcPr>
          <w:p w14:paraId="35DD51BD">
            <w:pPr>
              <w:pStyle w:val="179"/>
              <w:widowControl w:val="0"/>
              <w:autoSpaceDE w:val="0"/>
              <w:autoSpaceDN w:val="0"/>
              <w:rPr>
                <w:lang w:eastAsia="en-US"/>
              </w:rPr>
            </w:pPr>
            <w:r>
              <w:rPr>
                <w:lang w:eastAsia="en-US"/>
              </w:rPr>
              <w:t>细叶益母草</w:t>
            </w:r>
          </w:p>
        </w:tc>
        <w:tc>
          <w:tcPr>
            <w:tcW w:w="4755" w:type="dxa"/>
            <w:noWrap/>
            <w:vAlign w:val="center"/>
          </w:tcPr>
          <w:p w14:paraId="67E95951">
            <w:pPr>
              <w:pStyle w:val="179"/>
              <w:widowControl w:val="0"/>
              <w:autoSpaceDE w:val="0"/>
              <w:autoSpaceDN w:val="0"/>
              <w:rPr>
                <w:lang w:eastAsia="en-US"/>
              </w:rPr>
            </w:pPr>
            <w:r>
              <w:rPr>
                <w:i/>
                <w:iCs/>
                <w:lang w:eastAsia="en-US"/>
              </w:rPr>
              <w:t>Leonurus sibiricusL.</w:t>
            </w:r>
          </w:p>
        </w:tc>
        <w:tc>
          <w:tcPr>
            <w:tcW w:w="1153" w:type="dxa"/>
            <w:noWrap/>
            <w:vAlign w:val="center"/>
          </w:tcPr>
          <w:p w14:paraId="5C64853C">
            <w:pPr>
              <w:pStyle w:val="179"/>
              <w:widowControl w:val="0"/>
              <w:autoSpaceDE w:val="0"/>
              <w:autoSpaceDN w:val="0"/>
              <w:rPr>
                <w:lang w:eastAsia="en-US"/>
              </w:rPr>
            </w:pPr>
          </w:p>
        </w:tc>
      </w:tr>
      <w:tr w14:paraId="30F9997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2A3B8375">
            <w:pPr>
              <w:pStyle w:val="179"/>
              <w:widowControl w:val="0"/>
              <w:autoSpaceDE w:val="0"/>
              <w:autoSpaceDN w:val="0"/>
              <w:rPr>
                <w:b/>
                <w:lang w:eastAsia="en-US"/>
              </w:rPr>
            </w:pPr>
            <w:r>
              <w:rPr>
                <w:rFonts w:hint="eastAsia"/>
                <w:b/>
                <w:lang w:eastAsia="en-US"/>
              </w:rPr>
              <w:t>二十七</w:t>
            </w:r>
          </w:p>
        </w:tc>
        <w:tc>
          <w:tcPr>
            <w:tcW w:w="1840" w:type="dxa"/>
            <w:noWrap/>
            <w:vAlign w:val="center"/>
          </w:tcPr>
          <w:p w14:paraId="0E09450C">
            <w:pPr>
              <w:pStyle w:val="179"/>
              <w:widowControl w:val="0"/>
              <w:autoSpaceDE w:val="0"/>
              <w:autoSpaceDN w:val="0"/>
              <w:rPr>
                <w:b/>
                <w:lang w:eastAsia="en-US"/>
              </w:rPr>
            </w:pPr>
            <w:r>
              <w:rPr>
                <w:b/>
                <w:lang w:eastAsia="en-US"/>
              </w:rPr>
              <w:t>茄科</w:t>
            </w:r>
          </w:p>
        </w:tc>
        <w:tc>
          <w:tcPr>
            <w:tcW w:w="4755" w:type="dxa"/>
            <w:noWrap/>
            <w:vAlign w:val="center"/>
          </w:tcPr>
          <w:p w14:paraId="4DD2D195">
            <w:pPr>
              <w:pStyle w:val="179"/>
              <w:widowControl w:val="0"/>
              <w:autoSpaceDE w:val="0"/>
              <w:autoSpaceDN w:val="0"/>
              <w:rPr>
                <w:b/>
                <w:lang w:eastAsia="en-US"/>
              </w:rPr>
            </w:pPr>
            <w:r>
              <w:rPr>
                <w:b/>
                <w:lang w:eastAsia="en-US"/>
              </w:rPr>
              <w:t>Solanaceae Juss.</w:t>
            </w:r>
          </w:p>
        </w:tc>
        <w:tc>
          <w:tcPr>
            <w:tcW w:w="1153" w:type="dxa"/>
            <w:noWrap/>
            <w:vAlign w:val="center"/>
          </w:tcPr>
          <w:p w14:paraId="5B13696E">
            <w:pPr>
              <w:pStyle w:val="179"/>
              <w:widowControl w:val="0"/>
              <w:autoSpaceDE w:val="0"/>
              <w:autoSpaceDN w:val="0"/>
              <w:rPr>
                <w:b/>
                <w:lang w:eastAsia="en-US"/>
              </w:rPr>
            </w:pPr>
          </w:p>
        </w:tc>
      </w:tr>
      <w:tr w14:paraId="194AD8C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0B7F984C">
            <w:pPr>
              <w:pStyle w:val="179"/>
              <w:widowControl w:val="0"/>
              <w:autoSpaceDE w:val="0"/>
              <w:autoSpaceDN w:val="0"/>
              <w:rPr>
                <w:lang w:eastAsia="en-US"/>
              </w:rPr>
            </w:pPr>
            <w:r>
              <w:rPr>
                <w:rFonts w:hint="eastAsia"/>
                <w:lang w:eastAsia="en-US"/>
              </w:rPr>
              <w:t>54</w:t>
            </w:r>
          </w:p>
        </w:tc>
        <w:tc>
          <w:tcPr>
            <w:tcW w:w="1840" w:type="dxa"/>
            <w:noWrap/>
            <w:vAlign w:val="center"/>
          </w:tcPr>
          <w:p w14:paraId="70DA93F2">
            <w:pPr>
              <w:pStyle w:val="179"/>
              <w:widowControl w:val="0"/>
              <w:autoSpaceDE w:val="0"/>
              <w:autoSpaceDN w:val="0"/>
              <w:rPr>
                <w:lang w:eastAsia="en-US"/>
              </w:rPr>
            </w:pPr>
            <w:r>
              <w:rPr>
                <w:lang w:eastAsia="en-US"/>
              </w:rPr>
              <w:t>龙葵</w:t>
            </w:r>
          </w:p>
        </w:tc>
        <w:tc>
          <w:tcPr>
            <w:tcW w:w="4755" w:type="dxa"/>
            <w:noWrap/>
            <w:vAlign w:val="center"/>
          </w:tcPr>
          <w:p w14:paraId="4B033967">
            <w:pPr>
              <w:pStyle w:val="179"/>
              <w:widowControl w:val="0"/>
              <w:autoSpaceDE w:val="0"/>
              <w:autoSpaceDN w:val="0"/>
              <w:rPr>
                <w:lang w:eastAsia="en-US"/>
              </w:rPr>
            </w:pPr>
            <w:r>
              <w:rPr>
                <w:i/>
                <w:iCs/>
                <w:lang w:eastAsia="en-US"/>
              </w:rPr>
              <w:t>Solanum nigrum L.</w:t>
            </w:r>
          </w:p>
        </w:tc>
        <w:tc>
          <w:tcPr>
            <w:tcW w:w="1153" w:type="dxa"/>
            <w:noWrap/>
            <w:vAlign w:val="center"/>
          </w:tcPr>
          <w:p w14:paraId="76A11A58">
            <w:pPr>
              <w:pStyle w:val="179"/>
              <w:widowControl w:val="0"/>
              <w:autoSpaceDE w:val="0"/>
              <w:autoSpaceDN w:val="0"/>
              <w:rPr>
                <w:lang w:eastAsia="en-US"/>
              </w:rPr>
            </w:pPr>
          </w:p>
        </w:tc>
      </w:tr>
      <w:tr w14:paraId="0CA212E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4A7DC953">
            <w:pPr>
              <w:pStyle w:val="179"/>
              <w:widowControl w:val="0"/>
              <w:autoSpaceDE w:val="0"/>
              <w:autoSpaceDN w:val="0"/>
              <w:rPr>
                <w:b/>
                <w:lang w:eastAsia="en-US"/>
              </w:rPr>
            </w:pPr>
            <w:r>
              <w:rPr>
                <w:rFonts w:hint="eastAsia"/>
                <w:b/>
                <w:lang w:eastAsia="en-US"/>
              </w:rPr>
              <w:t>二十八</w:t>
            </w:r>
          </w:p>
        </w:tc>
        <w:tc>
          <w:tcPr>
            <w:tcW w:w="1840" w:type="dxa"/>
            <w:noWrap/>
            <w:vAlign w:val="center"/>
          </w:tcPr>
          <w:p w14:paraId="3DD9A80A">
            <w:pPr>
              <w:pStyle w:val="179"/>
              <w:widowControl w:val="0"/>
              <w:autoSpaceDE w:val="0"/>
              <w:autoSpaceDN w:val="0"/>
              <w:rPr>
                <w:b/>
                <w:lang w:eastAsia="en-US"/>
              </w:rPr>
            </w:pPr>
            <w:r>
              <w:rPr>
                <w:rFonts w:hint="eastAsia"/>
                <w:b/>
                <w:lang w:eastAsia="en-US"/>
              </w:rPr>
              <w:t>玄参科</w:t>
            </w:r>
          </w:p>
        </w:tc>
        <w:tc>
          <w:tcPr>
            <w:tcW w:w="4755" w:type="dxa"/>
            <w:noWrap/>
            <w:vAlign w:val="center"/>
          </w:tcPr>
          <w:p w14:paraId="040D6FDD">
            <w:pPr>
              <w:pStyle w:val="179"/>
              <w:widowControl w:val="0"/>
              <w:autoSpaceDE w:val="0"/>
              <w:autoSpaceDN w:val="0"/>
              <w:rPr>
                <w:b/>
                <w:lang w:eastAsia="en-US"/>
              </w:rPr>
            </w:pPr>
            <w:r>
              <w:rPr>
                <w:b/>
                <w:lang w:eastAsia="en-US"/>
              </w:rPr>
              <w:t>Scrophulariacea</w:t>
            </w:r>
          </w:p>
        </w:tc>
        <w:tc>
          <w:tcPr>
            <w:tcW w:w="1153" w:type="dxa"/>
            <w:noWrap/>
            <w:vAlign w:val="center"/>
          </w:tcPr>
          <w:p w14:paraId="28B47DE0">
            <w:pPr>
              <w:pStyle w:val="179"/>
              <w:widowControl w:val="0"/>
              <w:autoSpaceDE w:val="0"/>
              <w:autoSpaceDN w:val="0"/>
              <w:rPr>
                <w:b/>
                <w:lang w:eastAsia="en-US"/>
              </w:rPr>
            </w:pPr>
          </w:p>
        </w:tc>
      </w:tr>
      <w:tr w14:paraId="051408B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1D827E2D">
            <w:pPr>
              <w:pStyle w:val="179"/>
              <w:widowControl w:val="0"/>
              <w:autoSpaceDE w:val="0"/>
              <w:autoSpaceDN w:val="0"/>
              <w:rPr>
                <w:lang w:eastAsia="en-US"/>
              </w:rPr>
            </w:pPr>
            <w:r>
              <w:rPr>
                <w:rFonts w:hint="eastAsia"/>
                <w:lang w:eastAsia="en-US"/>
              </w:rPr>
              <w:t>55</w:t>
            </w:r>
          </w:p>
        </w:tc>
        <w:tc>
          <w:tcPr>
            <w:tcW w:w="1840" w:type="dxa"/>
            <w:noWrap/>
            <w:vAlign w:val="center"/>
          </w:tcPr>
          <w:p w14:paraId="4DC36E96">
            <w:pPr>
              <w:pStyle w:val="179"/>
              <w:widowControl w:val="0"/>
              <w:autoSpaceDE w:val="0"/>
              <w:autoSpaceDN w:val="0"/>
              <w:rPr>
                <w:lang w:eastAsia="en-US"/>
              </w:rPr>
            </w:pPr>
            <w:r>
              <w:rPr>
                <w:lang w:eastAsia="en-US"/>
              </w:rPr>
              <w:t>东北婆婆纳</w:t>
            </w:r>
          </w:p>
        </w:tc>
        <w:tc>
          <w:tcPr>
            <w:tcW w:w="4755" w:type="dxa"/>
            <w:noWrap/>
            <w:vAlign w:val="center"/>
          </w:tcPr>
          <w:p w14:paraId="0550987C">
            <w:pPr>
              <w:pStyle w:val="179"/>
              <w:widowControl w:val="0"/>
              <w:autoSpaceDE w:val="0"/>
              <w:autoSpaceDN w:val="0"/>
              <w:rPr>
                <w:lang w:eastAsia="en-US"/>
              </w:rPr>
            </w:pPr>
            <w:r>
              <w:rPr>
                <w:i/>
                <w:iCs/>
                <w:lang w:eastAsia="en-US"/>
              </w:rPr>
              <w:t>Veronica rotunda var. subintegra</w:t>
            </w:r>
          </w:p>
        </w:tc>
        <w:tc>
          <w:tcPr>
            <w:tcW w:w="1153" w:type="dxa"/>
            <w:noWrap/>
            <w:vAlign w:val="center"/>
          </w:tcPr>
          <w:p w14:paraId="5D5F03BE">
            <w:pPr>
              <w:pStyle w:val="179"/>
              <w:widowControl w:val="0"/>
              <w:autoSpaceDE w:val="0"/>
              <w:autoSpaceDN w:val="0"/>
              <w:rPr>
                <w:lang w:eastAsia="en-US"/>
              </w:rPr>
            </w:pPr>
          </w:p>
        </w:tc>
      </w:tr>
      <w:tr w14:paraId="73D2616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74A742E2">
            <w:pPr>
              <w:pStyle w:val="179"/>
              <w:widowControl w:val="0"/>
              <w:autoSpaceDE w:val="0"/>
              <w:autoSpaceDN w:val="0"/>
              <w:rPr>
                <w:b/>
                <w:lang w:eastAsia="en-US"/>
              </w:rPr>
            </w:pPr>
            <w:r>
              <w:rPr>
                <w:rFonts w:hint="eastAsia"/>
                <w:b/>
                <w:lang w:eastAsia="en-US"/>
              </w:rPr>
              <w:t>二十九</w:t>
            </w:r>
          </w:p>
        </w:tc>
        <w:tc>
          <w:tcPr>
            <w:tcW w:w="1840" w:type="dxa"/>
            <w:noWrap/>
            <w:vAlign w:val="center"/>
          </w:tcPr>
          <w:p w14:paraId="52F567AB">
            <w:pPr>
              <w:pStyle w:val="179"/>
              <w:widowControl w:val="0"/>
              <w:autoSpaceDE w:val="0"/>
              <w:autoSpaceDN w:val="0"/>
              <w:rPr>
                <w:b/>
                <w:lang w:eastAsia="en-US"/>
              </w:rPr>
            </w:pPr>
            <w:r>
              <w:rPr>
                <w:b/>
                <w:lang w:eastAsia="en-US"/>
              </w:rPr>
              <w:t>车前科</w:t>
            </w:r>
          </w:p>
        </w:tc>
        <w:tc>
          <w:tcPr>
            <w:tcW w:w="4755" w:type="dxa"/>
            <w:noWrap/>
            <w:vAlign w:val="center"/>
          </w:tcPr>
          <w:p w14:paraId="5251627D">
            <w:pPr>
              <w:pStyle w:val="179"/>
              <w:widowControl w:val="0"/>
              <w:autoSpaceDE w:val="0"/>
              <w:autoSpaceDN w:val="0"/>
              <w:rPr>
                <w:b/>
                <w:lang w:eastAsia="en-US"/>
              </w:rPr>
            </w:pPr>
            <w:r>
              <w:rPr>
                <w:b/>
                <w:lang w:eastAsia="en-US"/>
              </w:rPr>
              <w:t>Plantaginaceae Juss.</w:t>
            </w:r>
          </w:p>
        </w:tc>
        <w:tc>
          <w:tcPr>
            <w:tcW w:w="1153" w:type="dxa"/>
            <w:noWrap/>
            <w:vAlign w:val="center"/>
          </w:tcPr>
          <w:p w14:paraId="741E2B76">
            <w:pPr>
              <w:pStyle w:val="179"/>
              <w:widowControl w:val="0"/>
              <w:autoSpaceDE w:val="0"/>
              <w:autoSpaceDN w:val="0"/>
              <w:rPr>
                <w:lang w:eastAsia="en-US"/>
              </w:rPr>
            </w:pPr>
          </w:p>
        </w:tc>
      </w:tr>
      <w:tr w14:paraId="6B867FF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5DEF3E6E">
            <w:pPr>
              <w:pStyle w:val="179"/>
              <w:widowControl w:val="0"/>
              <w:autoSpaceDE w:val="0"/>
              <w:autoSpaceDN w:val="0"/>
              <w:rPr>
                <w:lang w:eastAsia="en-US"/>
              </w:rPr>
            </w:pPr>
            <w:r>
              <w:rPr>
                <w:rFonts w:hint="eastAsia"/>
                <w:lang w:eastAsia="en-US"/>
              </w:rPr>
              <w:t>56</w:t>
            </w:r>
          </w:p>
        </w:tc>
        <w:tc>
          <w:tcPr>
            <w:tcW w:w="1840" w:type="dxa"/>
            <w:noWrap/>
            <w:vAlign w:val="center"/>
          </w:tcPr>
          <w:p w14:paraId="2D5C0BD3">
            <w:pPr>
              <w:pStyle w:val="179"/>
              <w:widowControl w:val="0"/>
              <w:autoSpaceDE w:val="0"/>
              <w:autoSpaceDN w:val="0"/>
              <w:rPr>
                <w:lang w:eastAsia="en-US"/>
              </w:rPr>
            </w:pPr>
            <w:r>
              <w:rPr>
                <w:lang w:eastAsia="en-US"/>
              </w:rPr>
              <w:t>平车前</w:t>
            </w:r>
          </w:p>
        </w:tc>
        <w:tc>
          <w:tcPr>
            <w:tcW w:w="4755" w:type="dxa"/>
            <w:noWrap/>
            <w:vAlign w:val="center"/>
          </w:tcPr>
          <w:p w14:paraId="48B9EF1E">
            <w:pPr>
              <w:pStyle w:val="179"/>
              <w:widowControl w:val="0"/>
              <w:autoSpaceDE w:val="0"/>
              <w:autoSpaceDN w:val="0"/>
              <w:rPr>
                <w:lang w:eastAsia="en-US"/>
              </w:rPr>
            </w:pPr>
            <w:r>
              <w:rPr>
                <w:i/>
                <w:iCs/>
                <w:lang w:eastAsia="en-US"/>
              </w:rPr>
              <w:t>Plantago depressa Willd.</w:t>
            </w:r>
          </w:p>
        </w:tc>
        <w:tc>
          <w:tcPr>
            <w:tcW w:w="1153" w:type="dxa"/>
            <w:noWrap/>
            <w:vAlign w:val="center"/>
          </w:tcPr>
          <w:p w14:paraId="209570F3">
            <w:pPr>
              <w:pStyle w:val="179"/>
              <w:widowControl w:val="0"/>
              <w:autoSpaceDE w:val="0"/>
              <w:autoSpaceDN w:val="0"/>
              <w:rPr>
                <w:lang w:eastAsia="en-US"/>
              </w:rPr>
            </w:pPr>
          </w:p>
        </w:tc>
      </w:tr>
      <w:tr w14:paraId="0AD47AA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479F540B">
            <w:pPr>
              <w:pStyle w:val="179"/>
              <w:widowControl w:val="0"/>
              <w:autoSpaceDE w:val="0"/>
              <w:autoSpaceDN w:val="0"/>
              <w:rPr>
                <w:b/>
                <w:lang w:eastAsia="en-US"/>
              </w:rPr>
            </w:pPr>
            <w:r>
              <w:rPr>
                <w:rFonts w:hint="eastAsia"/>
                <w:b/>
                <w:lang w:eastAsia="en-US"/>
              </w:rPr>
              <w:t>三十</w:t>
            </w:r>
          </w:p>
        </w:tc>
        <w:tc>
          <w:tcPr>
            <w:tcW w:w="1840" w:type="dxa"/>
            <w:noWrap/>
            <w:vAlign w:val="center"/>
          </w:tcPr>
          <w:p w14:paraId="01A3EE24">
            <w:pPr>
              <w:pStyle w:val="179"/>
              <w:widowControl w:val="0"/>
              <w:autoSpaceDE w:val="0"/>
              <w:autoSpaceDN w:val="0"/>
              <w:rPr>
                <w:b/>
                <w:lang w:eastAsia="en-US"/>
              </w:rPr>
            </w:pPr>
            <w:r>
              <w:rPr>
                <w:rFonts w:hint="eastAsia"/>
                <w:b/>
                <w:lang w:eastAsia="en-US"/>
              </w:rPr>
              <w:t>忍冬科</w:t>
            </w:r>
          </w:p>
        </w:tc>
        <w:tc>
          <w:tcPr>
            <w:tcW w:w="4755" w:type="dxa"/>
            <w:noWrap/>
            <w:vAlign w:val="center"/>
          </w:tcPr>
          <w:p w14:paraId="4E32450A">
            <w:pPr>
              <w:pStyle w:val="179"/>
              <w:widowControl w:val="0"/>
              <w:autoSpaceDE w:val="0"/>
              <w:autoSpaceDN w:val="0"/>
              <w:rPr>
                <w:b/>
                <w:lang w:eastAsia="en-US"/>
              </w:rPr>
            </w:pPr>
            <w:r>
              <w:rPr>
                <w:b/>
                <w:lang w:eastAsia="en-US"/>
              </w:rPr>
              <w:t>Caprifoliaceae</w:t>
            </w:r>
          </w:p>
        </w:tc>
        <w:tc>
          <w:tcPr>
            <w:tcW w:w="1153" w:type="dxa"/>
            <w:noWrap/>
            <w:vAlign w:val="center"/>
          </w:tcPr>
          <w:p w14:paraId="0843D8C0">
            <w:pPr>
              <w:pStyle w:val="179"/>
              <w:widowControl w:val="0"/>
              <w:autoSpaceDE w:val="0"/>
              <w:autoSpaceDN w:val="0"/>
              <w:rPr>
                <w:b/>
                <w:lang w:eastAsia="en-US"/>
              </w:rPr>
            </w:pPr>
          </w:p>
        </w:tc>
      </w:tr>
      <w:tr w14:paraId="4067A6C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64FCFF8E">
            <w:pPr>
              <w:pStyle w:val="179"/>
              <w:widowControl w:val="0"/>
              <w:autoSpaceDE w:val="0"/>
              <w:autoSpaceDN w:val="0"/>
              <w:rPr>
                <w:lang w:eastAsia="en-US"/>
              </w:rPr>
            </w:pPr>
            <w:r>
              <w:rPr>
                <w:rFonts w:hint="eastAsia"/>
                <w:lang w:eastAsia="en-US"/>
              </w:rPr>
              <w:t>57</w:t>
            </w:r>
          </w:p>
        </w:tc>
        <w:tc>
          <w:tcPr>
            <w:tcW w:w="1840" w:type="dxa"/>
            <w:noWrap/>
            <w:vAlign w:val="center"/>
          </w:tcPr>
          <w:p w14:paraId="421CCE6B">
            <w:pPr>
              <w:pStyle w:val="179"/>
              <w:widowControl w:val="0"/>
              <w:autoSpaceDE w:val="0"/>
              <w:autoSpaceDN w:val="0"/>
              <w:rPr>
                <w:lang w:eastAsia="en-US"/>
              </w:rPr>
            </w:pPr>
            <w:r>
              <w:rPr>
                <w:lang w:eastAsia="en-US"/>
              </w:rPr>
              <w:t>北极花</w:t>
            </w:r>
          </w:p>
        </w:tc>
        <w:tc>
          <w:tcPr>
            <w:tcW w:w="4755" w:type="dxa"/>
            <w:noWrap/>
            <w:vAlign w:val="center"/>
          </w:tcPr>
          <w:p w14:paraId="7288D532">
            <w:pPr>
              <w:pStyle w:val="179"/>
              <w:widowControl w:val="0"/>
              <w:autoSpaceDE w:val="0"/>
              <w:autoSpaceDN w:val="0"/>
              <w:rPr>
                <w:lang w:eastAsia="en-US"/>
              </w:rPr>
            </w:pPr>
            <w:r>
              <w:rPr>
                <w:i/>
                <w:iCs/>
                <w:lang w:eastAsia="en-US"/>
              </w:rPr>
              <w:t>Linnaea borealisL.</w:t>
            </w:r>
          </w:p>
        </w:tc>
        <w:tc>
          <w:tcPr>
            <w:tcW w:w="1153" w:type="dxa"/>
            <w:noWrap/>
            <w:vAlign w:val="center"/>
          </w:tcPr>
          <w:p w14:paraId="4DFD6C07">
            <w:pPr>
              <w:pStyle w:val="179"/>
              <w:widowControl w:val="0"/>
              <w:autoSpaceDE w:val="0"/>
              <w:autoSpaceDN w:val="0"/>
              <w:rPr>
                <w:lang w:eastAsia="en-US"/>
              </w:rPr>
            </w:pPr>
          </w:p>
        </w:tc>
      </w:tr>
      <w:tr w14:paraId="47EDFBC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480C7E7E">
            <w:pPr>
              <w:pStyle w:val="179"/>
              <w:widowControl w:val="0"/>
              <w:autoSpaceDE w:val="0"/>
              <w:autoSpaceDN w:val="0"/>
              <w:rPr>
                <w:b/>
                <w:lang w:eastAsia="en-US"/>
              </w:rPr>
            </w:pPr>
            <w:r>
              <w:rPr>
                <w:rFonts w:hint="eastAsia"/>
                <w:b/>
                <w:lang w:eastAsia="en-US"/>
              </w:rPr>
              <w:t>三十一</w:t>
            </w:r>
          </w:p>
        </w:tc>
        <w:tc>
          <w:tcPr>
            <w:tcW w:w="1840" w:type="dxa"/>
            <w:noWrap/>
            <w:vAlign w:val="center"/>
          </w:tcPr>
          <w:p w14:paraId="79F8416D">
            <w:pPr>
              <w:pStyle w:val="179"/>
              <w:widowControl w:val="0"/>
              <w:autoSpaceDE w:val="0"/>
              <w:autoSpaceDN w:val="0"/>
              <w:rPr>
                <w:b/>
                <w:lang w:eastAsia="en-US"/>
              </w:rPr>
            </w:pPr>
            <w:r>
              <w:rPr>
                <w:rFonts w:hint="eastAsia"/>
                <w:b/>
                <w:lang w:eastAsia="en-US"/>
              </w:rPr>
              <w:t>败酱科</w:t>
            </w:r>
          </w:p>
        </w:tc>
        <w:tc>
          <w:tcPr>
            <w:tcW w:w="4755" w:type="dxa"/>
            <w:noWrap/>
            <w:vAlign w:val="center"/>
          </w:tcPr>
          <w:p w14:paraId="6FB4E560">
            <w:pPr>
              <w:pStyle w:val="179"/>
              <w:widowControl w:val="0"/>
              <w:autoSpaceDE w:val="0"/>
              <w:autoSpaceDN w:val="0"/>
              <w:rPr>
                <w:b/>
                <w:lang w:eastAsia="en-US"/>
              </w:rPr>
            </w:pPr>
            <w:r>
              <w:rPr>
                <w:b/>
                <w:lang w:eastAsia="en-US"/>
              </w:rPr>
              <w:t>Valerianaceae</w:t>
            </w:r>
          </w:p>
        </w:tc>
        <w:tc>
          <w:tcPr>
            <w:tcW w:w="1153" w:type="dxa"/>
            <w:noWrap/>
            <w:vAlign w:val="center"/>
          </w:tcPr>
          <w:p w14:paraId="4A69B513">
            <w:pPr>
              <w:pStyle w:val="179"/>
              <w:widowControl w:val="0"/>
              <w:autoSpaceDE w:val="0"/>
              <w:autoSpaceDN w:val="0"/>
              <w:rPr>
                <w:b/>
                <w:lang w:eastAsia="en-US"/>
              </w:rPr>
            </w:pPr>
          </w:p>
        </w:tc>
      </w:tr>
      <w:tr w14:paraId="6D981BF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44A5BEB3">
            <w:pPr>
              <w:pStyle w:val="179"/>
              <w:widowControl w:val="0"/>
              <w:autoSpaceDE w:val="0"/>
              <w:autoSpaceDN w:val="0"/>
              <w:rPr>
                <w:lang w:eastAsia="en-US"/>
              </w:rPr>
            </w:pPr>
            <w:r>
              <w:rPr>
                <w:rFonts w:hint="eastAsia"/>
                <w:lang w:eastAsia="en-US"/>
              </w:rPr>
              <w:t>58</w:t>
            </w:r>
          </w:p>
        </w:tc>
        <w:tc>
          <w:tcPr>
            <w:tcW w:w="1840" w:type="dxa"/>
            <w:noWrap/>
            <w:vAlign w:val="center"/>
          </w:tcPr>
          <w:p w14:paraId="03A98935">
            <w:pPr>
              <w:pStyle w:val="179"/>
              <w:widowControl w:val="0"/>
              <w:autoSpaceDE w:val="0"/>
              <w:autoSpaceDN w:val="0"/>
              <w:rPr>
                <w:lang w:eastAsia="en-US"/>
              </w:rPr>
            </w:pPr>
            <w:r>
              <w:rPr>
                <w:rFonts w:hint="eastAsia"/>
                <w:lang w:eastAsia="en-US"/>
              </w:rPr>
              <w:t>岩败酱</w:t>
            </w:r>
          </w:p>
        </w:tc>
        <w:tc>
          <w:tcPr>
            <w:tcW w:w="4755" w:type="dxa"/>
            <w:noWrap/>
            <w:vAlign w:val="center"/>
          </w:tcPr>
          <w:p w14:paraId="3215AECC">
            <w:pPr>
              <w:pStyle w:val="179"/>
              <w:widowControl w:val="0"/>
              <w:autoSpaceDE w:val="0"/>
              <w:autoSpaceDN w:val="0"/>
              <w:rPr>
                <w:lang w:eastAsia="en-US"/>
              </w:rPr>
            </w:pPr>
            <w:r>
              <w:rPr>
                <w:i/>
                <w:iCs/>
                <w:lang w:eastAsia="en-US"/>
              </w:rPr>
              <w:t>Patrinia rupestris</w:t>
            </w:r>
          </w:p>
        </w:tc>
        <w:tc>
          <w:tcPr>
            <w:tcW w:w="1153" w:type="dxa"/>
            <w:noWrap/>
            <w:vAlign w:val="center"/>
          </w:tcPr>
          <w:p w14:paraId="3D8B1520">
            <w:pPr>
              <w:pStyle w:val="179"/>
              <w:widowControl w:val="0"/>
              <w:autoSpaceDE w:val="0"/>
              <w:autoSpaceDN w:val="0"/>
              <w:rPr>
                <w:lang w:eastAsia="en-US"/>
              </w:rPr>
            </w:pPr>
          </w:p>
        </w:tc>
      </w:tr>
      <w:tr w14:paraId="570D6EC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78E0D47B">
            <w:pPr>
              <w:pStyle w:val="179"/>
              <w:widowControl w:val="0"/>
              <w:autoSpaceDE w:val="0"/>
              <w:autoSpaceDN w:val="0"/>
              <w:rPr>
                <w:b/>
                <w:lang w:eastAsia="en-US"/>
              </w:rPr>
            </w:pPr>
            <w:r>
              <w:rPr>
                <w:rFonts w:hint="eastAsia"/>
                <w:b/>
                <w:lang w:eastAsia="en-US"/>
              </w:rPr>
              <w:t>三十二</w:t>
            </w:r>
          </w:p>
        </w:tc>
        <w:tc>
          <w:tcPr>
            <w:tcW w:w="1840" w:type="dxa"/>
            <w:noWrap/>
            <w:vAlign w:val="center"/>
          </w:tcPr>
          <w:p w14:paraId="71CB83E1">
            <w:pPr>
              <w:pStyle w:val="179"/>
              <w:widowControl w:val="0"/>
              <w:autoSpaceDE w:val="0"/>
              <w:autoSpaceDN w:val="0"/>
              <w:rPr>
                <w:b/>
                <w:lang w:eastAsia="en-US"/>
              </w:rPr>
            </w:pPr>
            <w:r>
              <w:rPr>
                <w:rFonts w:hint="eastAsia"/>
                <w:b/>
                <w:lang w:eastAsia="en-US"/>
              </w:rPr>
              <w:t>桔梗科</w:t>
            </w:r>
          </w:p>
        </w:tc>
        <w:tc>
          <w:tcPr>
            <w:tcW w:w="4755" w:type="dxa"/>
            <w:noWrap/>
            <w:vAlign w:val="center"/>
          </w:tcPr>
          <w:p w14:paraId="55147713">
            <w:pPr>
              <w:pStyle w:val="179"/>
              <w:widowControl w:val="0"/>
              <w:autoSpaceDE w:val="0"/>
              <w:autoSpaceDN w:val="0"/>
              <w:rPr>
                <w:b/>
                <w:lang w:eastAsia="en-US"/>
              </w:rPr>
            </w:pPr>
            <w:r>
              <w:rPr>
                <w:b/>
                <w:lang w:eastAsia="en-US"/>
              </w:rPr>
              <w:t>Campanulaceae</w:t>
            </w:r>
          </w:p>
        </w:tc>
        <w:tc>
          <w:tcPr>
            <w:tcW w:w="1153" w:type="dxa"/>
            <w:noWrap/>
            <w:vAlign w:val="center"/>
          </w:tcPr>
          <w:p w14:paraId="67B5C648">
            <w:pPr>
              <w:pStyle w:val="179"/>
              <w:widowControl w:val="0"/>
              <w:autoSpaceDE w:val="0"/>
              <w:autoSpaceDN w:val="0"/>
              <w:rPr>
                <w:b/>
                <w:lang w:eastAsia="en-US"/>
              </w:rPr>
            </w:pPr>
          </w:p>
        </w:tc>
      </w:tr>
      <w:tr w14:paraId="6983445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5AE58EFD">
            <w:pPr>
              <w:pStyle w:val="179"/>
              <w:widowControl w:val="0"/>
              <w:autoSpaceDE w:val="0"/>
              <w:autoSpaceDN w:val="0"/>
              <w:rPr>
                <w:lang w:eastAsia="en-US"/>
              </w:rPr>
            </w:pPr>
            <w:r>
              <w:rPr>
                <w:rFonts w:hint="eastAsia"/>
                <w:lang w:eastAsia="en-US"/>
              </w:rPr>
              <w:t>59</w:t>
            </w:r>
          </w:p>
        </w:tc>
        <w:tc>
          <w:tcPr>
            <w:tcW w:w="1840" w:type="dxa"/>
            <w:noWrap/>
            <w:vAlign w:val="center"/>
          </w:tcPr>
          <w:p w14:paraId="48B73B28">
            <w:pPr>
              <w:pStyle w:val="179"/>
              <w:widowControl w:val="0"/>
              <w:autoSpaceDE w:val="0"/>
              <w:autoSpaceDN w:val="0"/>
              <w:rPr>
                <w:lang w:eastAsia="en-US"/>
              </w:rPr>
            </w:pPr>
            <w:r>
              <w:rPr>
                <w:rFonts w:hint="eastAsia"/>
                <w:lang w:eastAsia="en-US"/>
              </w:rPr>
              <w:t>轮叶沙参</w:t>
            </w:r>
          </w:p>
        </w:tc>
        <w:tc>
          <w:tcPr>
            <w:tcW w:w="4755" w:type="dxa"/>
            <w:noWrap/>
            <w:vAlign w:val="center"/>
          </w:tcPr>
          <w:p w14:paraId="5F003A5B">
            <w:pPr>
              <w:pStyle w:val="179"/>
              <w:widowControl w:val="0"/>
              <w:autoSpaceDE w:val="0"/>
              <w:autoSpaceDN w:val="0"/>
              <w:rPr>
                <w:lang w:eastAsia="en-US"/>
              </w:rPr>
            </w:pPr>
            <w:r>
              <w:rPr>
                <w:i/>
                <w:iCs/>
                <w:lang w:eastAsia="en-US"/>
              </w:rPr>
              <w:t>A. tetraphyll</w:t>
            </w:r>
          </w:p>
        </w:tc>
        <w:tc>
          <w:tcPr>
            <w:tcW w:w="1153" w:type="dxa"/>
            <w:noWrap/>
            <w:vAlign w:val="center"/>
          </w:tcPr>
          <w:p w14:paraId="3FCB4912">
            <w:pPr>
              <w:pStyle w:val="179"/>
              <w:widowControl w:val="0"/>
              <w:autoSpaceDE w:val="0"/>
              <w:autoSpaceDN w:val="0"/>
              <w:rPr>
                <w:lang w:eastAsia="en-US"/>
              </w:rPr>
            </w:pPr>
          </w:p>
        </w:tc>
      </w:tr>
      <w:tr w14:paraId="3F32893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0598F6DA">
            <w:pPr>
              <w:pStyle w:val="179"/>
              <w:widowControl w:val="0"/>
              <w:autoSpaceDE w:val="0"/>
              <w:autoSpaceDN w:val="0"/>
              <w:rPr>
                <w:b/>
                <w:lang w:eastAsia="en-US"/>
              </w:rPr>
            </w:pPr>
            <w:r>
              <w:rPr>
                <w:rFonts w:hint="eastAsia"/>
                <w:b/>
                <w:lang w:eastAsia="en-US"/>
              </w:rPr>
              <w:t>三十三</w:t>
            </w:r>
          </w:p>
        </w:tc>
        <w:tc>
          <w:tcPr>
            <w:tcW w:w="1840" w:type="dxa"/>
            <w:noWrap/>
            <w:vAlign w:val="center"/>
          </w:tcPr>
          <w:p w14:paraId="5C068B53">
            <w:pPr>
              <w:pStyle w:val="179"/>
              <w:widowControl w:val="0"/>
              <w:autoSpaceDE w:val="0"/>
              <w:autoSpaceDN w:val="0"/>
              <w:rPr>
                <w:b/>
                <w:lang w:eastAsia="en-US"/>
              </w:rPr>
            </w:pPr>
            <w:r>
              <w:rPr>
                <w:b/>
                <w:lang w:eastAsia="en-US"/>
              </w:rPr>
              <w:t>菊科</w:t>
            </w:r>
          </w:p>
        </w:tc>
        <w:tc>
          <w:tcPr>
            <w:tcW w:w="4755" w:type="dxa"/>
            <w:noWrap/>
            <w:vAlign w:val="center"/>
          </w:tcPr>
          <w:p w14:paraId="77C8AAD5">
            <w:pPr>
              <w:pStyle w:val="179"/>
              <w:widowControl w:val="0"/>
              <w:autoSpaceDE w:val="0"/>
              <w:autoSpaceDN w:val="0"/>
              <w:rPr>
                <w:b/>
                <w:lang w:eastAsia="en-US"/>
              </w:rPr>
            </w:pPr>
            <w:r>
              <w:rPr>
                <w:b/>
                <w:lang w:eastAsia="en-US"/>
              </w:rPr>
              <w:t>Asteraceae Bercht. &amp; J. Presl</w:t>
            </w:r>
          </w:p>
        </w:tc>
        <w:tc>
          <w:tcPr>
            <w:tcW w:w="1153" w:type="dxa"/>
            <w:noWrap/>
            <w:vAlign w:val="center"/>
          </w:tcPr>
          <w:p w14:paraId="349A147F">
            <w:pPr>
              <w:pStyle w:val="179"/>
              <w:widowControl w:val="0"/>
              <w:autoSpaceDE w:val="0"/>
              <w:autoSpaceDN w:val="0"/>
              <w:rPr>
                <w:b/>
                <w:lang w:eastAsia="en-US"/>
              </w:rPr>
            </w:pPr>
          </w:p>
        </w:tc>
      </w:tr>
      <w:tr w14:paraId="4FEF1F7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07EC06B0">
            <w:pPr>
              <w:pStyle w:val="179"/>
              <w:widowControl w:val="0"/>
              <w:autoSpaceDE w:val="0"/>
              <w:autoSpaceDN w:val="0"/>
              <w:rPr>
                <w:lang w:eastAsia="en-US"/>
              </w:rPr>
            </w:pPr>
            <w:r>
              <w:rPr>
                <w:rFonts w:hint="eastAsia"/>
                <w:lang w:eastAsia="en-US"/>
              </w:rPr>
              <w:t>60</w:t>
            </w:r>
          </w:p>
        </w:tc>
        <w:tc>
          <w:tcPr>
            <w:tcW w:w="1840" w:type="dxa"/>
            <w:noWrap/>
            <w:vAlign w:val="center"/>
          </w:tcPr>
          <w:p w14:paraId="1E500E28">
            <w:pPr>
              <w:pStyle w:val="179"/>
              <w:widowControl w:val="0"/>
              <w:autoSpaceDE w:val="0"/>
              <w:autoSpaceDN w:val="0"/>
              <w:rPr>
                <w:lang w:eastAsia="en-US"/>
              </w:rPr>
            </w:pPr>
            <w:r>
              <w:rPr>
                <w:lang w:eastAsia="en-US"/>
              </w:rPr>
              <w:t>牛蒡</w:t>
            </w:r>
          </w:p>
        </w:tc>
        <w:tc>
          <w:tcPr>
            <w:tcW w:w="4755" w:type="dxa"/>
            <w:noWrap/>
            <w:vAlign w:val="center"/>
          </w:tcPr>
          <w:p w14:paraId="16337771">
            <w:pPr>
              <w:pStyle w:val="179"/>
              <w:widowControl w:val="0"/>
              <w:autoSpaceDE w:val="0"/>
              <w:autoSpaceDN w:val="0"/>
              <w:rPr>
                <w:i/>
                <w:iCs/>
                <w:lang w:eastAsia="en-US"/>
              </w:rPr>
            </w:pPr>
            <w:r>
              <w:rPr>
                <w:i/>
                <w:iCs/>
                <w:lang w:eastAsia="en-US"/>
              </w:rPr>
              <w:t>Arctium lappa L.</w:t>
            </w:r>
          </w:p>
        </w:tc>
        <w:tc>
          <w:tcPr>
            <w:tcW w:w="1153" w:type="dxa"/>
            <w:noWrap/>
            <w:vAlign w:val="center"/>
          </w:tcPr>
          <w:p w14:paraId="434E5AF8">
            <w:pPr>
              <w:pStyle w:val="179"/>
              <w:widowControl w:val="0"/>
              <w:autoSpaceDE w:val="0"/>
              <w:autoSpaceDN w:val="0"/>
              <w:rPr>
                <w:lang w:eastAsia="en-US"/>
              </w:rPr>
            </w:pPr>
          </w:p>
        </w:tc>
      </w:tr>
      <w:tr w14:paraId="0AB20AD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1BAED1F3">
            <w:pPr>
              <w:pStyle w:val="179"/>
              <w:widowControl w:val="0"/>
              <w:autoSpaceDE w:val="0"/>
              <w:autoSpaceDN w:val="0"/>
              <w:rPr>
                <w:lang w:eastAsia="en-US"/>
              </w:rPr>
            </w:pPr>
            <w:r>
              <w:rPr>
                <w:rFonts w:hint="eastAsia"/>
                <w:lang w:eastAsia="en-US"/>
              </w:rPr>
              <w:t>61</w:t>
            </w:r>
          </w:p>
        </w:tc>
        <w:tc>
          <w:tcPr>
            <w:tcW w:w="1840" w:type="dxa"/>
            <w:noWrap/>
            <w:vAlign w:val="center"/>
          </w:tcPr>
          <w:p w14:paraId="1CD43354">
            <w:pPr>
              <w:pStyle w:val="179"/>
              <w:widowControl w:val="0"/>
              <w:autoSpaceDE w:val="0"/>
              <w:autoSpaceDN w:val="0"/>
              <w:rPr>
                <w:lang w:eastAsia="en-US"/>
              </w:rPr>
            </w:pPr>
            <w:r>
              <w:rPr>
                <w:lang w:eastAsia="en-US"/>
              </w:rPr>
              <w:t>蒌蒿</w:t>
            </w:r>
          </w:p>
        </w:tc>
        <w:tc>
          <w:tcPr>
            <w:tcW w:w="4755" w:type="dxa"/>
            <w:noWrap/>
            <w:vAlign w:val="center"/>
          </w:tcPr>
          <w:p w14:paraId="5789671C">
            <w:pPr>
              <w:pStyle w:val="179"/>
              <w:widowControl w:val="0"/>
              <w:autoSpaceDE w:val="0"/>
              <w:autoSpaceDN w:val="0"/>
              <w:rPr>
                <w:i/>
                <w:iCs/>
                <w:lang w:eastAsia="en-US"/>
              </w:rPr>
            </w:pPr>
            <w:r>
              <w:rPr>
                <w:i/>
                <w:iCs/>
                <w:lang w:eastAsia="en-US"/>
              </w:rPr>
              <w:t>Artemisia selengensis Turcz. ex Besser</w:t>
            </w:r>
          </w:p>
        </w:tc>
        <w:tc>
          <w:tcPr>
            <w:tcW w:w="1153" w:type="dxa"/>
            <w:noWrap/>
            <w:vAlign w:val="center"/>
          </w:tcPr>
          <w:p w14:paraId="0B11840B">
            <w:pPr>
              <w:pStyle w:val="179"/>
              <w:widowControl w:val="0"/>
              <w:autoSpaceDE w:val="0"/>
              <w:autoSpaceDN w:val="0"/>
              <w:rPr>
                <w:lang w:eastAsia="en-US"/>
              </w:rPr>
            </w:pPr>
          </w:p>
        </w:tc>
      </w:tr>
      <w:tr w14:paraId="3823758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4404AE02">
            <w:pPr>
              <w:pStyle w:val="179"/>
              <w:widowControl w:val="0"/>
              <w:autoSpaceDE w:val="0"/>
              <w:autoSpaceDN w:val="0"/>
              <w:rPr>
                <w:lang w:eastAsia="en-US"/>
              </w:rPr>
            </w:pPr>
            <w:r>
              <w:rPr>
                <w:rFonts w:hint="eastAsia"/>
                <w:lang w:eastAsia="en-US"/>
              </w:rPr>
              <w:t>62</w:t>
            </w:r>
          </w:p>
        </w:tc>
        <w:tc>
          <w:tcPr>
            <w:tcW w:w="1840" w:type="dxa"/>
            <w:noWrap/>
            <w:vAlign w:val="center"/>
          </w:tcPr>
          <w:p w14:paraId="4A86928F">
            <w:pPr>
              <w:pStyle w:val="179"/>
              <w:widowControl w:val="0"/>
              <w:autoSpaceDE w:val="0"/>
              <w:autoSpaceDN w:val="0"/>
              <w:rPr>
                <w:lang w:eastAsia="en-US"/>
              </w:rPr>
            </w:pPr>
            <w:r>
              <w:rPr>
                <w:lang w:eastAsia="en-US"/>
              </w:rPr>
              <w:t>猪毛蒿</w:t>
            </w:r>
          </w:p>
        </w:tc>
        <w:tc>
          <w:tcPr>
            <w:tcW w:w="4755" w:type="dxa"/>
            <w:noWrap/>
            <w:vAlign w:val="center"/>
          </w:tcPr>
          <w:p w14:paraId="4A0C89C2">
            <w:pPr>
              <w:pStyle w:val="179"/>
              <w:widowControl w:val="0"/>
              <w:autoSpaceDE w:val="0"/>
              <w:autoSpaceDN w:val="0"/>
              <w:rPr>
                <w:i/>
                <w:iCs/>
                <w:lang w:eastAsia="en-US"/>
              </w:rPr>
            </w:pPr>
            <w:r>
              <w:rPr>
                <w:i/>
                <w:iCs/>
                <w:lang w:eastAsia="en-US"/>
              </w:rPr>
              <w:t>Artemisia scoparia Waldst. &amp; Kit.</w:t>
            </w:r>
          </w:p>
        </w:tc>
        <w:tc>
          <w:tcPr>
            <w:tcW w:w="1153" w:type="dxa"/>
            <w:noWrap/>
            <w:vAlign w:val="center"/>
          </w:tcPr>
          <w:p w14:paraId="62005255">
            <w:pPr>
              <w:pStyle w:val="179"/>
              <w:widowControl w:val="0"/>
              <w:autoSpaceDE w:val="0"/>
              <w:autoSpaceDN w:val="0"/>
              <w:rPr>
                <w:lang w:eastAsia="en-US"/>
              </w:rPr>
            </w:pPr>
          </w:p>
        </w:tc>
      </w:tr>
      <w:tr w14:paraId="77AEF73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01D2B93A">
            <w:pPr>
              <w:pStyle w:val="179"/>
              <w:widowControl w:val="0"/>
              <w:autoSpaceDE w:val="0"/>
              <w:autoSpaceDN w:val="0"/>
              <w:rPr>
                <w:lang w:eastAsia="en-US"/>
              </w:rPr>
            </w:pPr>
            <w:r>
              <w:rPr>
                <w:rFonts w:hint="eastAsia"/>
                <w:lang w:eastAsia="en-US"/>
              </w:rPr>
              <w:t>63</w:t>
            </w:r>
          </w:p>
        </w:tc>
        <w:tc>
          <w:tcPr>
            <w:tcW w:w="1840" w:type="dxa"/>
            <w:noWrap/>
            <w:vAlign w:val="center"/>
          </w:tcPr>
          <w:p w14:paraId="006B9036">
            <w:pPr>
              <w:pStyle w:val="179"/>
              <w:widowControl w:val="0"/>
              <w:autoSpaceDE w:val="0"/>
              <w:autoSpaceDN w:val="0"/>
              <w:rPr>
                <w:lang w:eastAsia="en-US"/>
              </w:rPr>
            </w:pPr>
            <w:r>
              <w:rPr>
                <w:lang w:eastAsia="en-US"/>
              </w:rPr>
              <w:t>大籽蒿</w:t>
            </w:r>
          </w:p>
        </w:tc>
        <w:tc>
          <w:tcPr>
            <w:tcW w:w="4755" w:type="dxa"/>
            <w:noWrap/>
            <w:vAlign w:val="center"/>
          </w:tcPr>
          <w:p w14:paraId="1D341395">
            <w:pPr>
              <w:pStyle w:val="179"/>
              <w:widowControl w:val="0"/>
              <w:autoSpaceDE w:val="0"/>
              <w:autoSpaceDN w:val="0"/>
              <w:rPr>
                <w:i/>
                <w:iCs/>
                <w:lang w:eastAsia="en-US"/>
              </w:rPr>
            </w:pPr>
            <w:r>
              <w:rPr>
                <w:i/>
                <w:iCs/>
                <w:lang w:eastAsia="en-US"/>
              </w:rPr>
              <w:t>Artemisia sieversiana Ehrhart ex Willd.</w:t>
            </w:r>
          </w:p>
        </w:tc>
        <w:tc>
          <w:tcPr>
            <w:tcW w:w="1153" w:type="dxa"/>
            <w:noWrap/>
            <w:vAlign w:val="center"/>
          </w:tcPr>
          <w:p w14:paraId="234975CF">
            <w:pPr>
              <w:pStyle w:val="179"/>
              <w:widowControl w:val="0"/>
              <w:autoSpaceDE w:val="0"/>
              <w:autoSpaceDN w:val="0"/>
              <w:rPr>
                <w:lang w:eastAsia="en-US"/>
              </w:rPr>
            </w:pPr>
          </w:p>
        </w:tc>
      </w:tr>
      <w:tr w14:paraId="675FD05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245DD07E">
            <w:pPr>
              <w:pStyle w:val="179"/>
              <w:widowControl w:val="0"/>
              <w:autoSpaceDE w:val="0"/>
              <w:autoSpaceDN w:val="0"/>
              <w:rPr>
                <w:lang w:eastAsia="en-US"/>
              </w:rPr>
            </w:pPr>
            <w:r>
              <w:rPr>
                <w:rFonts w:hint="eastAsia"/>
                <w:lang w:eastAsia="en-US"/>
              </w:rPr>
              <w:t>64</w:t>
            </w:r>
          </w:p>
        </w:tc>
        <w:tc>
          <w:tcPr>
            <w:tcW w:w="1840" w:type="dxa"/>
            <w:noWrap/>
            <w:vAlign w:val="center"/>
          </w:tcPr>
          <w:p w14:paraId="092AFE2B">
            <w:pPr>
              <w:pStyle w:val="179"/>
              <w:widowControl w:val="0"/>
              <w:autoSpaceDE w:val="0"/>
              <w:autoSpaceDN w:val="0"/>
              <w:rPr>
                <w:lang w:eastAsia="en-US"/>
              </w:rPr>
            </w:pPr>
            <w:r>
              <w:rPr>
                <w:lang w:eastAsia="en-US"/>
              </w:rPr>
              <w:t>野艾蒿</w:t>
            </w:r>
          </w:p>
        </w:tc>
        <w:tc>
          <w:tcPr>
            <w:tcW w:w="4755" w:type="dxa"/>
            <w:noWrap/>
            <w:vAlign w:val="center"/>
          </w:tcPr>
          <w:p w14:paraId="32295E38">
            <w:pPr>
              <w:pStyle w:val="179"/>
              <w:widowControl w:val="0"/>
              <w:autoSpaceDE w:val="0"/>
              <w:autoSpaceDN w:val="0"/>
              <w:rPr>
                <w:i/>
                <w:iCs/>
                <w:lang w:eastAsia="en-US"/>
              </w:rPr>
            </w:pPr>
            <w:r>
              <w:rPr>
                <w:i/>
                <w:iCs/>
                <w:lang w:eastAsia="en-US"/>
              </w:rPr>
              <w:t>Artemisia lavandulifolia DC.</w:t>
            </w:r>
          </w:p>
        </w:tc>
        <w:tc>
          <w:tcPr>
            <w:tcW w:w="1153" w:type="dxa"/>
            <w:noWrap/>
            <w:vAlign w:val="center"/>
          </w:tcPr>
          <w:p w14:paraId="1CA5C3E3">
            <w:pPr>
              <w:pStyle w:val="179"/>
              <w:widowControl w:val="0"/>
              <w:autoSpaceDE w:val="0"/>
              <w:autoSpaceDN w:val="0"/>
              <w:rPr>
                <w:lang w:eastAsia="en-US"/>
              </w:rPr>
            </w:pPr>
          </w:p>
        </w:tc>
      </w:tr>
      <w:tr w14:paraId="43B518C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29A78929">
            <w:pPr>
              <w:pStyle w:val="179"/>
              <w:widowControl w:val="0"/>
              <w:autoSpaceDE w:val="0"/>
              <w:autoSpaceDN w:val="0"/>
              <w:rPr>
                <w:lang w:eastAsia="en-US"/>
              </w:rPr>
            </w:pPr>
            <w:r>
              <w:rPr>
                <w:rFonts w:hint="eastAsia"/>
                <w:lang w:eastAsia="en-US"/>
              </w:rPr>
              <w:t>65</w:t>
            </w:r>
          </w:p>
        </w:tc>
        <w:tc>
          <w:tcPr>
            <w:tcW w:w="1840" w:type="dxa"/>
            <w:noWrap/>
            <w:vAlign w:val="center"/>
          </w:tcPr>
          <w:p w14:paraId="001C48B8">
            <w:pPr>
              <w:pStyle w:val="179"/>
              <w:widowControl w:val="0"/>
              <w:autoSpaceDE w:val="0"/>
              <w:autoSpaceDN w:val="0"/>
              <w:rPr>
                <w:lang w:eastAsia="en-US"/>
              </w:rPr>
            </w:pPr>
            <w:r>
              <w:rPr>
                <w:lang w:eastAsia="en-US"/>
              </w:rPr>
              <w:t>牡蒿</w:t>
            </w:r>
          </w:p>
        </w:tc>
        <w:tc>
          <w:tcPr>
            <w:tcW w:w="4755" w:type="dxa"/>
            <w:noWrap/>
            <w:vAlign w:val="center"/>
          </w:tcPr>
          <w:p w14:paraId="1C38C968">
            <w:pPr>
              <w:pStyle w:val="179"/>
              <w:widowControl w:val="0"/>
              <w:autoSpaceDE w:val="0"/>
              <w:autoSpaceDN w:val="0"/>
              <w:rPr>
                <w:i/>
                <w:iCs/>
                <w:lang w:eastAsia="en-US"/>
              </w:rPr>
            </w:pPr>
            <w:r>
              <w:rPr>
                <w:i/>
                <w:iCs/>
                <w:lang w:eastAsia="en-US"/>
              </w:rPr>
              <w:t>Artemisia japonicaThunb.</w:t>
            </w:r>
          </w:p>
        </w:tc>
        <w:tc>
          <w:tcPr>
            <w:tcW w:w="1153" w:type="dxa"/>
            <w:noWrap/>
            <w:vAlign w:val="center"/>
          </w:tcPr>
          <w:p w14:paraId="4504B2A2">
            <w:pPr>
              <w:pStyle w:val="179"/>
              <w:widowControl w:val="0"/>
              <w:autoSpaceDE w:val="0"/>
              <w:autoSpaceDN w:val="0"/>
              <w:rPr>
                <w:lang w:eastAsia="en-US"/>
              </w:rPr>
            </w:pPr>
          </w:p>
        </w:tc>
      </w:tr>
      <w:tr w14:paraId="573A994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12554AB4">
            <w:pPr>
              <w:pStyle w:val="179"/>
              <w:widowControl w:val="0"/>
              <w:autoSpaceDE w:val="0"/>
              <w:autoSpaceDN w:val="0"/>
              <w:rPr>
                <w:lang w:eastAsia="en-US"/>
              </w:rPr>
            </w:pPr>
            <w:r>
              <w:rPr>
                <w:rFonts w:hint="eastAsia"/>
                <w:lang w:eastAsia="en-US"/>
              </w:rPr>
              <w:t>66</w:t>
            </w:r>
          </w:p>
        </w:tc>
        <w:tc>
          <w:tcPr>
            <w:tcW w:w="1840" w:type="dxa"/>
            <w:noWrap/>
            <w:vAlign w:val="center"/>
          </w:tcPr>
          <w:p w14:paraId="09519F2E">
            <w:pPr>
              <w:pStyle w:val="179"/>
              <w:widowControl w:val="0"/>
              <w:autoSpaceDE w:val="0"/>
              <w:autoSpaceDN w:val="0"/>
              <w:rPr>
                <w:lang w:eastAsia="en-US"/>
              </w:rPr>
            </w:pPr>
            <w:r>
              <w:rPr>
                <w:lang w:eastAsia="en-US"/>
              </w:rPr>
              <w:t>刺儿菜</w:t>
            </w:r>
          </w:p>
        </w:tc>
        <w:tc>
          <w:tcPr>
            <w:tcW w:w="4755" w:type="dxa"/>
            <w:noWrap/>
            <w:vAlign w:val="center"/>
          </w:tcPr>
          <w:p w14:paraId="6D1339D5">
            <w:pPr>
              <w:pStyle w:val="179"/>
              <w:widowControl w:val="0"/>
              <w:autoSpaceDE w:val="0"/>
              <w:autoSpaceDN w:val="0"/>
              <w:rPr>
                <w:i/>
                <w:iCs/>
                <w:lang w:eastAsia="en-US"/>
              </w:rPr>
            </w:pPr>
            <w:r>
              <w:rPr>
                <w:i/>
                <w:iCs/>
                <w:lang w:eastAsia="en-US"/>
              </w:rPr>
              <w:t>Cirsium arvense var. integrifolium</w:t>
            </w:r>
          </w:p>
        </w:tc>
        <w:tc>
          <w:tcPr>
            <w:tcW w:w="1153" w:type="dxa"/>
            <w:noWrap/>
            <w:vAlign w:val="center"/>
          </w:tcPr>
          <w:p w14:paraId="5C6A9022">
            <w:pPr>
              <w:pStyle w:val="179"/>
              <w:widowControl w:val="0"/>
              <w:autoSpaceDE w:val="0"/>
              <w:autoSpaceDN w:val="0"/>
              <w:rPr>
                <w:lang w:eastAsia="en-US"/>
              </w:rPr>
            </w:pPr>
          </w:p>
        </w:tc>
      </w:tr>
      <w:tr w14:paraId="36B1618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626F5983">
            <w:pPr>
              <w:pStyle w:val="179"/>
              <w:widowControl w:val="0"/>
              <w:autoSpaceDE w:val="0"/>
              <w:autoSpaceDN w:val="0"/>
              <w:rPr>
                <w:lang w:eastAsia="en-US"/>
              </w:rPr>
            </w:pPr>
            <w:r>
              <w:rPr>
                <w:rFonts w:hint="eastAsia"/>
                <w:lang w:eastAsia="en-US"/>
              </w:rPr>
              <w:t>67</w:t>
            </w:r>
          </w:p>
        </w:tc>
        <w:tc>
          <w:tcPr>
            <w:tcW w:w="1840" w:type="dxa"/>
            <w:noWrap/>
            <w:vAlign w:val="center"/>
          </w:tcPr>
          <w:p w14:paraId="199D0902">
            <w:pPr>
              <w:pStyle w:val="179"/>
              <w:widowControl w:val="0"/>
              <w:autoSpaceDE w:val="0"/>
              <w:autoSpaceDN w:val="0"/>
              <w:rPr>
                <w:lang w:eastAsia="en-US"/>
              </w:rPr>
            </w:pPr>
            <w:r>
              <w:rPr>
                <w:lang w:eastAsia="en-US"/>
              </w:rPr>
              <w:t>旋覆花</w:t>
            </w:r>
          </w:p>
        </w:tc>
        <w:tc>
          <w:tcPr>
            <w:tcW w:w="4755" w:type="dxa"/>
            <w:noWrap/>
            <w:vAlign w:val="center"/>
          </w:tcPr>
          <w:p w14:paraId="7C554A41">
            <w:pPr>
              <w:pStyle w:val="179"/>
              <w:widowControl w:val="0"/>
              <w:autoSpaceDE w:val="0"/>
              <w:autoSpaceDN w:val="0"/>
              <w:rPr>
                <w:i/>
                <w:iCs/>
                <w:lang w:eastAsia="en-US"/>
              </w:rPr>
            </w:pPr>
            <w:r>
              <w:rPr>
                <w:i/>
                <w:iCs/>
                <w:lang w:eastAsia="en-US"/>
              </w:rPr>
              <w:t>Inula japonica Thunb.</w:t>
            </w:r>
          </w:p>
        </w:tc>
        <w:tc>
          <w:tcPr>
            <w:tcW w:w="1153" w:type="dxa"/>
            <w:noWrap/>
            <w:vAlign w:val="center"/>
          </w:tcPr>
          <w:p w14:paraId="24AA19B6">
            <w:pPr>
              <w:pStyle w:val="179"/>
              <w:widowControl w:val="0"/>
              <w:autoSpaceDE w:val="0"/>
              <w:autoSpaceDN w:val="0"/>
              <w:rPr>
                <w:lang w:eastAsia="en-US"/>
              </w:rPr>
            </w:pPr>
          </w:p>
        </w:tc>
      </w:tr>
      <w:tr w14:paraId="38580E0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03C9210C">
            <w:pPr>
              <w:pStyle w:val="179"/>
              <w:widowControl w:val="0"/>
              <w:autoSpaceDE w:val="0"/>
              <w:autoSpaceDN w:val="0"/>
              <w:rPr>
                <w:lang w:eastAsia="en-US"/>
              </w:rPr>
            </w:pPr>
            <w:r>
              <w:rPr>
                <w:rFonts w:hint="eastAsia"/>
                <w:lang w:eastAsia="en-US"/>
              </w:rPr>
              <w:t>68</w:t>
            </w:r>
          </w:p>
        </w:tc>
        <w:tc>
          <w:tcPr>
            <w:tcW w:w="1840" w:type="dxa"/>
            <w:noWrap/>
            <w:vAlign w:val="center"/>
          </w:tcPr>
          <w:p w14:paraId="22EDD663">
            <w:pPr>
              <w:pStyle w:val="179"/>
              <w:widowControl w:val="0"/>
              <w:autoSpaceDE w:val="0"/>
              <w:autoSpaceDN w:val="0"/>
              <w:rPr>
                <w:lang w:eastAsia="en-US"/>
              </w:rPr>
            </w:pPr>
            <w:r>
              <w:rPr>
                <w:lang w:eastAsia="en-US"/>
              </w:rPr>
              <w:t>苦荬菜</w:t>
            </w:r>
          </w:p>
        </w:tc>
        <w:tc>
          <w:tcPr>
            <w:tcW w:w="4755" w:type="dxa"/>
            <w:noWrap/>
            <w:vAlign w:val="center"/>
          </w:tcPr>
          <w:p w14:paraId="604CB4E6">
            <w:pPr>
              <w:pStyle w:val="179"/>
              <w:widowControl w:val="0"/>
              <w:autoSpaceDE w:val="0"/>
              <w:autoSpaceDN w:val="0"/>
              <w:rPr>
                <w:i/>
                <w:iCs/>
                <w:lang w:eastAsia="en-US"/>
              </w:rPr>
            </w:pPr>
            <w:r>
              <w:rPr>
                <w:i/>
                <w:iCs/>
                <w:lang w:eastAsia="en-US"/>
              </w:rPr>
              <w:t>Ixeris polycephala Cass. ex DC.</w:t>
            </w:r>
          </w:p>
        </w:tc>
        <w:tc>
          <w:tcPr>
            <w:tcW w:w="1153" w:type="dxa"/>
            <w:noWrap/>
            <w:vAlign w:val="center"/>
          </w:tcPr>
          <w:p w14:paraId="6E90E176">
            <w:pPr>
              <w:pStyle w:val="179"/>
              <w:widowControl w:val="0"/>
              <w:autoSpaceDE w:val="0"/>
              <w:autoSpaceDN w:val="0"/>
              <w:rPr>
                <w:lang w:eastAsia="en-US"/>
              </w:rPr>
            </w:pPr>
          </w:p>
        </w:tc>
      </w:tr>
      <w:tr w14:paraId="704E2E0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797F11BF">
            <w:pPr>
              <w:pStyle w:val="179"/>
              <w:widowControl w:val="0"/>
              <w:autoSpaceDE w:val="0"/>
              <w:autoSpaceDN w:val="0"/>
              <w:rPr>
                <w:lang w:eastAsia="en-US"/>
              </w:rPr>
            </w:pPr>
            <w:r>
              <w:rPr>
                <w:rFonts w:hint="eastAsia"/>
                <w:lang w:eastAsia="en-US"/>
              </w:rPr>
              <w:t>69</w:t>
            </w:r>
          </w:p>
        </w:tc>
        <w:tc>
          <w:tcPr>
            <w:tcW w:w="1840" w:type="dxa"/>
            <w:noWrap/>
            <w:vAlign w:val="center"/>
          </w:tcPr>
          <w:p w14:paraId="07A17AAE">
            <w:pPr>
              <w:pStyle w:val="179"/>
              <w:widowControl w:val="0"/>
              <w:autoSpaceDE w:val="0"/>
              <w:autoSpaceDN w:val="0"/>
              <w:rPr>
                <w:lang w:eastAsia="en-US"/>
              </w:rPr>
            </w:pPr>
            <w:r>
              <w:rPr>
                <w:lang w:eastAsia="en-US"/>
              </w:rPr>
              <w:t>粗毛牛膝菊</w:t>
            </w:r>
          </w:p>
        </w:tc>
        <w:tc>
          <w:tcPr>
            <w:tcW w:w="4755" w:type="dxa"/>
            <w:noWrap/>
            <w:vAlign w:val="center"/>
          </w:tcPr>
          <w:p w14:paraId="204581E1">
            <w:pPr>
              <w:pStyle w:val="179"/>
              <w:widowControl w:val="0"/>
              <w:autoSpaceDE w:val="0"/>
              <w:autoSpaceDN w:val="0"/>
              <w:rPr>
                <w:i/>
                <w:iCs/>
                <w:lang w:eastAsia="en-US"/>
              </w:rPr>
            </w:pPr>
            <w:r>
              <w:rPr>
                <w:i/>
                <w:iCs/>
                <w:lang w:eastAsia="en-US"/>
              </w:rPr>
              <w:t>Galinsoga quadriradiata</w:t>
            </w:r>
          </w:p>
        </w:tc>
        <w:tc>
          <w:tcPr>
            <w:tcW w:w="1153" w:type="dxa"/>
            <w:noWrap/>
            <w:vAlign w:val="center"/>
          </w:tcPr>
          <w:p w14:paraId="63DD09CB">
            <w:pPr>
              <w:pStyle w:val="179"/>
              <w:widowControl w:val="0"/>
              <w:autoSpaceDE w:val="0"/>
              <w:autoSpaceDN w:val="0"/>
              <w:rPr>
                <w:lang w:eastAsia="en-US"/>
              </w:rPr>
            </w:pPr>
          </w:p>
        </w:tc>
      </w:tr>
      <w:tr w14:paraId="0C99794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0873EED4">
            <w:pPr>
              <w:pStyle w:val="179"/>
              <w:widowControl w:val="0"/>
              <w:autoSpaceDE w:val="0"/>
              <w:autoSpaceDN w:val="0"/>
              <w:rPr>
                <w:lang w:eastAsia="en-US"/>
              </w:rPr>
            </w:pPr>
            <w:r>
              <w:rPr>
                <w:lang w:eastAsia="en-US"/>
              </w:rPr>
              <w:t>7</w:t>
            </w:r>
            <w:r>
              <w:rPr>
                <w:rFonts w:hint="eastAsia"/>
                <w:lang w:eastAsia="en-US"/>
              </w:rPr>
              <w:t>0</w:t>
            </w:r>
          </w:p>
        </w:tc>
        <w:tc>
          <w:tcPr>
            <w:tcW w:w="1840" w:type="dxa"/>
            <w:noWrap/>
            <w:vAlign w:val="center"/>
          </w:tcPr>
          <w:p w14:paraId="52C90C05">
            <w:pPr>
              <w:pStyle w:val="179"/>
              <w:widowControl w:val="0"/>
              <w:autoSpaceDE w:val="0"/>
              <w:autoSpaceDN w:val="0"/>
              <w:rPr>
                <w:lang w:eastAsia="en-US"/>
              </w:rPr>
            </w:pPr>
            <w:r>
              <w:rPr>
                <w:lang w:eastAsia="en-US"/>
              </w:rPr>
              <w:t>长裂苦苣菜</w:t>
            </w:r>
          </w:p>
        </w:tc>
        <w:tc>
          <w:tcPr>
            <w:tcW w:w="4755" w:type="dxa"/>
            <w:noWrap/>
            <w:vAlign w:val="center"/>
          </w:tcPr>
          <w:p w14:paraId="70AB2189">
            <w:pPr>
              <w:pStyle w:val="179"/>
              <w:widowControl w:val="0"/>
              <w:autoSpaceDE w:val="0"/>
              <w:autoSpaceDN w:val="0"/>
              <w:rPr>
                <w:i/>
                <w:iCs/>
                <w:lang w:eastAsia="en-US"/>
              </w:rPr>
            </w:pPr>
            <w:r>
              <w:rPr>
                <w:i/>
                <w:iCs/>
                <w:lang w:eastAsia="en-US"/>
              </w:rPr>
              <w:t>Sonchus brachyotus DC.</w:t>
            </w:r>
          </w:p>
        </w:tc>
        <w:tc>
          <w:tcPr>
            <w:tcW w:w="1153" w:type="dxa"/>
            <w:noWrap/>
            <w:vAlign w:val="center"/>
          </w:tcPr>
          <w:p w14:paraId="43E292C0">
            <w:pPr>
              <w:pStyle w:val="179"/>
              <w:widowControl w:val="0"/>
              <w:autoSpaceDE w:val="0"/>
              <w:autoSpaceDN w:val="0"/>
              <w:rPr>
                <w:lang w:eastAsia="en-US"/>
              </w:rPr>
            </w:pPr>
          </w:p>
        </w:tc>
      </w:tr>
      <w:tr w14:paraId="5ACB1D5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12F6E014">
            <w:pPr>
              <w:pStyle w:val="179"/>
              <w:widowControl w:val="0"/>
              <w:autoSpaceDE w:val="0"/>
              <w:autoSpaceDN w:val="0"/>
              <w:rPr>
                <w:lang w:eastAsia="en-US"/>
              </w:rPr>
            </w:pPr>
            <w:r>
              <w:rPr>
                <w:lang w:eastAsia="en-US"/>
              </w:rPr>
              <w:t>7</w:t>
            </w:r>
            <w:r>
              <w:rPr>
                <w:rFonts w:hint="eastAsia"/>
                <w:lang w:eastAsia="en-US"/>
              </w:rPr>
              <w:t>1</w:t>
            </w:r>
          </w:p>
        </w:tc>
        <w:tc>
          <w:tcPr>
            <w:tcW w:w="1840" w:type="dxa"/>
            <w:noWrap/>
            <w:vAlign w:val="center"/>
          </w:tcPr>
          <w:p w14:paraId="678CE12B">
            <w:pPr>
              <w:pStyle w:val="179"/>
              <w:widowControl w:val="0"/>
              <w:autoSpaceDE w:val="0"/>
              <w:autoSpaceDN w:val="0"/>
              <w:rPr>
                <w:lang w:eastAsia="en-US"/>
              </w:rPr>
            </w:pPr>
            <w:r>
              <w:rPr>
                <w:rFonts w:hint="eastAsia"/>
                <w:lang w:eastAsia="en-US"/>
              </w:rPr>
              <w:t>北山莴苣</w:t>
            </w:r>
          </w:p>
        </w:tc>
        <w:tc>
          <w:tcPr>
            <w:tcW w:w="4755" w:type="dxa"/>
            <w:noWrap/>
            <w:vAlign w:val="center"/>
          </w:tcPr>
          <w:p w14:paraId="4F597113">
            <w:pPr>
              <w:pStyle w:val="179"/>
              <w:widowControl w:val="0"/>
              <w:autoSpaceDE w:val="0"/>
              <w:autoSpaceDN w:val="0"/>
              <w:rPr>
                <w:i/>
                <w:iCs/>
                <w:lang w:eastAsia="en-US"/>
              </w:rPr>
            </w:pPr>
            <w:r>
              <w:rPr>
                <w:i/>
                <w:iCs/>
                <w:lang w:eastAsia="en-US"/>
              </w:rPr>
              <w:t>Lactuca sibirica</w:t>
            </w:r>
            <w:r>
              <w:rPr>
                <w:rFonts w:hint="eastAsia"/>
                <w:i/>
                <w:iCs/>
                <w:lang w:eastAsia="en-US"/>
              </w:rPr>
              <w:t>（</w:t>
            </w:r>
            <w:r>
              <w:rPr>
                <w:i/>
                <w:iCs/>
                <w:lang w:eastAsia="en-US"/>
              </w:rPr>
              <w:t>L.</w:t>
            </w:r>
            <w:r>
              <w:rPr>
                <w:rFonts w:hint="eastAsia"/>
                <w:i/>
                <w:iCs/>
                <w:lang w:eastAsia="en-US"/>
              </w:rPr>
              <w:t>）</w:t>
            </w:r>
            <w:r>
              <w:rPr>
                <w:i/>
                <w:iCs/>
                <w:lang w:eastAsia="en-US"/>
              </w:rPr>
              <w:t xml:space="preserve"> Benth. ex Maxim.</w:t>
            </w:r>
          </w:p>
        </w:tc>
        <w:tc>
          <w:tcPr>
            <w:tcW w:w="1153" w:type="dxa"/>
            <w:noWrap/>
            <w:vAlign w:val="center"/>
          </w:tcPr>
          <w:p w14:paraId="25EF69D6">
            <w:pPr>
              <w:pStyle w:val="179"/>
              <w:widowControl w:val="0"/>
              <w:autoSpaceDE w:val="0"/>
              <w:autoSpaceDN w:val="0"/>
              <w:rPr>
                <w:lang w:eastAsia="en-US"/>
              </w:rPr>
            </w:pPr>
          </w:p>
        </w:tc>
      </w:tr>
      <w:tr w14:paraId="654936D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5717236E">
            <w:pPr>
              <w:pStyle w:val="179"/>
              <w:widowControl w:val="0"/>
              <w:autoSpaceDE w:val="0"/>
              <w:autoSpaceDN w:val="0"/>
              <w:rPr>
                <w:lang w:eastAsia="en-US"/>
              </w:rPr>
            </w:pPr>
            <w:r>
              <w:rPr>
                <w:lang w:eastAsia="en-US"/>
              </w:rPr>
              <w:t>7</w:t>
            </w:r>
            <w:r>
              <w:rPr>
                <w:rFonts w:hint="eastAsia"/>
                <w:lang w:eastAsia="en-US"/>
              </w:rPr>
              <w:t>2</w:t>
            </w:r>
          </w:p>
        </w:tc>
        <w:tc>
          <w:tcPr>
            <w:tcW w:w="1840" w:type="dxa"/>
            <w:noWrap/>
            <w:vAlign w:val="center"/>
          </w:tcPr>
          <w:p w14:paraId="1A7AD729">
            <w:pPr>
              <w:pStyle w:val="179"/>
              <w:widowControl w:val="0"/>
              <w:autoSpaceDE w:val="0"/>
              <w:autoSpaceDN w:val="0"/>
              <w:rPr>
                <w:lang w:eastAsia="en-US"/>
              </w:rPr>
            </w:pPr>
            <w:r>
              <w:rPr>
                <w:lang w:eastAsia="en-US"/>
              </w:rPr>
              <w:t>蒲公英</w:t>
            </w:r>
          </w:p>
        </w:tc>
        <w:tc>
          <w:tcPr>
            <w:tcW w:w="4755" w:type="dxa"/>
            <w:noWrap/>
            <w:vAlign w:val="center"/>
          </w:tcPr>
          <w:p w14:paraId="367CEAAD">
            <w:pPr>
              <w:pStyle w:val="179"/>
              <w:widowControl w:val="0"/>
              <w:autoSpaceDE w:val="0"/>
              <w:autoSpaceDN w:val="0"/>
              <w:rPr>
                <w:i/>
                <w:iCs/>
                <w:lang w:eastAsia="en-US"/>
              </w:rPr>
            </w:pPr>
            <w:r>
              <w:rPr>
                <w:i/>
                <w:iCs/>
                <w:lang w:eastAsia="en-US"/>
              </w:rPr>
              <w:t>Taraxacum mongolicum Hand.-Mazz.</w:t>
            </w:r>
          </w:p>
        </w:tc>
        <w:tc>
          <w:tcPr>
            <w:tcW w:w="1153" w:type="dxa"/>
            <w:noWrap/>
            <w:vAlign w:val="center"/>
          </w:tcPr>
          <w:p w14:paraId="4F6F73D4">
            <w:pPr>
              <w:pStyle w:val="179"/>
              <w:widowControl w:val="0"/>
              <w:autoSpaceDE w:val="0"/>
              <w:autoSpaceDN w:val="0"/>
              <w:rPr>
                <w:lang w:eastAsia="en-US"/>
              </w:rPr>
            </w:pPr>
          </w:p>
        </w:tc>
      </w:tr>
      <w:tr w14:paraId="2364772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4617EF97">
            <w:pPr>
              <w:pStyle w:val="179"/>
              <w:widowControl w:val="0"/>
              <w:autoSpaceDE w:val="0"/>
              <w:autoSpaceDN w:val="0"/>
              <w:rPr>
                <w:lang w:eastAsia="en-US"/>
              </w:rPr>
            </w:pPr>
            <w:r>
              <w:rPr>
                <w:lang w:eastAsia="en-US"/>
              </w:rPr>
              <w:t>7</w:t>
            </w:r>
            <w:r>
              <w:rPr>
                <w:rFonts w:hint="eastAsia"/>
                <w:lang w:eastAsia="en-US"/>
              </w:rPr>
              <w:t>3</w:t>
            </w:r>
          </w:p>
        </w:tc>
        <w:tc>
          <w:tcPr>
            <w:tcW w:w="1840" w:type="dxa"/>
            <w:noWrap/>
            <w:vAlign w:val="center"/>
          </w:tcPr>
          <w:p w14:paraId="7A6158FE">
            <w:pPr>
              <w:pStyle w:val="179"/>
              <w:widowControl w:val="0"/>
              <w:autoSpaceDE w:val="0"/>
              <w:autoSpaceDN w:val="0"/>
              <w:rPr>
                <w:lang w:eastAsia="en-US"/>
              </w:rPr>
            </w:pPr>
            <w:r>
              <w:rPr>
                <w:lang w:eastAsia="en-US"/>
              </w:rPr>
              <w:t>苍耳</w:t>
            </w:r>
          </w:p>
        </w:tc>
        <w:tc>
          <w:tcPr>
            <w:tcW w:w="4755" w:type="dxa"/>
            <w:noWrap/>
            <w:vAlign w:val="center"/>
          </w:tcPr>
          <w:p w14:paraId="21934656">
            <w:pPr>
              <w:pStyle w:val="179"/>
              <w:widowControl w:val="0"/>
              <w:autoSpaceDE w:val="0"/>
              <w:autoSpaceDN w:val="0"/>
              <w:rPr>
                <w:i/>
                <w:iCs/>
                <w:lang w:eastAsia="en-US"/>
              </w:rPr>
            </w:pPr>
            <w:r>
              <w:rPr>
                <w:i/>
                <w:iCs/>
                <w:lang w:eastAsia="en-US"/>
              </w:rPr>
              <w:t>Xanthium strumarium L.</w:t>
            </w:r>
          </w:p>
        </w:tc>
        <w:tc>
          <w:tcPr>
            <w:tcW w:w="1153" w:type="dxa"/>
            <w:noWrap/>
            <w:vAlign w:val="center"/>
          </w:tcPr>
          <w:p w14:paraId="65365F56">
            <w:pPr>
              <w:pStyle w:val="179"/>
              <w:widowControl w:val="0"/>
              <w:autoSpaceDE w:val="0"/>
              <w:autoSpaceDN w:val="0"/>
              <w:rPr>
                <w:lang w:eastAsia="en-US"/>
              </w:rPr>
            </w:pPr>
          </w:p>
        </w:tc>
      </w:tr>
      <w:tr w14:paraId="22DE9D6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420F9D53">
            <w:pPr>
              <w:pStyle w:val="179"/>
              <w:widowControl w:val="0"/>
              <w:autoSpaceDE w:val="0"/>
              <w:autoSpaceDN w:val="0"/>
              <w:rPr>
                <w:b/>
                <w:lang w:eastAsia="en-US"/>
              </w:rPr>
            </w:pPr>
            <w:r>
              <w:rPr>
                <w:rFonts w:hint="eastAsia"/>
                <w:b/>
                <w:lang w:eastAsia="en-US"/>
              </w:rPr>
              <w:t>三十四</w:t>
            </w:r>
          </w:p>
        </w:tc>
        <w:tc>
          <w:tcPr>
            <w:tcW w:w="1840" w:type="dxa"/>
            <w:noWrap/>
            <w:vAlign w:val="center"/>
          </w:tcPr>
          <w:p w14:paraId="73733F50">
            <w:pPr>
              <w:pStyle w:val="179"/>
              <w:widowControl w:val="0"/>
              <w:autoSpaceDE w:val="0"/>
              <w:autoSpaceDN w:val="0"/>
              <w:rPr>
                <w:b/>
                <w:lang w:eastAsia="en-US"/>
              </w:rPr>
            </w:pPr>
            <w:r>
              <w:rPr>
                <w:b/>
                <w:lang w:eastAsia="en-US"/>
              </w:rPr>
              <w:t>百合科</w:t>
            </w:r>
          </w:p>
        </w:tc>
        <w:tc>
          <w:tcPr>
            <w:tcW w:w="4755" w:type="dxa"/>
            <w:noWrap/>
            <w:vAlign w:val="center"/>
          </w:tcPr>
          <w:p w14:paraId="4D908749">
            <w:pPr>
              <w:pStyle w:val="179"/>
              <w:widowControl w:val="0"/>
              <w:autoSpaceDE w:val="0"/>
              <w:autoSpaceDN w:val="0"/>
              <w:rPr>
                <w:b/>
                <w:lang w:eastAsia="en-US"/>
              </w:rPr>
            </w:pPr>
            <w:r>
              <w:rPr>
                <w:b/>
                <w:lang w:eastAsia="en-US"/>
              </w:rPr>
              <w:t>LiliaceaeJuss.</w:t>
            </w:r>
          </w:p>
        </w:tc>
        <w:tc>
          <w:tcPr>
            <w:tcW w:w="1153" w:type="dxa"/>
            <w:noWrap/>
            <w:vAlign w:val="center"/>
          </w:tcPr>
          <w:p w14:paraId="6640A078">
            <w:pPr>
              <w:pStyle w:val="179"/>
              <w:widowControl w:val="0"/>
              <w:autoSpaceDE w:val="0"/>
              <w:autoSpaceDN w:val="0"/>
              <w:rPr>
                <w:b/>
                <w:lang w:eastAsia="en-US"/>
              </w:rPr>
            </w:pPr>
          </w:p>
        </w:tc>
      </w:tr>
      <w:tr w14:paraId="18B179C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0987A74C">
            <w:pPr>
              <w:pStyle w:val="179"/>
              <w:widowControl w:val="0"/>
              <w:autoSpaceDE w:val="0"/>
              <w:autoSpaceDN w:val="0"/>
              <w:rPr>
                <w:lang w:eastAsia="en-US"/>
              </w:rPr>
            </w:pPr>
            <w:r>
              <w:rPr>
                <w:rFonts w:hint="eastAsia"/>
                <w:lang w:eastAsia="en-US"/>
              </w:rPr>
              <w:t>74</w:t>
            </w:r>
          </w:p>
        </w:tc>
        <w:tc>
          <w:tcPr>
            <w:tcW w:w="1840" w:type="dxa"/>
            <w:noWrap/>
            <w:vAlign w:val="center"/>
          </w:tcPr>
          <w:p w14:paraId="7A6B605E">
            <w:pPr>
              <w:pStyle w:val="179"/>
              <w:widowControl w:val="0"/>
              <w:autoSpaceDE w:val="0"/>
              <w:autoSpaceDN w:val="0"/>
              <w:rPr>
                <w:lang w:eastAsia="en-US"/>
              </w:rPr>
            </w:pPr>
            <w:r>
              <w:rPr>
                <w:rFonts w:hint="eastAsia"/>
                <w:lang w:eastAsia="en-US"/>
              </w:rPr>
              <w:t>铃兰</w:t>
            </w:r>
          </w:p>
        </w:tc>
        <w:tc>
          <w:tcPr>
            <w:tcW w:w="4755" w:type="dxa"/>
            <w:noWrap/>
            <w:vAlign w:val="center"/>
          </w:tcPr>
          <w:p w14:paraId="11FF7203">
            <w:pPr>
              <w:pStyle w:val="179"/>
              <w:widowControl w:val="0"/>
              <w:autoSpaceDE w:val="0"/>
              <w:autoSpaceDN w:val="0"/>
              <w:rPr>
                <w:i/>
                <w:iCs/>
                <w:lang w:eastAsia="en-US"/>
              </w:rPr>
            </w:pPr>
            <w:r>
              <w:rPr>
                <w:i/>
                <w:iCs/>
                <w:lang w:eastAsia="en-US"/>
              </w:rPr>
              <w:t>Convallaria keiskei</w:t>
            </w:r>
          </w:p>
        </w:tc>
        <w:tc>
          <w:tcPr>
            <w:tcW w:w="1153" w:type="dxa"/>
            <w:noWrap/>
            <w:vAlign w:val="center"/>
          </w:tcPr>
          <w:p w14:paraId="4A93E3B1">
            <w:pPr>
              <w:pStyle w:val="179"/>
              <w:widowControl w:val="0"/>
              <w:autoSpaceDE w:val="0"/>
              <w:autoSpaceDN w:val="0"/>
              <w:rPr>
                <w:lang w:eastAsia="en-US"/>
              </w:rPr>
            </w:pPr>
          </w:p>
        </w:tc>
      </w:tr>
      <w:tr w14:paraId="5EF9463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56E9B3A7">
            <w:pPr>
              <w:pStyle w:val="179"/>
              <w:widowControl w:val="0"/>
              <w:autoSpaceDE w:val="0"/>
              <w:autoSpaceDN w:val="0"/>
              <w:rPr>
                <w:lang w:eastAsia="en-US"/>
              </w:rPr>
            </w:pPr>
            <w:r>
              <w:rPr>
                <w:rFonts w:hint="eastAsia"/>
                <w:lang w:eastAsia="en-US"/>
              </w:rPr>
              <w:t>75</w:t>
            </w:r>
          </w:p>
        </w:tc>
        <w:tc>
          <w:tcPr>
            <w:tcW w:w="1840" w:type="dxa"/>
            <w:noWrap/>
            <w:vAlign w:val="center"/>
          </w:tcPr>
          <w:p w14:paraId="03B6AC93">
            <w:pPr>
              <w:pStyle w:val="179"/>
              <w:widowControl w:val="0"/>
              <w:autoSpaceDE w:val="0"/>
              <w:autoSpaceDN w:val="0"/>
              <w:rPr>
                <w:lang w:eastAsia="en-US"/>
              </w:rPr>
            </w:pPr>
            <w:r>
              <w:rPr>
                <w:rFonts w:hint="eastAsia"/>
                <w:lang w:eastAsia="en-US"/>
              </w:rPr>
              <w:t>舞鹤草</w:t>
            </w:r>
          </w:p>
        </w:tc>
        <w:tc>
          <w:tcPr>
            <w:tcW w:w="4755" w:type="dxa"/>
            <w:noWrap/>
            <w:vAlign w:val="center"/>
          </w:tcPr>
          <w:p w14:paraId="7A292F6E">
            <w:pPr>
              <w:pStyle w:val="179"/>
              <w:widowControl w:val="0"/>
              <w:autoSpaceDE w:val="0"/>
              <w:autoSpaceDN w:val="0"/>
              <w:rPr>
                <w:i/>
                <w:iCs/>
                <w:lang w:eastAsia="en-US"/>
              </w:rPr>
            </w:pPr>
            <w:r>
              <w:rPr>
                <w:i/>
                <w:iCs/>
                <w:lang w:eastAsia="en-US"/>
              </w:rPr>
              <w:t>Maianthemum dilatatum</w:t>
            </w:r>
          </w:p>
        </w:tc>
        <w:tc>
          <w:tcPr>
            <w:tcW w:w="1153" w:type="dxa"/>
            <w:noWrap/>
            <w:vAlign w:val="center"/>
          </w:tcPr>
          <w:p w14:paraId="266A48EF">
            <w:pPr>
              <w:pStyle w:val="179"/>
              <w:widowControl w:val="0"/>
              <w:autoSpaceDE w:val="0"/>
              <w:autoSpaceDN w:val="0"/>
              <w:rPr>
                <w:lang w:eastAsia="en-US"/>
              </w:rPr>
            </w:pPr>
          </w:p>
        </w:tc>
      </w:tr>
      <w:tr w14:paraId="4CE9347C">
        <w:tblPrEx>
          <w:tblCellMar>
            <w:top w:w="0" w:type="dxa"/>
            <w:left w:w="0" w:type="dxa"/>
            <w:bottom w:w="0" w:type="dxa"/>
            <w:right w:w="0" w:type="dxa"/>
          </w:tblCellMar>
        </w:tblPrEx>
        <w:trPr>
          <w:trHeight w:val="340" w:hRule="atLeast"/>
          <w:jc w:val="center"/>
        </w:trPr>
        <w:tc>
          <w:tcPr>
            <w:tcW w:w="1324" w:type="dxa"/>
            <w:noWrap/>
            <w:vAlign w:val="center"/>
          </w:tcPr>
          <w:p w14:paraId="3F76A3DD">
            <w:pPr>
              <w:pStyle w:val="179"/>
              <w:widowControl w:val="0"/>
              <w:autoSpaceDE w:val="0"/>
              <w:autoSpaceDN w:val="0"/>
              <w:rPr>
                <w:lang w:eastAsia="en-US"/>
              </w:rPr>
            </w:pPr>
            <w:r>
              <w:rPr>
                <w:lang w:eastAsia="en-US"/>
              </w:rPr>
              <w:t>7</w:t>
            </w:r>
            <w:r>
              <w:rPr>
                <w:rFonts w:hint="eastAsia"/>
                <w:lang w:eastAsia="en-US"/>
              </w:rPr>
              <w:t>6</w:t>
            </w:r>
          </w:p>
        </w:tc>
        <w:tc>
          <w:tcPr>
            <w:tcW w:w="1840" w:type="dxa"/>
            <w:noWrap/>
            <w:vAlign w:val="center"/>
          </w:tcPr>
          <w:p w14:paraId="6E8D6232">
            <w:pPr>
              <w:pStyle w:val="179"/>
              <w:widowControl w:val="0"/>
              <w:autoSpaceDE w:val="0"/>
              <w:autoSpaceDN w:val="0"/>
              <w:rPr>
                <w:lang w:eastAsia="en-US"/>
              </w:rPr>
            </w:pPr>
            <w:r>
              <w:rPr>
                <w:lang w:eastAsia="en-US"/>
              </w:rPr>
              <w:t>轮叶黄精</w:t>
            </w:r>
          </w:p>
        </w:tc>
        <w:tc>
          <w:tcPr>
            <w:tcW w:w="4755" w:type="dxa"/>
            <w:noWrap/>
            <w:vAlign w:val="center"/>
          </w:tcPr>
          <w:p w14:paraId="0492659F">
            <w:pPr>
              <w:pStyle w:val="179"/>
              <w:widowControl w:val="0"/>
              <w:autoSpaceDE w:val="0"/>
              <w:autoSpaceDN w:val="0"/>
              <w:rPr>
                <w:i/>
                <w:iCs/>
                <w:lang w:eastAsia="en-US"/>
              </w:rPr>
            </w:pPr>
            <w:r>
              <w:rPr>
                <w:i/>
                <w:iCs/>
                <w:lang w:eastAsia="en-US"/>
              </w:rPr>
              <w:t xml:space="preserve">Polygonatum verticillatum </w:t>
            </w:r>
            <w:r>
              <w:rPr>
                <w:rFonts w:hint="eastAsia"/>
                <w:i/>
                <w:iCs/>
                <w:lang w:eastAsia="en-US"/>
              </w:rPr>
              <w:t>（</w:t>
            </w:r>
            <w:r>
              <w:rPr>
                <w:i/>
                <w:iCs/>
                <w:lang w:eastAsia="en-US"/>
              </w:rPr>
              <w:t>Linn.</w:t>
            </w:r>
            <w:r>
              <w:rPr>
                <w:rFonts w:hint="eastAsia"/>
                <w:i/>
                <w:iCs/>
                <w:lang w:eastAsia="en-US"/>
              </w:rPr>
              <w:t>）</w:t>
            </w:r>
            <w:r>
              <w:rPr>
                <w:i/>
                <w:iCs/>
                <w:lang w:eastAsia="en-US"/>
              </w:rPr>
              <w:t xml:space="preserve"> All.</w:t>
            </w:r>
          </w:p>
        </w:tc>
        <w:tc>
          <w:tcPr>
            <w:tcW w:w="1153" w:type="dxa"/>
            <w:noWrap/>
            <w:vAlign w:val="center"/>
          </w:tcPr>
          <w:p w14:paraId="539677A8">
            <w:pPr>
              <w:pStyle w:val="179"/>
              <w:widowControl w:val="0"/>
              <w:autoSpaceDE w:val="0"/>
              <w:autoSpaceDN w:val="0"/>
              <w:rPr>
                <w:lang w:eastAsia="en-US"/>
              </w:rPr>
            </w:pPr>
          </w:p>
        </w:tc>
      </w:tr>
      <w:tr w14:paraId="3055311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75004FE6">
            <w:pPr>
              <w:pStyle w:val="179"/>
              <w:widowControl w:val="0"/>
              <w:autoSpaceDE w:val="0"/>
              <w:autoSpaceDN w:val="0"/>
              <w:rPr>
                <w:b/>
                <w:lang w:eastAsia="en-US"/>
              </w:rPr>
            </w:pPr>
            <w:r>
              <w:rPr>
                <w:rFonts w:hint="eastAsia"/>
                <w:b/>
                <w:lang w:eastAsia="en-US"/>
              </w:rPr>
              <w:t>三十五</w:t>
            </w:r>
          </w:p>
        </w:tc>
        <w:tc>
          <w:tcPr>
            <w:tcW w:w="1840" w:type="dxa"/>
            <w:noWrap/>
            <w:vAlign w:val="center"/>
          </w:tcPr>
          <w:p w14:paraId="48ADBE11">
            <w:pPr>
              <w:pStyle w:val="179"/>
              <w:widowControl w:val="0"/>
              <w:autoSpaceDE w:val="0"/>
              <w:autoSpaceDN w:val="0"/>
              <w:rPr>
                <w:b/>
                <w:lang w:eastAsia="en-US"/>
              </w:rPr>
            </w:pPr>
            <w:r>
              <w:rPr>
                <w:b/>
                <w:lang w:eastAsia="en-US"/>
              </w:rPr>
              <w:t>禾本科</w:t>
            </w:r>
          </w:p>
        </w:tc>
        <w:tc>
          <w:tcPr>
            <w:tcW w:w="4755" w:type="dxa"/>
            <w:noWrap/>
            <w:vAlign w:val="center"/>
          </w:tcPr>
          <w:p w14:paraId="4C13A228">
            <w:pPr>
              <w:pStyle w:val="179"/>
              <w:widowControl w:val="0"/>
              <w:autoSpaceDE w:val="0"/>
              <w:autoSpaceDN w:val="0"/>
              <w:rPr>
                <w:b/>
                <w:lang w:eastAsia="en-US"/>
              </w:rPr>
            </w:pPr>
            <w:r>
              <w:rPr>
                <w:b/>
                <w:lang w:eastAsia="en-US"/>
              </w:rPr>
              <w:t>PoaceaeBarnhart</w:t>
            </w:r>
          </w:p>
        </w:tc>
        <w:tc>
          <w:tcPr>
            <w:tcW w:w="1153" w:type="dxa"/>
            <w:noWrap/>
            <w:vAlign w:val="center"/>
          </w:tcPr>
          <w:p w14:paraId="7924FF25">
            <w:pPr>
              <w:pStyle w:val="179"/>
              <w:widowControl w:val="0"/>
              <w:autoSpaceDE w:val="0"/>
              <w:autoSpaceDN w:val="0"/>
              <w:rPr>
                <w:b/>
                <w:lang w:eastAsia="en-US"/>
              </w:rPr>
            </w:pPr>
          </w:p>
        </w:tc>
      </w:tr>
      <w:tr w14:paraId="26E82D3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0BEC5D66">
            <w:pPr>
              <w:pStyle w:val="179"/>
              <w:widowControl w:val="0"/>
              <w:autoSpaceDE w:val="0"/>
              <w:autoSpaceDN w:val="0"/>
              <w:rPr>
                <w:lang w:eastAsia="en-US"/>
              </w:rPr>
            </w:pPr>
            <w:r>
              <w:rPr>
                <w:rFonts w:hint="eastAsia"/>
                <w:lang w:eastAsia="en-US"/>
              </w:rPr>
              <w:t>77</w:t>
            </w:r>
          </w:p>
        </w:tc>
        <w:tc>
          <w:tcPr>
            <w:tcW w:w="1840" w:type="dxa"/>
            <w:noWrap/>
            <w:vAlign w:val="center"/>
          </w:tcPr>
          <w:p w14:paraId="0B1AD3D9">
            <w:pPr>
              <w:pStyle w:val="179"/>
              <w:widowControl w:val="0"/>
              <w:autoSpaceDE w:val="0"/>
              <w:autoSpaceDN w:val="0"/>
              <w:rPr>
                <w:lang w:eastAsia="en-US"/>
              </w:rPr>
            </w:pPr>
            <w:r>
              <w:rPr>
                <w:lang w:eastAsia="en-US"/>
              </w:rPr>
              <w:t>中华草沙蚕</w:t>
            </w:r>
          </w:p>
        </w:tc>
        <w:tc>
          <w:tcPr>
            <w:tcW w:w="4755" w:type="dxa"/>
            <w:noWrap/>
            <w:vAlign w:val="center"/>
          </w:tcPr>
          <w:p w14:paraId="04F18029">
            <w:pPr>
              <w:pStyle w:val="179"/>
              <w:widowControl w:val="0"/>
              <w:autoSpaceDE w:val="0"/>
              <w:autoSpaceDN w:val="0"/>
              <w:rPr>
                <w:i/>
                <w:iCs/>
                <w:lang w:eastAsia="en-US"/>
              </w:rPr>
            </w:pPr>
            <w:r>
              <w:rPr>
                <w:i/>
                <w:iCs/>
                <w:lang w:eastAsia="en-US"/>
              </w:rPr>
              <w:t>Tripogon chinensis</w:t>
            </w:r>
            <w:r>
              <w:rPr>
                <w:rFonts w:hint="eastAsia"/>
                <w:i/>
                <w:iCs/>
                <w:lang w:eastAsia="en-US"/>
              </w:rPr>
              <w:t>（</w:t>
            </w:r>
            <w:r>
              <w:rPr>
                <w:i/>
                <w:iCs/>
                <w:lang w:eastAsia="en-US"/>
              </w:rPr>
              <w:t>Franch.</w:t>
            </w:r>
            <w:r>
              <w:rPr>
                <w:rFonts w:hint="eastAsia"/>
                <w:i/>
                <w:iCs/>
                <w:lang w:eastAsia="en-US"/>
              </w:rPr>
              <w:t>）</w:t>
            </w:r>
            <w:r>
              <w:rPr>
                <w:i/>
                <w:iCs/>
                <w:lang w:eastAsia="en-US"/>
              </w:rPr>
              <w:t xml:space="preserve"> Hack.</w:t>
            </w:r>
          </w:p>
        </w:tc>
        <w:tc>
          <w:tcPr>
            <w:tcW w:w="1153" w:type="dxa"/>
            <w:noWrap/>
            <w:vAlign w:val="center"/>
          </w:tcPr>
          <w:p w14:paraId="22F27C0E">
            <w:pPr>
              <w:pStyle w:val="179"/>
              <w:widowControl w:val="0"/>
              <w:autoSpaceDE w:val="0"/>
              <w:autoSpaceDN w:val="0"/>
              <w:rPr>
                <w:lang w:eastAsia="en-US"/>
              </w:rPr>
            </w:pPr>
          </w:p>
        </w:tc>
      </w:tr>
      <w:tr w14:paraId="037A3D7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45548375">
            <w:pPr>
              <w:pStyle w:val="179"/>
              <w:widowControl w:val="0"/>
              <w:autoSpaceDE w:val="0"/>
              <w:autoSpaceDN w:val="0"/>
              <w:rPr>
                <w:lang w:eastAsia="en-US"/>
              </w:rPr>
            </w:pPr>
            <w:r>
              <w:rPr>
                <w:rFonts w:hint="eastAsia"/>
                <w:lang w:eastAsia="en-US"/>
              </w:rPr>
              <w:t>78</w:t>
            </w:r>
          </w:p>
        </w:tc>
        <w:tc>
          <w:tcPr>
            <w:tcW w:w="1840" w:type="dxa"/>
            <w:noWrap/>
            <w:vAlign w:val="center"/>
          </w:tcPr>
          <w:p w14:paraId="72E37A29">
            <w:pPr>
              <w:pStyle w:val="179"/>
              <w:widowControl w:val="0"/>
              <w:autoSpaceDE w:val="0"/>
              <w:autoSpaceDN w:val="0"/>
              <w:rPr>
                <w:lang w:eastAsia="en-US"/>
              </w:rPr>
            </w:pPr>
            <w:r>
              <w:rPr>
                <w:lang w:eastAsia="en-US"/>
              </w:rPr>
              <w:t>拂子茅</w:t>
            </w:r>
          </w:p>
        </w:tc>
        <w:tc>
          <w:tcPr>
            <w:tcW w:w="4755" w:type="dxa"/>
            <w:noWrap/>
            <w:vAlign w:val="center"/>
          </w:tcPr>
          <w:p w14:paraId="5FB6A6E5">
            <w:pPr>
              <w:pStyle w:val="179"/>
              <w:widowControl w:val="0"/>
              <w:autoSpaceDE w:val="0"/>
              <w:autoSpaceDN w:val="0"/>
              <w:rPr>
                <w:i/>
                <w:iCs/>
                <w:lang w:eastAsia="en-US"/>
              </w:rPr>
            </w:pPr>
            <w:r>
              <w:rPr>
                <w:i/>
                <w:iCs/>
                <w:lang w:eastAsia="en-US"/>
              </w:rPr>
              <w:t xml:space="preserve">Calamagrostis epigeios </w:t>
            </w:r>
            <w:r>
              <w:rPr>
                <w:rFonts w:hint="eastAsia"/>
                <w:i/>
                <w:iCs/>
                <w:lang w:eastAsia="en-US"/>
              </w:rPr>
              <w:t>（</w:t>
            </w:r>
            <w:r>
              <w:rPr>
                <w:i/>
                <w:iCs/>
                <w:lang w:eastAsia="en-US"/>
              </w:rPr>
              <w:t>（L.</w:t>
            </w:r>
            <w:r>
              <w:rPr>
                <w:rFonts w:hint="eastAsia"/>
                <w:i/>
                <w:iCs/>
                <w:lang w:eastAsia="en-US"/>
              </w:rPr>
              <w:t>）</w:t>
            </w:r>
            <w:r>
              <w:rPr>
                <w:i/>
                <w:iCs/>
                <w:lang w:eastAsia="en-US"/>
              </w:rPr>
              <w:t>） Roth</w:t>
            </w:r>
          </w:p>
        </w:tc>
        <w:tc>
          <w:tcPr>
            <w:tcW w:w="1153" w:type="dxa"/>
            <w:noWrap/>
            <w:vAlign w:val="center"/>
          </w:tcPr>
          <w:p w14:paraId="00B41948">
            <w:pPr>
              <w:pStyle w:val="179"/>
              <w:widowControl w:val="0"/>
              <w:autoSpaceDE w:val="0"/>
              <w:autoSpaceDN w:val="0"/>
              <w:rPr>
                <w:lang w:eastAsia="en-US"/>
              </w:rPr>
            </w:pPr>
          </w:p>
        </w:tc>
      </w:tr>
      <w:tr w14:paraId="048778D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423CBB1E">
            <w:pPr>
              <w:pStyle w:val="179"/>
              <w:widowControl w:val="0"/>
              <w:autoSpaceDE w:val="0"/>
              <w:autoSpaceDN w:val="0"/>
              <w:rPr>
                <w:lang w:eastAsia="en-US"/>
              </w:rPr>
            </w:pPr>
            <w:r>
              <w:rPr>
                <w:rFonts w:hint="eastAsia"/>
                <w:lang w:eastAsia="en-US"/>
              </w:rPr>
              <w:t>79</w:t>
            </w:r>
          </w:p>
        </w:tc>
        <w:tc>
          <w:tcPr>
            <w:tcW w:w="1840" w:type="dxa"/>
            <w:noWrap/>
            <w:vAlign w:val="center"/>
          </w:tcPr>
          <w:p w14:paraId="7BD3377A">
            <w:pPr>
              <w:pStyle w:val="179"/>
              <w:widowControl w:val="0"/>
              <w:autoSpaceDE w:val="0"/>
              <w:autoSpaceDN w:val="0"/>
              <w:rPr>
                <w:lang w:eastAsia="en-US"/>
              </w:rPr>
            </w:pPr>
            <w:r>
              <w:rPr>
                <w:rFonts w:hint="eastAsia"/>
                <w:lang w:eastAsia="en-US"/>
              </w:rPr>
              <w:t>大叶章</w:t>
            </w:r>
          </w:p>
        </w:tc>
        <w:tc>
          <w:tcPr>
            <w:tcW w:w="4755" w:type="dxa"/>
            <w:noWrap/>
            <w:vAlign w:val="center"/>
          </w:tcPr>
          <w:p w14:paraId="1D59602F">
            <w:pPr>
              <w:pStyle w:val="179"/>
              <w:widowControl w:val="0"/>
              <w:autoSpaceDE w:val="0"/>
              <w:autoSpaceDN w:val="0"/>
              <w:rPr>
                <w:i/>
                <w:iCs/>
                <w:lang w:eastAsia="en-US"/>
              </w:rPr>
            </w:pPr>
            <w:r>
              <w:rPr>
                <w:i/>
                <w:iCs/>
                <w:lang w:eastAsia="en-US"/>
              </w:rPr>
              <w:t>D. langsdorffii</w:t>
            </w:r>
          </w:p>
        </w:tc>
        <w:tc>
          <w:tcPr>
            <w:tcW w:w="1153" w:type="dxa"/>
            <w:noWrap/>
            <w:vAlign w:val="center"/>
          </w:tcPr>
          <w:p w14:paraId="5139F2F3">
            <w:pPr>
              <w:pStyle w:val="179"/>
              <w:widowControl w:val="0"/>
              <w:autoSpaceDE w:val="0"/>
              <w:autoSpaceDN w:val="0"/>
              <w:rPr>
                <w:lang w:eastAsia="en-US"/>
              </w:rPr>
            </w:pPr>
          </w:p>
        </w:tc>
      </w:tr>
      <w:tr w14:paraId="4E71E20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2899D154">
            <w:pPr>
              <w:pStyle w:val="179"/>
              <w:widowControl w:val="0"/>
              <w:autoSpaceDE w:val="0"/>
              <w:autoSpaceDN w:val="0"/>
              <w:rPr>
                <w:lang w:eastAsia="en-US"/>
              </w:rPr>
            </w:pPr>
            <w:r>
              <w:rPr>
                <w:lang w:eastAsia="en-US"/>
              </w:rPr>
              <w:t>8</w:t>
            </w:r>
            <w:r>
              <w:rPr>
                <w:rFonts w:hint="eastAsia"/>
                <w:lang w:eastAsia="en-US"/>
              </w:rPr>
              <w:t>0</w:t>
            </w:r>
          </w:p>
        </w:tc>
        <w:tc>
          <w:tcPr>
            <w:tcW w:w="1840" w:type="dxa"/>
            <w:noWrap/>
            <w:vAlign w:val="center"/>
          </w:tcPr>
          <w:p w14:paraId="43223871">
            <w:pPr>
              <w:pStyle w:val="179"/>
              <w:widowControl w:val="0"/>
              <w:autoSpaceDE w:val="0"/>
              <w:autoSpaceDN w:val="0"/>
              <w:rPr>
                <w:lang w:eastAsia="en-US"/>
              </w:rPr>
            </w:pPr>
            <w:r>
              <w:rPr>
                <w:rFonts w:hint="eastAsia"/>
                <w:lang w:eastAsia="en-US"/>
              </w:rPr>
              <w:t>狭叶甜茅</w:t>
            </w:r>
          </w:p>
        </w:tc>
        <w:tc>
          <w:tcPr>
            <w:tcW w:w="4755" w:type="dxa"/>
            <w:noWrap/>
            <w:vAlign w:val="center"/>
          </w:tcPr>
          <w:p w14:paraId="4C8F3D9A">
            <w:pPr>
              <w:pStyle w:val="179"/>
              <w:widowControl w:val="0"/>
              <w:autoSpaceDE w:val="0"/>
              <w:autoSpaceDN w:val="0"/>
              <w:rPr>
                <w:i/>
                <w:iCs/>
                <w:lang w:eastAsia="en-US"/>
              </w:rPr>
            </w:pPr>
            <w:r>
              <w:rPr>
                <w:i/>
                <w:iCs/>
                <w:lang w:eastAsia="en-US"/>
              </w:rPr>
              <w:t>Glyceria spiculosa</w:t>
            </w:r>
          </w:p>
        </w:tc>
        <w:tc>
          <w:tcPr>
            <w:tcW w:w="1153" w:type="dxa"/>
            <w:noWrap/>
            <w:vAlign w:val="center"/>
          </w:tcPr>
          <w:p w14:paraId="7F8A6AEC">
            <w:pPr>
              <w:pStyle w:val="179"/>
              <w:widowControl w:val="0"/>
              <w:autoSpaceDE w:val="0"/>
              <w:autoSpaceDN w:val="0"/>
              <w:rPr>
                <w:lang w:eastAsia="en-US"/>
              </w:rPr>
            </w:pPr>
          </w:p>
        </w:tc>
      </w:tr>
      <w:tr w14:paraId="40FDD1E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476AF3A1">
            <w:pPr>
              <w:pStyle w:val="179"/>
              <w:widowControl w:val="0"/>
              <w:autoSpaceDE w:val="0"/>
              <w:autoSpaceDN w:val="0"/>
              <w:rPr>
                <w:lang w:eastAsia="en-US"/>
              </w:rPr>
            </w:pPr>
            <w:r>
              <w:rPr>
                <w:lang w:eastAsia="en-US"/>
              </w:rPr>
              <w:t>8</w:t>
            </w:r>
            <w:r>
              <w:rPr>
                <w:rFonts w:hint="eastAsia"/>
                <w:lang w:eastAsia="en-US"/>
              </w:rPr>
              <w:t>1</w:t>
            </w:r>
          </w:p>
        </w:tc>
        <w:tc>
          <w:tcPr>
            <w:tcW w:w="1840" w:type="dxa"/>
            <w:noWrap/>
            <w:vAlign w:val="center"/>
          </w:tcPr>
          <w:p w14:paraId="78132513">
            <w:pPr>
              <w:pStyle w:val="179"/>
              <w:widowControl w:val="0"/>
              <w:autoSpaceDE w:val="0"/>
              <w:autoSpaceDN w:val="0"/>
              <w:rPr>
                <w:lang w:eastAsia="en-US"/>
              </w:rPr>
            </w:pPr>
            <w:r>
              <w:rPr>
                <w:lang w:eastAsia="en-US"/>
              </w:rPr>
              <w:t>双穗雀稗</w:t>
            </w:r>
          </w:p>
        </w:tc>
        <w:tc>
          <w:tcPr>
            <w:tcW w:w="4755" w:type="dxa"/>
            <w:noWrap/>
            <w:vAlign w:val="center"/>
          </w:tcPr>
          <w:p w14:paraId="7D83F352">
            <w:pPr>
              <w:pStyle w:val="179"/>
              <w:widowControl w:val="0"/>
              <w:autoSpaceDE w:val="0"/>
              <w:autoSpaceDN w:val="0"/>
              <w:rPr>
                <w:i/>
                <w:iCs/>
                <w:lang w:eastAsia="en-US"/>
              </w:rPr>
            </w:pPr>
            <w:r>
              <w:rPr>
                <w:i/>
                <w:iCs/>
                <w:lang w:eastAsia="en-US"/>
              </w:rPr>
              <w:t>PaspalumdistichumLinnaeus</w:t>
            </w:r>
          </w:p>
        </w:tc>
        <w:tc>
          <w:tcPr>
            <w:tcW w:w="1153" w:type="dxa"/>
            <w:noWrap/>
            <w:vAlign w:val="center"/>
          </w:tcPr>
          <w:p w14:paraId="429C8EB5">
            <w:pPr>
              <w:pStyle w:val="179"/>
              <w:widowControl w:val="0"/>
              <w:autoSpaceDE w:val="0"/>
              <w:autoSpaceDN w:val="0"/>
              <w:rPr>
                <w:lang w:eastAsia="en-US"/>
              </w:rPr>
            </w:pPr>
          </w:p>
        </w:tc>
      </w:tr>
      <w:tr w14:paraId="3FDF208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7F53827C">
            <w:pPr>
              <w:pStyle w:val="179"/>
              <w:widowControl w:val="0"/>
              <w:autoSpaceDE w:val="0"/>
              <w:autoSpaceDN w:val="0"/>
              <w:rPr>
                <w:lang w:eastAsia="en-US"/>
              </w:rPr>
            </w:pPr>
            <w:r>
              <w:rPr>
                <w:lang w:eastAsia="en-US"/>
              </w:rPr>
              <w:t>8</w:t>
            </w:r>
            <w:r>
              <w:rPr>
                <w:rFonts w:hint="eastAsia"/>
                <w:lang w:eastAsia="en-US"/>
              </w:rPr>
              <w:t>2</w:t>
            </w:r>
          </w:p>
        </w:tc>
        <w:tc>
          <w:tcPr>
            <w:tcW w:w="1840" w:type="dxa"/>
            <w:noWrap/>
            <w:vAlign w:val="center"/>
          </w:tcPr>
          <w:p w14:paraId="525803BE">
            <w:pPr>
              <w:pStyle w:val="179"/>
              <w:widowControl w:val="0"/>
              <w:autoSpaceDE w:val="0"/>
              <w:autoSpaceDN w:val="0"/>
              <w:rPr>
                <w:lang w:eastAsia="en-US"/>
              </w:rPr>
            </w:pPr>
            <w:r>
              <w:rPr>
                <w:lang w:eastAsia="en-US"/>
              </w:rPr>
              <w:t>白茅</w:t>
            </w:r>
          </w:p>
        </w:tc>
        <w:tc>
          <w:tcPr>
            <w:tcW w:w="4755" w:type="dxa"/>
            <w:noWrap/>
            <w:vAlign w:val="center"/>
          </w:tcPr>
          <w:p w14:paraId="2C75A631">
            <w:pPr>
              <w:pStyle w:val="179"/>
              <w:widowControl w:val="0"/>
              <w:autoSpaceDE w:val="0"/>
              <w:autoSpaceDN w:val="0"/>
              <w:rPr>
                <w:i/>
                <w:iCs/>
                <w:lang w:eastAsia="en-US"/>
              </w:rPr>
            </w:pPr>
            <w:r>
              <w:rPr>
                <w:i/>
                <w:iCs/>
                <w:lang w:eastAsia="en-US"/>
              </w:rPr>
              <w:t>Imperata cylindrica</w:t>
            </w:r>
            <w:r>
              <w:rPr>
                <w:rFonts w:hint="eastAsia"/>
                <w:i/>
                <w:iCs/>
                <w:lang w:eastAsia="en-US"/>
              </w:rPr>
              <w:t>（</w:t>
            </w:r>
            <w:r>
              <w:rPr>
                <w:i/>
                <w:iCs/>
                <w:lang w:eastAsia="en-US"/>
              </w:rPr>
              <w:t>L.</w:t>
            </w:r>
            <w:r>
              <w:rPr>
                <w:rFonts w:hint="eastAsia"/>
                <w:i/>
                <w:iCs/>
                <w:lang w:eastAsia="en-US"/>
              </w:rPr>
              <w:t>）</w:t>
            </w:r>
            <w:r>
              <w:rPr>
                <w:i/>
                <w:iCs/>
                <w:lang w:eastAsia="en-US"/>
              </w:rPr>
              <w:t xml:space="preserve"> P. Beauv.</w:t>
            </w:r>
          </w:p>
        </w:tc>
        <w:tc>
          <w:tcPr>
            <w:tcW w:w="1153" w:type="dxa"/>
            <w:noWrap/>
            <w:vAlign w:val="center"/>
          </w:tcPr>
          <w:p w14:paraId="739EDAC8">
            <w:pPr>
              <w:pStyle w:val="179"/>
              <w:widowControl w:val="0"/>
              <w:autoSpaceDE w:val="0"/>
              <w:autoSpaceDN w:val="0"/>
              <w:rPr>
                <w:lang w:eastAsia="en-US"/>
              </w:rPr>
            </w:pPr>
          </w:p>
        </w:tc>
      </w:tr>
      <w:tr w14:paraId="172C67A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5123447A">
            <w:pPr>
              <w:pStyle w:val="179"/>
              <w:widowControl w:val="0"/>
              <w:autoSpaceDE w:val="0"/>
              <w:autoSpaceDN w:val="0"/>
              <w:rPr>
                <w:lang w:eastAsia="en-US"/>
              </w:rPr>
            </w:pPr>
            <w:r>
              <w:rPr>
                <w:lang w:eastAsia="en-US"/>
              </w:rPr>
              <w:t>8</w:t>
            </w:r>
            <w:r>
              <w:rPr>
                <w:rFonts w:hint="eastAsia"/>
                <w:lang w:eastAsia="en-US"/>
              </w:rPr>
              <w:t>3</w:t>
            </w:r>
          </w:p>
        </w:tc>
        <w:tc>
          <w:tcPr>
            <w:tcW w:w="1840" w:type="dxa"/>
            <w:noWrap/>
            <w:vAlign w:val="center"/>
          </w:tcPr>
          <w:p w14:paraId="07E240B9">
            <w:pPr>
              <w:pStyle w:val="179"/>
              <w:widowControl w:val="0"/>
              <w:autoSpaceDE w:val="0"/>
              <w:autoSpaceDN w:val="0"/>
              <w:rPr>
                <w:lang w:eastAsia="en-US"/>
              </w:rPr>
            </w:pPr>
            <w:r>
              <w:rPr>
                <w:lang w:eastAsia="en-US"/>
              </w:rPr>
              <w:t>狗尾草</w:t>
            </w:r>
          </w:p>
        </w:tc>
        <w:tc>
          <w:tcPr>
            <w:tcW w:w="4755" w:type="dxa"/>
            <w:noWrap/>
            <w:vAlign w:val="center"/>
          </w:tcPr>
          <w:p w14:paraId="23FA4E62">
            <w:pPr>
              <w:pStyle w:val="179"/>
              <w:widowControl w:val="0"/>
              <w:autoSpaceDE w:val="0"/>
              <w:autoSpaceDN w:val="0"/>
              <w:rPr>
                <w:i/>
                <w:iCs/>
                <w:lang w:eastAsia="en-US"/>
              </w:rPr>
            </w:pPr>
            <w:r>
              <w:rPr>
                <w:i/>
                <w:iCs/>
                <w:lang w:eastAsia="en-US"/>
              </w:rPr>
              <w:t xml:space="preserve">Setaria viridis </w:t>
            </w:r>
            <w:r>
              <w:rPr>
                <w:rFonts w:hint="eastAsia"/>
                <w:i/>
                <w:iCs/>
                <w:lang w:eastAsia="en-US"/>
              </w:rPr>
              <w:t>（</w:t>
            </w:r>
            <w:r>
              <w:rPr>
                <w:i/>
                <w:iCs/>
                <w:lang w:eastAsia="en-US"/>
              </w:rPr>
              <w:t>（L.</w:t>
            </w:r>
            <w:r>
              <w:rPr>
                <w:rFonts w:hint="eastAsia"/>
                <w:i/>
                <w:iCs/>
                <w:lang w:eastAsia="en-US"/>
              </w:rPr>
              <w:t>）</w:t>
            </w:r>
            <w:r>
              <w:rPr>
                <w:i/>
                <w:iCs/>
                <w:lang w:eastAsia="en-US"/>
              </w:rPr>
              <w:t>） P. Beauv.</w:t>
            </w:r>
          </w:p>
        </w:tc>
        <w:tc>
          <w:tcPr>
            <w:tcW w:w="1153" w:type="dxa"/>
            <w:noWrap/>
            <w:vAlign w:val="center"/>
          </w:tcPr>
          <w:p w14:paraId="43BAA76E">
            <w:pPr>
              <w:pStyle w:val="179"/>
              <w:widowControl w:val="0"/>
              <w:autoSpaceDE w:val="0"/>
              <w:autoSpaceDN w:val="0"/>
              <w:rPr>
                <w:lang w:eastAsia="en-US"/>
              </w:rPr>
            </w:pPr>
          </w:p>
        </w:tc>
      </w:tr>
      <w:tr w14:paraId="714D340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5B2BB734">
            <w:pPr>
              <w:pStyle w:val="179"/>
              <w:widowControl w:val="0"/>
              <w:autoSpaceDE w:val="0"/>
              <w:autoSpaceDN w:val="0"/>
              <w:rPr>
                <w:lang w:eastAsia="en-US"/>
              </w:rPr>
            </w:pPr>
            <w:r>
              <w:rPr>
                <w:lang w:eastAsia="en-US"/>
              </w:rPr>
              <w:t>8</w:t>
            </w:r>
            <w:r>
              <w:rPr>
                <w:rFonts w:hint="eastAsia"/>
                <w:lang w:eastAsia="en-US"/>
              </w:rPr>
              <w:t>4</w:t>
            </w:r>
          </w:p>
        </w:tc>
        <w:tc>
          <w:tcPr>
            <w:tcW w:w="1840" w:type="dxa"/>
            <w:noWrap/>
            <w:vAlign w:val="center"/>
          </w:tcPr>
          <w:p w14:paraId="7A7B1410">
            <w:pPr>
              <w:pStyle w:val="179"/>
              <w:widowControl w:val="0"/>
              <w:autoSpaceDE w:val="0"/>
              <w:autoSpaceDN w:val="0"/>
              <w:rPr>
                <w:lang w:eastAsia="en-US"/>
              </w:rPr>
            </w:pPr>
            <w:r>
              <w:rPr>
                <w:lang w:eastAsia="en-US"/>
              </w:rPr>
              <w:t>野黍</w:t>
            </w:r>
          </w:p>
        </w:tc>
        <w:tc>
          <w:tcPr>
            <w:tcW w:w="4755" w:type="dxa"/>
            <w:noWrap/>
            <w:vAlign w:val="center"/>
          </w:tcPr>
          <w:p w14:paraId="1EFDA699">
            <w:pPr>
              <w:pStyle w:val="179"/>
              <w:widowControl w:val="0"/>
              <w:autoSpaceDE w:val="0"/>
              <w:autoSpaceDN w:val="0"/>
              <w:rPr>
                <w:i/>
                <w:iCs/>
                <w:lang w:eastAsia="en-US"/>
              </w:rPr>
            </w:pPr>
            <w:r>
              <w:rPr>
                <w:i/>
                <w:iCs/>
                <w:lang w:eastAsia="en-US"/>
              </w:rPr>
              <w:t>Eriochloa villosa</w:t>
            </w:r>
            <w:r>
              <w:rPr>
                <w:rFonts w:hint="eastAsia"/>
                <w:i/>
                <w:iCs/>
                <w:lang w:eastAsia="en-US"/>
              </w:rPr>
              <w:t>（</w:t>
            </w:r>
            <w:r>
              <w:rPr>
                <w:i/>
                <w:iCs/>
                <w:lang w:eastAsia="en-US"/>
              </w:rPr>
              <w:t>Thunb.</w:t>
            </w:r>
            <w:r>
              <w:rPr>
                <w:rFonts w:hint="eastAsia"/>
                <w:i/>
                <w:iCs/>
                <w:lang w:eastAsia="en-US"/>
              </w:rPr>
              <w:t>）</w:t>
            </w:r>
            <w:r>
              <w:rPr>
                <w:i/>
                <w:iCs/>
                <w:lang w:eastAsia="en-US"/>
              </w:rPr>
              <w:t xml:space="preserve"> Kunth</w:t>
            </w:r>
          </w:p>
        </w:tc>
        <w:tc>
          <w:tcPr>
            <w:tcW w:w="1153" w:type="dxa"/>
            <w:noWrap/>
            <w:vAlign w:val="center"/>
          </w:tcPr>
          <w:p w14:paraId="52248141">
            <w:pPr>
              <w:pStyle w:val="179"/>
              <w:widowControl w:val="0"/>
              <w:autoSpaceDE w:val="0"/>
              <w:autoSpaceDN w:val="0"/>
              <w:rPr>
                <w:lang w:eastAsia="en-US"/>
              </w:rPr>
            </w:pPr>
          </w:p>
        </w:tc>
      </w:tr>
      <w:tr w14:paraId="1A0EA2E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20042989">
            <w:pPr>
              <w:pStyle w:val="179"/>
              <w:widowControl w:val="0"/>
              <w:autoSpaceDE w:val="0"/>
              <w:autoSpaceDN w:val="0"/>
              <w:rPr>
                <w:lang w:eastAsia="en-US"/>
              </w:rPr>
            </w:pPr>
            <w:r>
              <w:rPr>
                <w:rFonts w:hint="eastAsia"/>
                <w:lang w:eastAsia="en-US"/>
              </w:rPr>
              <w:t>85</w:t>
            </w:r>
          </w:p>
        </w:tc>
        <w:tc>
          <w:tcPr>
            <w:tcW w:w="1840" w:type="dxa"/>
            <w:noWrap/>
            <w:vAlign w:val="center"/>
          </w:tcPr>
          <w:p w14:paraId="6FD14160">
            <w:pPr>
              <w:pStyle w:val="179"/>
              <w:widowControl w:val="0"/>
              <w:autoSpaceDE w:val="0"/>
              <w:autoSpaceDN w:val="0"/>
              <w:rPr>
                <w:lang w:eastAsia="en-US"/>
              </w:rPr>
            </w:pPr>
            <w:r>
              <w:rPr>
                <w:lang w:eastAsia="en-US"/>
              </w:rPr>
              <w:t>水稗草</w:t>
            </w:r>
          </w:p>
        </w:tc>
        <w:tc>
          <w:tcPr>
            <w:tcW w:w="4755" w:type="dxa"/>
            <w:noWrap/>
            <w:vAlign w:val="center"/>
          </w:tcPr>
          <w:p w14:paraId="2B71D9B0">
            <w:pPr>
              <w:pStyle w:val="179"/>
              <w:widowControl w:val="0"/>
              <w:autoSpaceDE w:val="0"/>
              <w:autoSpaceDN w:val="0"/>
              <w:rPr>
                <w:i/>
                <w:iCs/>
                <w:lang w:eastAsia="en-US"/>
              </w:rPr>
            </w:pPr>
            <w:r>
              <w:rPr>
                <w:i/>
                <w:iCs/>
                <w:lang w:eastAsia="en-US"/>
              </w:rPr>
              <w:t xml:space="preserve">Echinochloa crus-galli </w:t>
            </w:r>
            <w:r>
              <w:rPr>
                <w:rFonts w:hint="eastAsia"/>
                <w:i/>
                <w:iCs/>
                <w:lang w:eastAsia="en-US"/>
              </w:rPr>
              <w:t>（</w:t>
            </w:r>
            <w:r>
              <w:rPr>
                <w:i/>
                <w:iCs/>
                <w:lang w:eastAsia="en-US"/>
              </w:rPr>
              <w:t>（L.</w:t>
            </w:r>
            <w:r>
              <w:rPr>
                <w:rFonts w:hint="eastAsia"/>
                <w:i/>
                <w:iCs/>
                <w:lang w:eastAsia="en-US"/>
              </w:rPr>
              <w:t>）</w:t>
            </w:r>
            <w:r>
              <w:rPr>
                <w:i/>
                <w:iCs/>
                <w:lang w:eastAsia="en-US"/>
              </w:rPr>
              <w:t>） P. Beauv.</w:t>
            </w:r>
          </w:p>
        </w:tc>
        <w:tc>
          <w:tcPr>
            <w:tcW w:w="1153" w:type="dxa"/>
            <w:noWrap/>
            <w:vAlign w:val="center"/>
          </w:tcPr>
          <w:p w14:paraId="386F3C9A">
            <w:pPr>
              <w:pStyle w:val="179"/>
              <w:widowControl w:val="0"/>
              <w:autoSpaceDE w:val="0"/>
              <w:autoSpaceDN w:val="0"/>
              <w:rPr>
                <w:lang w:eastAsia="en-US"/>
              </w:rPr>
            </w:pPr>
          </w:p>
        </w:tc>
      </w:tr>
      <w:tr w14:paraId="09D0C02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3E7952D2">
            <w:pPr>
              <w:pStyle w:val="179"/>
              <w:widowControl w:val="0"/>
              <w:autoSpaceDE w:val="0"/>
              <w:autoSpaceDN w:val="0"/>
              <w:rPr>
                <w:b/>
                <w:lang w:eastAsia="en-US"/>
              </w:rPr>
            </w:pPr>
            <w:r>
              <w:rPr>
                <w:rFonts w:hint="eastAsia"/>
                <w:b/>
                <w:lang w:eastAsia="en-US"/>
              </w:rPr>
              <w:t>三十六</w:t>
            </w:r>
          </w:p>
        </w:tc>
        <w:tc>
          <w:tcPr>
            <w:tcW w:w="1840" w:type="dxa"/>
            <w:noWrap/>
            <w:vAlign w:val="center"/>
          </w:tcPr>
          <w:p w14:paraId="54DF42E5">
            <w:pPr>
              <w:pStyle w:val="179"/>
              <w:widowControl w:val="0"/>
              <w:autoSpaceDE w:val="0"/>
              <w:autoSpaceDN w:val="0"/>
              <w:rPr>
                <w:b/>
                <w:lang w:eastAsia="en-US"/>
              </w:rPr>
            </w:pPr>
            <w:r>
              <w:rPr>
                <w:b/>
                <w:lang w:eastAsia="en-US"/>
              </w:rPr>
              <w:t>莎草科</w:t>
            </w:r>
          </w:p>
        </w:tc>
        <w:tc>
          <w:tcPr>
            <w:tcW w:w="4755" w:type="dxa"/>
            <w:noWrap/>
            <w:vAlign w:val="center"/>
          </w:tcPr>
          <w:p w14:paraId="265032F6">
            <w:pPr>
              <w:pStyle w:val="179"/>
              <w:widowControl w:val="0"/>
              <w:autoSpaceDE w:val="0"/>
              <w:autoSpaceDN w:val="0"/>
              <w:rPr>
                <w:b/>
                <w:lang w:eastAsia="en-US"/>
              </w:rPr>
            </w:pPr>
            <w:r>
              <w:rPr>
                <w:b/>
                <w:lang w:eastAsia="en-US"/>
              </w:rPr>
              <w:t>Cyperaceae Juss.</w:t>
            </w:r>
          </w:p>
        </w:tc>
        <w:tc>
          <w:tcPr>
            <w:tcW w:w="1153" w:type="dxa"/>
            <w:noWrap/>
            <w:vAlign w:val="center"/>
          </w:tcPr>
          <w:p w14:paraId="741C379C">
            <w:pPr>
              <w:pStyle w:val="179"/>
              <w:widowControl w:val="0"/>
              <w:autoSpaceDE w:val="0"/>
              <w:autoSpaceDN w:val="0"/>
              <w:rPr>
                <w:b/>
                <w:lang w:eastAsia="en-US"/>
              </w:rPr>
            </w:pPr>
          </w:p>
        </w:tc>
      </w:tr>
      <w:tr w14:paraId="3C56E88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24" w:type="dxa"/>
            <w:noWrap/>
            <w:vAlign w:val="center"/>
          </w:tcPr>
          <w:p w14:paraId="109CF4DF">
            <w:pPr>
              <w:pStyle w:val="179"/>
              <w:widowControl w:val="0"/>
              <w:autoSpaceDE w:val="0"/>
              <w:autoSpaceDN w:val="0"/>
              <w:rPr>
                <w:lang w:eastAsia="en-US"/>
              </w:rPr>
            </w:pPr>
            <w:r>
              <w:rPr>
                <w:rFonts w:hint="eastAsia"/>
                <w:lang w:eastAsia="en-US"/>
              </w:rPr>
              <w:t>86</w:t>
            </w:r>
          </w:p>
        </w:tc>
        <w:tc>
          <w:tcPr>
            <w:tcW w:w="1840" w:type="dxa"/>
            <w:noWrap/>
            <w:vAlign w:val="center"/>
          </w:tcPr>
          <w:p w14:paraId="2A10F0EB">
            <w:pPr>
              <w:pStyle w:val="179"/>
              <w:widowControl w:val="0"/>
              <w:autoSpaceDE w:val="0"/>
              <w:autoSpaceDN w:val="0"/>
              <w:rPr>
                <w:lang w:eastAsia="en-US"/>
              </w:rPr>
            </w:pPr>
            <w:r>
              <w:rPr>
                <w:lang w:eastAsia="en-US"/>
              </w:rPr>
              <w:t>狭穗薹草</w:t>
            </w:r>
          </w:p>
        </w:tc>
        <w:tc>
          <w:tcPr>
            <w:tcW w:w="4755" w:type="dxa"/>
            <w:noWrap/>
            <w:vAlign w:val="center"/>
          </w:tcPr>
          <w:p w14:paraId="6DE8AA14">
            <w:pPr>
              <w:pStyle w:val="179"/>
              <w:widowControl w:val="0"/>
              <w:autoSpaceDE w:val="0"/>
              <w:autoSpaceDN w:val="0"/>
              <w:rPr>
                <w:lang w:eastAsia="en-US"/>
              </w:rPr>
            </w:pPr>
            <w:r>
              <w:rPr>
                <w:i/>
                <w:iCs/>
                <w:lang w:eastAsia="en-US"/>
              </w:rPr>
              <w:t>Carex ischnostachya Steud.</w:t>
            </w:r>
          </w:p>
        </w:tc>
        <w:tc>
          <w:tcPr>
            <w:tcW w:w="1153" w:type="dxa"/>
            <w:noWrap/>
            <w:vAlign w:val="center"/>
          </w:tcPr>
          <w:p w14:paraId="491F8BCD">
            <w:pPr>
              <w:pStyle w:val="179"/>
              <w:widowControl w:val="0"/>
              <w:autoSpaceDE w:val="0"/>
              <w:autoSpaceDN w:val="0"/>
              <w:rPr>
                <w:lang w:eastAsia="en-US"/>
              </w:rPr>
            </w:pPr>
          </w:p>
        </w:tc>
      </w:tr>
    </w:tbl>
    <w:p w14:paraId="6BC0BEA5">
      <w:pPr>
        <w:pStyle w:val="4"/>
        <w:spacing w:before="180" w:after="120"/>
        <w:rPr>
          <w:rFonts w:hAnsi="Times New Roman" w:cs="Times New Roman"/>
        </w:rPr>
      </w:pPr>
      <w:r>
        <w:rPr>
          <w:rFonts w:hAnsi="Times New Roman" w:cs="Times New Roman"/>
          <w:bCs/>
        </w:rPr>
        <w:t>动物资源现状调查及评价</w:t>
      </w:r>
    </w:p>
    <w:p w14:paraId="7B109962">
      <w:pPr>
        <w:pStyle w:val="5"/>
        <w:spacing w:before="120" w:after="120"/>
      </w:pPr>
      <w:r>
        <w:rPr>
          <w:rFonts w:hint="eastAsia"/>
        </w:rPr>
        <w:t>动物地理分区</w:t>
      </w:r>
    </w:p>
    <w:p w14:paraId="71C5BFE6">
      <w:pPr>
        <w:ind w:firstLine="480"/>
      </w:pPr>
      <w:r>
        <w:rPr>
          <w:rFonts w:hint="eastAsia"/>
          <w:kern w:val="0"/>
        </w:rPr>
        <w:t>根据《中国动物地理》（张荣组，科学出版社，</w:t>
      </w:r>
      <w:r>
        <w:rPr>
          <w:rFonts w:hAnsi="Times New Roman" w:cs="Times New Roman"/>
          <w:kern w:val="0"/>
        </w:rPr>
        <w:t>2011</w:t>
      </w:r>
      <w:r>
        <w:rPr>
          <w:rFonts w:hint="eastAsia"/>
          <w:kern w:val="0"/>
        </w:rPr>
        <w:t>）的中国动物地理区，评价区动物区划属于古北界</w:t>
      </w:r>
      <w:r>
        <w:rPr>
          <w:rFonts w:hAnsi="Times New Roman" w:cs="Times New Roman"/>
          <w:kern w:val="0"/>
        </w:rPr>
        <w:t>—</w:t>
      </w:r>
      <w:r>
        <w:rPr>
          <w:rFonts w:hint="eastAsia" w:hAnsi="Times New Roman" w:cs="Times New Roman"/>
          <w:kern w:val="0"/>
        </w:rPr>
        <w:t>东北亚界</w:t>
      </w:r>
      <w:r>
        <w:rPr>
          <w:rFonts w:hAnsi="Times New Roman" w:cs="Times New Roman"/>
          <w:kern w:val="0"/>
        </w:rPr>
        <w:t>—</w:t>
      </w:r>
      <w:r>
        <w:rPr>
          <w:rFonts w:hint="eastAsia"/>
          <w:kern w:val="0"/>
        </w:rPr>
        <w:t>东北区</w:t>
      </w:r>
      <w:r>
        <w:rPr>
          <w:rFonts w:hAnsi="Times New Roman" w:cs="Times New Roman"/>
          <w:kern w:val="0"/>
        </w:rPr>
        <w:t>—</w:t>
      </w:r>
      <w:r>
        <w:rPr>
          <w:rFonts w:hint="eastAsia"/>
          <w:kern w:val="0"/>
        </w:rPr>
        <w:t>大兴安岭亚区</w:t>
      </w:r>
      <w:r>
        <w:rPr>
          <w:rFonts w:hAnsi="Times New Roman" w:cs="Times New Roman"/>
          <w:kern w:val="0"/>
        </w:rPr>
        <w:t>—</w:t>
      </w:r>
      <w:r>
        <w:rPr>
          <w:rFonts w:hint="eastAsia"/>
          <w:kern w:val="0"/>
        </w:rPr>
        <w:t>寒温带针叶林动物群，</w:t>
      </w:r>
      <w:r>
        <w:rPr>
          <w:rFonts w:hint="eastAsia"/>
        </w:rPr>
        <w:t>包括大、小兴安岭和长白山的山地森林及山麓一带的森林草原，西部的松花江和辽河平原。</w:t>
      </w:r>
    </w:p>
    <w:p w14:paraId="35F09D37">
      <w:pPr>
        <w:pStyle w:val="5"/>
        <w:spacing w:before="120" w:after="120"/>
      </w:pPr>
      <w:bookmarkStart w:id="331" w:name="_Toc25864"/>
      <w:r>
        <w:t>调查样线分布</w:t>
      </w:r>
      <w:bookmarkEnd w:id="331"/>
    </w:p>
    <w:p w14:paraId="684929DA">
      <w:pPr>
        <w:ind w:firstLine="480"/>
      </w:pPr>
      <w:r>
        <w:t>根据《环境影响评价技术导则 生态影响》（HJ19-2022），</w:t>
      </w:r>
      <w:r>
        <w:rPr>
          <w:rFonts w:hint="eastAsia"/>
        </w:rPr>
        <w:t>样线均布设在一级评价范围内。一级评价范围内野生动物分布的生境类型为林地、农田及草地，样线的设置遵循每种生境类型设置的样线不少于5条的原则，根据每种生境在评价范围内分布的情况设置样线。评价范围内林地生境主要植被类型为杨树林、白桦林和落叶松林，在项目评价区内共设置5条林地样线；农田生境主要植被类型为人工种植的大豆等作物，在项目评价区内共设置5条农田样线；在动物分布的2种生境类型内共设置10条长度不等的样线。沿着样线行走，记录样线两侧见到的鸟类及其他物种并进行统计，以调查物种的信息。动物调查固定样线设置见表4.3-11，动物样线分布图见图4.3-9</w:t>
      </w:r>
      <w:r>
        <w:t>。</w:t>
      </w:r>
    </w:p>
    <w:p w14:paraId="65609EE2">
      <w:pPr>
        <w:pStyle w:val="178"/>
      </w:pPr>
      <w:r>
        <w:rPr>
          <w:rFonts w:hint="eastAsia"/>
        </w:rPr>
        <w:t>表4.3-11  动物样线调查一览表</w:t>
      </w:r>
    </w:p>
    <w:tbl>
      <w:tblPr>
        <w:tblStyle w:val="36"/>
        <w:tblW w:w="4999" w:type="pct"/>
        <w:jc w:val="center"/>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Layout w:type="fixed"/>
        <w:tblCellMar>
          <w:top w:w="0" w:type="dxa"/>
          <w:left w:w="108" w:type="dxa"/>
          <w:bottom w:w="0" w:type="dxa"/>
          <w:right w:w="108" w:type="dxa"/>
        </w:tblCellMar>
      </w:tblPr>
      <w:tblGrid>
        <w:gridCol w:w="1094"/>
        <w:gridCol w:w="1104"/>
        <w:gridCol w:w="3072"/>
        <w:gridCol w:w="2954"/>
        <w:gridCol w:w="1062"/>
      </w:tblGrid>
      <w:tr w14:paraId="18268D48">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tblHeader/>
          <w:jc w:val="center"/>
        </w:trPr>
        <w:tc>
          <w:tcPr>
            <w:tcW w:w="1083" w:type="dxa"/>
            <w:noWrap/>
            <w:vAlign w:val="center"/>
          </w:tcPr>
          <w:p w14:paraId="76D6153B">
            <w:pPr>
              <w:pStyle w:val="179"/>
              <w:rPr>
                <w:rFonts w:cs="Times New Roman"/>
                <w:b/>
              </w:rPr>
            </w:pPr>
            <w:r>
              <w:rPr>
                <w:rFonts w:cs="Times New Roman"/>
                <w:b/>
              </w:rPr>
              <w:t>样线名称</w:t>
            </w:r>
          </w:p>
        </w:tc>
        <w:tc>
          <w:tcPr>
            <w:tcW w:w="1093" w:type="dxa"/>
            <w:noWrap/>
            <w:vAlign w:val="center"/>
          </w:tcPr>
          <w:p w14:paraId="4FF6629A">
            <w:pPr>
              <w:pStyle w:val="179"/>
              <w:rPr>
                <w:rFonts w:cs="Times New Roman"/>
                <w:b/>
              </w:rPr>
            </w:pPr>
            <w:r>
              <w:rPr>
                <w:rFonts w:cs="Times New Roman"/>
                <w:b/>
              </w:rPr>
              <w:t>生境类型</w:t>
            </w:r>
          </w:p>
        </w:tc>
        <w:tc>
          <w:tcPr>
            <w:tcW w:w="3090" w:type="dxa"/>
            <w:noWrap/>
            <w:vAlign w:val="center"/>
          </w:tcPr>
          <w:p w14:paraId="150476DC">
            <w:pPr>
              <w:pStyle w:val="179"/>
              <w:rPr>
                <w:rFonts w:cs="Times New Roman"/>
                <w:b/>
              </w:rPr>
            </w:pPr>
            <w:r>
              <w:rPr>
                <w:rFonts w:cs="Times New Roman"/>
                <w:b/>
              </w:rPr>
              <w:t>起点坐标</w:t>
            </w:r>
          </w:p>
        </w:tc>
        <w:tc>
          <w:tcPr>
            <w:tcW w:w="2970" w:type="dxa"/>
            <w:noWrap/>
            <w:vAlign w:val="center"/>
          </w:tcPr>
          <w:p w14:paraId="377D1231">
            <w:pPr>
              <w:pStyle w:val="179"/>
              <w:rPr>
                <w:rFonts w:cs="Times New Roman"/>
                <w:b/>
              </w:rPr>
            </w:pPr>
            <w:r>
              <w:rPr>
                <w:rFonts w:cs="Times New Roman"/>
                <w:b/>
              </w:rPr>
              <w:t>终点坐标</w:t>
            </w:r>
          </w:p>
        </w:tc>
        <w:tc>
          <w:tcPr>
            <w:tcW w:w="1051" w:type="dxa"/>
            <w:noWrap/>
            <w:vAlign w:val="center"/>
          </w:tcPr>
          <w:p w14:paraId="2BA9F4DE">
            <w:pPr>
              <w:pStyle w:val="179"/>
              <w:rPr>
                <w:rFonts w:cs="Times New Roman"/>
                <w:b/>
              </w:rPr>
            </w:pPr>
            <w:r>
              <w:rPr>
                <w:rFonts w:cs="Times New Roman"/>
                <w:b/>
              </w:rPr>
              <w:t>样线长度（m）</w:t>
            </w:r>
          </w:p>
        </w:tc>
      </w:tr>
      <w:tr w14:paraId="0A7C6BCA">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083" w:type="dxa"/>
            <w:noWrap/>
            <w:vAlign w:val="center"/>
          </w:tcPr>
          <w:p w14:paraId="643F5328">
            <w:pPr>
              <w:pStyle w:val="179"/>
              <w:rPr>
                <w:rFonts w:cs="Times New Roman"/>
              </w:rPr>
            </w:pPr>
            <w:r>
              <w:rPr>
                <w:rFonts w:cs="Times New Roman"/>
              </w:rPr>
              <w:t>样线1</w:t>
            </w:r>
          </w:p>
        </w:tc>
        <w:tc>
          <w:tcPr>
            <w:tcW w:w="1093" w:type="dxa"/>
            <w:vMerge w:val="restart"/>
            <w:noWrap/>
            <w:vAlign w:val="center"/>
          </w:tcPr>
          <w:p w14:paraId="7F58B17F">
            <w:pPr>
              <w:pStyle w:val="179"/>
              <w:rPr>
                <w:rFonts w:cs="Times New Roman"/>
              </w:rPr>
            </w:pPr>
            <w:r>
              <w:rPr>
                <w:rFonts w:cs="Times New Roman"/>
              </w:rPr>
              <w:t>森林</w:t>
            </w:r>
          </w:p>
        </w:tc>
        <w:tc>
          <w:tcPr>
            <w:tcW w:w="3090" w:type="dxa"/>
            <w:noWrap/>
            <w:vAlign w:val="center"/>
          </w:tcPr>
          <w:p w14:paraId="1B78320F">
            <w:pPr>
              <w:pStyle w:val="179"/>
              <w:rPr>
                <w:rFonts w:cs="Times New Roman"/>
              </w:rPr>
            </w:pPr>
            <w:r>
              <w:rPr>
                <w:rFonts w:cs="Times New Roman"/>
              </w:rPr>
              <w:t>126°182209E，49°270627N</w:t>
            </w:r>
          </w:p>
        </w:tc>
        <w:tc>
          <w:tcPr>
            <w:tcW w:w="2970" w:type="dxa"/>
            <w:noWrap/>
            <w:vAlign w:val="center"/>
          </w:tcPr>
          <w:p w14:paraId="21D3664F">
            <w:pPr>
              <w:pStyle w:val="179"/>
              <w:rPr>
                <w:rFonts w:cs="Times New Roman"/>
              </w:rPr>
            </w:pPr>
            <w:r>
              <w:rPr>
                <w:rFonts w:cs="Times New Roman"/>
              </w:rPr>
              <w:t>126°19696E，49°263717N</w:t>
            </w:r>
          </w:p>
        </w:tc>
        <w:tc>
          <w:tcPr>
            <w:tcW w:w="1051" w:type="dxa"/>
            <w:noWrap/>
            <w:vAlign w:val="center"/>
          </w:tcPr>
          <w:p w14:paraId="0B807397">
            <w:pPr>
              <w:pStyle w:val="179"/>
              <w:rPr>
                <w:rFonts w:cs="Times New Roman"/>
              </w:rPr>
            </w:pPr>
            <w:r>
              <w:rPr>
                <w:rFonts w:cs="Times New Roman"/>
              </w:rPr>
              <w:t>304</w:t>
            </w:r>
          </w:p>
        </w:tc>
      </w:tr>
      <w:tr w14:paraId="1039D3CA">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083" w:type="dxa"/>
            <w:noWrap/>
            <w:vAlign w:val="center"/>
          </w:tcPr>
          <w:p w14:paraId="48B354F0">
            <w:pPr>
              <w:pStyle w:val="179"/>
              <w:rPr>
                <w:rFonts w:cs="Times New Roman"/>
              </w:rPr>
            </w:pPr>
            <w:r>
              <w:rPr>
                <w:rFonts w:cs="Times New Roman"/>
              </w:rPr>
              <w:t>样线2</w:t>
            </w:r>
          </w:p>
        </w:tc>
        <w:tc>
          <w:tcPr>
            <w:tcW w:w="1093" w:type="dxa"/>
            <w:vMerge w:val="continue"/>
            <w:noWrap/>
            <w:vAlign w:val="center"/>
          </w:tcPr>
          <w:p w14:paraId="09D5DE58">
            <w:pPr>
              <w:pStyle w:val="179"/>
              <w:rPr>
                <w:rFonts w:cs="Times New Roman"/>
              </w:rPr>
            </w:pPr>
          </w:p>
        </w:tc>
        <w:tc>
          <w:tcPr>
            <w:tcW w:w="3090" w:type="dxa"/>
            <w:noWrap/>
            <w:vAlign w:val="center"/>
          </w:tcPr>
          <w:p w14:paraId="0A6C0D3C">
            <w:pPr>
              <w:pStyle w:val="179"/>
              <w:rPr>
                <w:rFonts w:cs="Times New Roman"/>
              </w:rPr>
            </w:pPr>
            <w:r>
              <w:rPr>
                <w:rFonts w:cs="Times New Roman"/>
              </w:rPr>
              <w:t>126°184609E，49°263277N</w:t>
            </w:r>
          </w:p>
        </w:tc>
        <w:tc>
          <w:tcPr>
            <w:tcW w:w="2970" w:type="dxa"/>
            <w:noWrap/>
            <w:vAlign w:val="center"/>
          </w:tcPr>
          <w:p w14:paraId="58166435">
            <w:pPr>
              <w:pStyle w:val="179"/>
              <w:rPr>
                <w:rFonts w:cs="Times New Roman"/>
              </w:rPr>
            </w:pPr>
            <w:r>
              <w:rPr>
                <w:rFonts w:cs="Times New Roman"/>
              </w:rPr>
              <w:t>126°185773E，49°263500N</w:t>
            </w:r>
          </w:p>
        </w:tc>
        <w:tc>
          <w:tcPr>
            <w:tcW w:w="1051" w:type="dxa"/>
            <w:noWrap/>
            <w:vAlign w:val="center"/>
          </w:tcPr>
          <w:p w14:paraId="5735CCF6">
            <w:pPr>
              <w:pStyle w:val="179"/>
              <w:rPr>
                <w:rFonts w:cs="Times New Roman"/>
              </w:rPr>
            </w:pPr>
            <w:r>
              <w:rPr>
                <w:rFonts w:cs="Times New Roman"/>
              </w:rPr>
              <w:t>341</w:t>
            </w:r>
          </w:p>
        </w:tc>
      </w:tr>
      <w:tr w14:paraId="376FCD15">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083" w:type="dxa"/>
            <w:noWrap/>
            <w:vAlign w:val="center"/>
          </w:tcPr>
          <w:p w14:paraId="0F2BE5CD">
            <w:pPr>
              <w:pStyle w:val="179"/>
              <w:rPr>
                <w:rFonts w:cs="Times New Roman"/>
              </w:rPr>
            </w:pPr>
            <w:r>
              <w:rPr>
                <w:rFonts w:cs="Times New Roman"/>
              </w:rPr>
              <w:t>样线3</w:t>
            </w:r>
          </w:p>
        </w:tc>
        <w:tc>
          <w:tcPr>
            <w:tcW w:w="1093" w:type="dxa"/>
            <w:vMerge w:val="continue"/>
            <w:noWrap/>
            <w:vAlign w:val="center"/>
          </w:tcPr>
          <w:p w14:paraId="09B3F339">
            <w:pPr>
              <w:pStyle w:val="179"/>
              <w:rPr>
                <w:rFonts w:cs="Times New Roman"/>
              </w:rPr>
            </w:pPr>
          </w:p>
        </w:tc>
        <w:tc>
          <w:tcPr>
            <w:tcW w:w="3090" w:type="dxa"/>
            <w:noWrap/>
            <w:vAlign w:val="center"/>
          </w:tcPr>
          <w:p w14:paraId="0C793221">
            <w:pPr>
              <w:pStyle w:val="179"/>
              <w:rPr>
                <w:rFonts w:cs="Times New Roman"/>
              </w:rPr>
            </w:pPr>
            <w:r>
              <w:rPr>
                <w:rFonts w:cs="Times New Roman"/>
              </w:rPr>
              <w:t>126°180072E,49°263277N</w:t>
            </w:r>
          </w:p>
        </w:tc>
        <w:tc>
          <w:tcPr>
            <w:tcW w:w="2970" w:type="dxa"/>
            <w:noWrap/>
            <w:vAlign w:val="center"/>
          </w:tcPr>
          <w:p w14:paraId="117FF3F2">
            <w:pPr>
              <w:pStyle w:val="179"/>
              <w:rPr>
                <w:rFonts w:cs="Times New Roman"/>
              </w:rPr>
            </w:pPr>
            <w:r>
              <w:rPr>
                <w:rFonts w:cs="Times New Roman"/>
              </w:rPr>
              <w:t>126°181350E,49°263278N</w:t>
            </w:r>
          </w:p>
        </w:tc>
        <w:tc>
          <w:tcPr>
            <w:tcW w:w="1051" w:type="dxa"/>
            <w:noWrap/>
            <w:vAlign w:val="center"/>
          </w:tcPr>
          <w:p w14:paraId="6F0FEFFE">
            <w:pPr>
              <w:pStyle w:val="179"/>
              <w:rPr>
                <w:rFonts w:cs="Times New Roman"/>
              </w:rPr>
            </w:pPr>
            <w:r>
              <w:rPr>
                <w:rFonts w:cs="Times New Roman"/>
              </w:rPr>
              <w:t>301</w:t>
            </w:r>
          </w:p>
        </w:tc>
      </w:tr>
      <w:tr w14:paraId="4B9089E6">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083" w:type="dxa"/>
            <w:noWrap/>
            <w:vAlign w:val="center"/>
          </w:tcPr>
          <w:p w14:paraId="68F527DA">
            <w:pPr>
              <w:pStyle w:val="179"/>
              <w:rPr>
                <w:rFonts w:cs="Times New Roman"/>
              </w:rPr>
            </w:pPr>
            <w:r>
              <w:rPr>
                <w:rFonts w:cs="Times New Roman"/>
              </w:rPr>
              <w:t>样线4</w:t>
            </w:r>
          </w:p>
        </w:tc>
        <w:tc>
          <w:tcPr>
            <w:tcW w:w="1093" w:type="dxa"/>
            <w:vMerge w:val="continue"/>
            <w:noWrap/>
            <w:vAlign w:val="center"/>
          </w:tcPr>
          <w:p w14:paraId="2EF6DFB0">
            <w:pPr>
              <w:pStyle w:val="179"/>
              <w:rPr>
                <w:rFonts w:cs="Times New Roman"/>
              </w:rPr>
            </w:pPr>
          </w:p>
        </w:tc>
        <w:tc>
          <w:tcPr>
            <w:tcW w:w="3090" w:type="dxa"/>
            <w:noWrap/>
            <w:vAlign w:val="center"/>
          </w:tcPr>
          <w:p w14:paraId="0B31A3C7">
            <w:pPr>
              <w:pStyle w:val="179"/>
              <w:rPr>
                <w:rFonts w:cs="Times New Roman"/>
              </w:rPr>
            </w:pPr>
            <w:r>
              <w:rPr>
                <w:rFonts w:cs="Times New Roman"/>
              </w:rPr>
              <w:t>126°184104E,49°272067N</w:t>
            </w:r>
          </w:p>
        </w:tc>
        <w:tc>
          <w:tcPr>
            <w:tcW w:w="2970" w:type="dxa"/>
            <w:noWrap/>
            <w:vAlign w:val="center"/>
          </w:tcPr>
          <w:p w14:paraId="01C6DBCB">
            <w:pPr>
              <w:pStyle w:val="179"/>
              <w:rPr>
                <w:rFonts w:cs="Times New Roman"/>
              </w:rPr>
            </w:pPr>
            <w:r>
              <w:rPr>
                <w:rFonts w:cs="Times New Roman"/>
              </w:rPr>
              <w:t>126°185382E,49°265187N</w:t>
            </w:r>
          </w:p>
        </w:tc>
        <w:tc>
          <w:tcPr>
            <w:tcW w:w="1051" w:type="dxa"/>
            <w:noWrap/>
            <w:vAlign w:val="center"/>
          </w:tcPr>
          <w:p w14:paraId="4F3F9ED0">
            <w:pPr>
              <w:pStyle w:val="179"/>
              <w:rPr>
                <w:rFonts w:cs="Times New Roman"/>
              </w:rPr>
            </w:pPr>
            <w:r>
              <w:rPr>
                <w:rFonts w:cs="Times New Roman"/>
              </w:rPr>
              <w:t>533</w:t>
            </w:r>
          </w:p>
        </w:tc>
      </w:tr>
      <w:tr w14:paraId="59B963FC">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083" w:type="dxa"/>
            <w:noWrap/>
            <w:vAlign w:val="center"/>
          </w:tcPr>
          <w:p w14:paraId="5444C19F">
            <w:pPr>
              <w:pStyle w:val="179"/>
              <w:rPr>
                <w:rFonts w:cs="Times New Roman"/>
              </w:rPr>
            </w:pPr>
            <w:r>
              <w:rPr>
                <w:rFonts w:cs="Times New Roman"/>
              </w:rPr>
              <w:t>样线5</w:t>
            </w:r>
          </w:p>
        </w:tc>
        <w:tc>
          <w:tcPr>
            <w:tcW w:w="1093" w:type="dxa"/>
            <w:vMerge w:val="continue"/>
            <w:noWrap/>
            <w:vAlign w:val="center"/>
          </w:tcPr>
          <w:p w14:paraId="2B3A9B14">
            <w:pPr>
              <w:pStyle w:val="179"/>
              <w:rPr>
                <w:rFonts w:cs="Times New Roman"/>
              </w:rPr>
            </w:pPr>
          </w:p>
        </w:tc>
        <w:tc>
          <w:tcPr>
            <w:tcW w:w="3090" w:type="dxa"/>
            <w:noWrap/>
            <w:vAlign w:val="center"/>
          </w:tcPr>
          <w:p w14:paraId="7CD953B3">
            <w:pPr>
              <w:pStyle w:val="179"/>
              <w:rPr>
                <w:rFonts w:cs="Times New Roman"/>
              </w:rPr>
            </w:pPr>
            <w:r>
              <w:rPr>
                <w:rFonts w:cs="Times New Roman"/>
              </w:rPr>
              <w:t>126°175328E,49°265172N</w:t>
            </w:r>
          </w:p>
        </w:tc>
        <w:tc>
          <w:tcPr>
            <w:tcW w:w="2970" w:type="dxa"/>
            <w:noWrap/>
            <w:vAlign w:val="center"/>
          </w:tcPr>
          <w:p w14:paraId="14CF70A9">
            <w:pPr>
              <w:pStyle w:val="179"/>
              <w:rPr>
                <w:rFonts w:cs="Times New Roman"/>
              </w:rPr>
            </w:pPr>
            <w:r>
              <w:rPr>
                <w:rFonts w:cs="Times New Roman"/>
              </w:rPr>
              <w:t>126°175364E,49°263924N</w:t>
            </w:r>
          </w:p>
        </w:tc>
        <w:tc>
          <w:tcPr>
            <w:tcW w:w="1051" w:type="dxa"/>
            <w:noWrap/>
            <w:vAlign w:val="center"/>
          </w:tcPr>
          <w:p w14:paraId="7BAEF034">
            <w:pPr>
              <w:pStyle w:val="179"/>
              <w:rPr>
                <w:rFonts w:cs="Times New Roman"/>
              </w:rPr>
            </w:pPr>
            <w:r>
              <w:rPr>
                <w:rFonts w:cs="Times New Roman"/>
              </w:rPr>
              <w:t>341</w:t>
            </w:r>
          </w:p>
        </w:tc>
      </w:tr>
      <w:tr w14:paraId="46503869">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083" w:type="dxa"/>
            <w:noWrap/>
            <w:vAlign w:val="center"/>
          </w:tcPr>
          <w:p w14:paraId="687ED5D9">
            <w:pPr>
              <w:pStyle w:val="179"/>
              <w:rPr>
                <w:rFonts w:cs="Times New Roman"/>
              </w:rPr>
            </w:pPr>
            <w:r>
              <w:rPr>
                <w:rFonts w:cs="Times New Roman"/>
              </w:rPr>
              <w:t>样线6</w:t>
            </w:r>
          </w:p>
        </w:tc>
        <w:tc>
          <w:tcPr>
            <w:tcW w:w="1093" w:type="dxa"/>
            <w:vMerge w:val="restart"/>
            <w:noWrap/>
            <w:vAlign w:val="center"/>
          </w:tcPr>
          <w:p w14:paraId="7FFADED2">
            <w:pPr>
              <w:pStyle w:val="179"/>
              <w:rPr>
                <w:rFonts w:cs="Times New Roman"/>
              </w:rPr>
            </w:pPr>
            <w:r>
              <w:rPr>
                <w:rFonts w:cs="Times New Roman"/>
              </w:rPr>
              <w:t>农田</w:t>
            </w:r>
          </w:p>
        </w:tc>
        <w:tc>
          <w:tcPr>
            <w:tcW w:w="3090" w:type="dxa"/>
            <w:noWrap/>
            <w:vAlign w:val="center"/>
          </w:tcPr>
          <w:p w14:paraId="78CF3912">
            <w:pPr>
              <w:pStyle w:val="179"/>
              <w:rPr>
                <w:rFonts w:cs="Times New Roman"/>
              </w:rPr>
            </w:pPr>
            <w:r>
              <w:rPr>
                <w:rFonts w:cs="Times New Roman"/>
              </w:rPr>
              <w:t>126°182124E,49°265172N</w:t>
            </w:r>
          </w:p>
        </w:tc>
        <w:tc>
          <w:tcPr>
            <w:tcW w:w="2970" w:type="dxa"/>
            <w:noWrap/>
            <w:vAlign w:val="center"/>
          </w:tcPr>
          <w:p w14:paraId="60D2D0E2">
            <w:pPr>
              <w:pStyle w:val="179"/>
              <w:rPr>
                <w:rFonts w:cs="Times New Roman"/>
              </w:rPr>
            </w:pPr>
            <w:r>
              <w:rPr>
                <w:rFonts w:cs="Times New Roman"/>
              </w:rPr>
              <w:t>126°184356E,49°263912N</w:t>
            </w:r>
          </w:p>
        </w:tc>
        <w:tc>
          <w:tcPr>
            <w:tcW w:w="1051" w:type="dxa"/>
            <w:noWrap/>
            <w:vAlign w:val="center"/>
          </w:tcPr>
          <w:p w14:paraId="34DB298A">
            <w:pPr>
              <w:pStyle w:val="179"/>
              <w:rPr>
                <w:rFonts w:cs="Times New Roman"/>
              </w:rPr>
            </w:pPr>
            <w:r>
              <w:rPr>
                <w:rFonts w:cs="Times New Roman"/>
              </w:rPr>
              <w:t>360</w:t>
            </w:r>
          </w:p>
        </w:tc>
      </w:tr>
      <w:tr w14:paraId="5987925C">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083" w:type="dxa"/>
            <w:noWrap/>
            <w:vAlign w:val="center"/>
          </w:tcPr>
          <w:p w14:paraId="7D88B2D2">
            <w:pPr>
              <w:pStyle w:val="179"/>
              <w:rPr>
                <w:rFonts w:cs="Times New Roman"/>
              </w:rPr>
            </w:pPr>
            <w:r>
              <w:rPr>
                <w:rFonts w:cs="Times New Roman"/>
              </w:rPr>
              <w:t>样线7</w:t>
            </w:r>
          </w:p>
        </w:tc>
        <w:tc>
          <w:tcPr>
            <w:tcW w:w="1093" w:type="dxa"/>
            <w:vMerge w:val="continue"/>
            <w:noWrap/>
            <w:vAlign w:val="center"/>
          </w:tcPr>
          <w:p w14:paraId="5AF1A1F3">
            <w:pPr>
              <w:pStyle w:val="179"/>
              <w:rPr>
                <w:rFonts w:cs="Times New Roman"/>
              </w:rPr>
            </w:pPr>
          </w:p>
        </w:tc>
        <w:tc>
          <w:tcPr>
            <w:tcW w:w="3090" w:type="dxa"/>
            <w:noWrap/>
            <w:vAlign w:val="center"/>
          </w:tcPr>
          <w:p w14:paraId="1D322EC4">
            <w:pPr>
              <w:pStyle w:val="179"/>
              <w:rPr>
                <w:rFonts w:cs="Times New Roman"/>
              </w:rPr>
            </w:pPr>
            <w:r>
              <w:rPr>
                <w:rFonts w:cs="Times New Roman"/>
              </w:rPr>
              <w:t>126°18360E</w:t>
            </w:r>
            <w:r>
              <w:rPr>
                <w:rFonts w:cs="Times New Roman"/>
              </w:rPr>
              <w:tab/>
            </w:r>
            <w:r>
              <w:rPr>
                <w:rFonts w:cs="Times New Roman"/>
              </w:rPr>
              <w:t>49°27576N</w:t>
            </w:r>
          </w:p>
        </w:tc>
        <w:tc>
          <w:tcPr>
            <w:tcW w:w="2970" w:type="dxa"/>
            <w:noWrap/>
            <w:vAlign w:val="center"/>
          </w:tcPr>
          <w:p w14:paraId="3B3C9B13">
            <w:pPr>
              <w:pStyle w:val="179"/>
              <w:rPr>
                <w:rFonts w:cs="Times New Roman"/>
              </w:rPr>
            </w:pPr>
            <w:r>
              <w:rPr>
                <w:rFonts w:cs="Times New Roman"/>
              </w:rPr>
              <w:t>126°18072E</w:t>
            </w:r>
            <w:r>
              <w:rPr>
                <w:rFonts w:cs="Times New Roman"/>
              </w:rPr>
              <w:tab/>
            </w:r>
            <w:r>
              <w:rPr>
                <w:rFonts w:cs="Times New Roman"/>
              </w:rPr>
              <w:t>49°265172N</w:t>
            </w:r>
          </w:p>
        </w:tc>
        <w:tc>
          <w:tcPr>
            <w:tcW w:w="1051" w:type="dxa"/>
            <w:noWrap/>
            <w:vAlign w:val="center"/>
          </w:tcPr>
          <w:p w14:paraId="10B81699">
            <w:pPr>
              <w:pStyle w:val="179"/>
              <w:rPr>
                <w:rFonts w:cs="Times New Roman"/>
              </w:rPr>
            </w:pPr>
            <w:r>
              <w:rPr>
                <w:rFonts w:cs="Times New Roman"/>
              </w:rPr>
              <w:t>247</w:t>
            </w:r>
          </w:p>
        </w:tc>
      </w:tr>
      <w:tr w14:paraId="4E6A73B4">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083" w:type="dxa"/>
            <w:noWrap/>
            <w:vAlign w:val="center"/>
          </w:tcPr>
          <w:p w14:paraId="7A1F908E">
            <w:pPr>
              <w:pStyle w:val="179"/>
              <w:rPr>
                <w:rFonts w:cs="Times New Roman"/>
              </w:rPr>
            </w:pPr>
            <w:r>
              <w:rPr>
                <w:rFonts w:cs="Times New Roman"/>
              </w:rPr>
              <w:t>样线8</w:t>
            </w:r>
          </w:p>
        </w:tc>
        <w:tc>
          <w:tcPr>
            <w:tcW w:w="1093" w:type="dxa"/>
            <w:vMerge w:val="continue"/>
            <w:noWrap/>
            <w:vAlign w:val="center"/>
          </w:tcPr>
          <w:p w14:paraId="586C9098">
            <w:pPr>
              <w:pStyle w:val="179"/>
              <w:rPr>
                <w:rFonts w:cs="Times New Roman"/>
              </w:rPr>
            </w:pPr>
          </w:p>
        </w:tc>
        <w:tc>
          <w:tcPr>
            <w:tcW w:w="3090" w:type="dxa"/>
            <w:noWrap/>
            <w:vAlign w:val="center"/>
          </w:tcPr>
          <w:p w14:paraId="2901613A">
            <w:pPr>
              <w:pStyle w:val="179"/>
              <w:rPr>
                <w:rFonts w:cs="Times New Roman"/>
              </w:rPr>
            </w:pPr>
            <w:r>
              <w:rPr>
                <w:rFonts w:cs="Times New Roman"/>
              </w:rPr>
              <w:t>126°182124E,49°273240N</w:t>
            </w:r>
          </w:p>
        </w:tc>
        <w:tc>
          <w:tcPr>
            <w:tcW w:w="2970" w:type="dxa"/>
            <w:noWrap/>
            <w:vAlign w:val="center"/>
          </w:tcPr>
          <w:p w14:paraId="4A3E53F3">
            <w:pPr>
              <w:pStyle w:val="179"/>
              <w:rPr>
                <w:rFonts w:cs="Times New Roman"/>
              </w:rPr>
            </w:pPr>
            <w:r>
              <w:rPr>
                <w:rFonts w:cs="Times New Roman"/>
              </w:rPr>
              <w:t>126°184608E,49°273276N</w:t>
            </w:r>
          </w:p>
        </w:tc>
        <w:tc>
          <w:tcPr>
            <w:tcW w:w="1051" w:type="dxa"/>
            <w:noWrap/>
            <w:vAlign w:val="center"/>
          </w:tcPr>
          <w:p w14:paraId="4750B813">
            <w:pPr>
              <w:pStyle w:val="179"/>
              <w:rPr>
                <w:rFonts w:cs="Times New Roman"/>
              </w:rPr>
            </w:pPr>
            <w:r>
              <w:rPr>
                <w:rFonts w:cs="Times New Roman"/>
              </w:rPr>
              <w:t>378</w:t>
            </w:r>
          </w:p>
        </w:tc>
      </w:tr>
      <w:tr w14:paraId="2A80A5F4">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083" w:type="dxa"/>
            <w:noWrap/>
            <w:vAlign w:val="center"/>
          </w:tcPr>
          <w:p w14:paraId="1B28CEF8">
            <w:pPr>
              <w:pStyle w:val="179"/>
              <w:rPr>
                <w:rFonts w:cs="Times New Roman"/>
              </w:rPr>
            </w:pPr>
            <w:r>
              <w:rPr>
                <w:rFonts w:cs="Times New Roman"/>
              </w:rPr>
              <w:t>样线9</w:t>
            </w:r>
          </w:p>
        </w:tc>
        <w:tc>
          <w:tcPr>
            <w:tcW w:w="1093" w:type="dxa"/>
            <w:vMerge w:val="continue"/>
            <w:noWrap/>
            <w:vAlign w:val="center"/>
          </w:tcPr>
          <w:p w14:paraId="6180696D">
            <w:pPr>
              <w:pStyle w:val="179"/>
              <w:rPr>
                <w:rFonts w:cs="Times New Roman"/>
              </w:rPr>
            </w:pPr>
          </w:p>
        </w:tc>
        <w:tc>
          <w:tcPr>
            <w:tcW w:w="3090" w:type="dxa"/>
            <w:noWrap/>
            <w:vAlign w:val="center"/>
          </w:tcPr>
          <w:p w14:paraId="3DF36DD1">
            <w:pPr>
              <w:pStyle w:val="179"/>
              <w:rPr>
                <w:rFonts w:cs="Times New Roman"/>
              </w:rPr>
            </w:pPr>
            <w:r>
              <w:rPr>
                <w:rFonts w:cs="Times New Roman"/>
              </w:rPr>
              <w:t>126°184609E,49°263277N</w:t>
            </w:r>
          </w:p>
        </w:tc>
        <w:tc>
          <w:tcPr>
            <w:tcW w:w="2970" w:type="dxa"/>
            <w:noWrap/>
            <w:vAlign w:val="center"/>
          </w:tcPr>
          <w:p w14:paraId="37550409">
            <w:pPr>
              <w:pStyle w:val="179"/>
              <w:rPr>
                <w:rFonts w:cs="Times New Roman"/>
              </w:rPr>
            </w:pPr>
            <w:r>
              <w:rPr>
                <w:rFonts w:cs="Times New Roman"/>
              </w:rPr>
              <w:t>126°184610E,49°263278N</w:t>
            </w:r>
          </w:p>
        </w:tc>
        <w:tc>
          <w:tcPr>
            <w:tcW w:w="1051" w:type="dxa"/>
            <w:noWrap/>
            <w:vAlign w:val="center"/>
          </w:tcPr>
          <w:p w14:paraId="578DA011">
            <w:pPr>
              <w:pStyle w:val="179"/>
              <w:rPr>
                <w:rFonts w:cs="Times New Roman"/>
              </w:rPr>
            </w:pPr>
            <w:r>
              <w:rPr>
                <w:rFonts w:cs="Times New Roman"/>
              </w:rPr>
              <w:t>360</w:t>
            </w:r>
          </w:p>
        </w:tc>
      </w:tr>
      <w:tr w14:paraId="7428DB20">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083" w:type="dxa"/>
            <w:noWrap/>
            <w:vAlign w:val="center"/>
          </w:tcPr>
          <w:p w14:paraId="7B6F96F7">
            <w:pPr>
              <w:pStyle w:val="179"/>
              <w:rPr>
                <w:rFonts w:cs="Times New Roman"/>
              </w:rPr>
            </w:pPr>
            <w:r>
              <w:rPr>
                <w:rFonts w:cs="Times New Roman"/>
              </w:rPr>
              <w:t>样线10</w:t>
            </w:r>
          </w:p>
        </w:tc>
        <w:tc>
          <w:tcPr>
            <w:tcW w:w="1093" w:type="dxa"/>
            <w:vMerge w:val="continue"/>
            <w:noWrap/>
            <w:vAlign w:val="center"/>
          </w:tcPr>
          <w:p w14:paraId="7B81FA8D">
            <w:pPr>
              <w:pStyle w:val="179"/>
              <w:rPr>
                <w:rFonts w:cs="Times New Roman"/>
              </w:rPr>
            </w:pPr>
          </w:p>
        </w:tc>
        <w:tc>
          <w:tcPr>
            <w:tcW w:w="3090" w:type="dxa"/>
            <w:noWrap/>
            <w:vAlign w:val="center"/>
          </w:tcPr>
          <w:p w14:paraId="317DD403">
            <w:pPr>
              <w:pStyle w:val="179"/>
              <w:rPr>
                <w:rFonts w:cs="Times New Roman"/>
              </w:rPr>
            </w:pPr>
            <w:r>
              <w:rPr>
                <w:rFonts w:cs="Times New Roman"/>
              </w:rPr>
              <w:t>126°182209E,49°270627N</w:t>
            </w:r>
          </w:p>
        </w:tc>
        <w:tc>
          <w:tcPr>
            <w:tcW w:w="2970" w:type="dxa"/>
            <w:noWrap/>
            <w:vAlign w:val="center"/>
          </w:tcPr>
          <w:p w14:paraId="64F03020">
            <w:pPr>
              <w:pStyle w:val="179"/>
              <w:rPr>
                <w:rFonts w:cs="Times New Roman"/>
              </w:rPr>
            </w:pPr>
            <w:r>
              <w:rPr>
                <w:rFonts w:cs="Times New Roman"/>
              </w:rPr>
              <w:t>126°184424E,49°272067N</w:t>
            </w:r>
          </w:p>
        </w:tc>
        <w:tc>
          <w:tcPr>
            <w:tcW w:w="1051" w:type="dxa"/>
            <w:noWrap/>
            <w:vAlign w:val="center"/>
          </w:tcPr>
          <w:p w14:paraId="4100725E">
            <w:pPr>
              <w:pStyle w:val="179"/>
              <w:rPr>
                <w:rFonts w:cs="Times New Roman"/>
              </w:rPr>
            </w:pPr>
            <w:r>
              <w:rPr>
                <w:rFonts w:cs="Times New Roman"/>
              </w:rPr>
              <w:t>347</w:t>
            </w:r>
          </w:p>
        </w:tc>
      </w:tr>
    </w:tbl>
    <w:p w14:paraId="7E8DFBD4">
      <w:pPr>
        <w:pStyle w:val="178"/>
      </w:pPr>
      <w:r>
        <w:rPr>
          <w:rFonts w:hint="eastAsia"/>
        </w:rPr>
        <w:drawing>
          <wp:inline distT="0" distB="0" distL="114300" distR="114300">
            <wp:extent cx="5338445" cy="4070985"/>
            <wp:effectExtent l="19050" t="0" r="0" b="0"/>
            <wp:docPr id="73" name="图片 42" descr="动物样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42" descr="动物样线"/>
                    <pic:cNvPicPr>
                      <a:picLocks noChangeAspect="1"/>
                    </pic:cNvPicPr>
                  </pic:nvPicPr>
                  <pic:blipFill>
                    <a:blip r:embed="rId88"/>
                    <a:srcRect l="3312" r="3924"/>
                    <a:stretch>
                      <a:fillRect/>
                    </a:stretch>
                  </pic:blipFill>
                  <pic:spPr>
                    <a:xfrm>
                      <a:off x="0" y="0"/>
                      <a:ext cx="5338846" cy="4071257"/>
                    </a:xfrm>
                    <a:prstGeom prst="rect">
                      <a:avLst/>
                    </a:prstGeom>
                  </pic:spPr>
                </pic:pic>
              </a:graphicData>
            </a:graphic>
          </wp:inline>
        </w:drawing>
      </w:r>
    </w:p>
    <w:p w14:paraId="6027F8A2">
      <w:pPr>
        <w:pStyle w:val="178"/>
      </w:pPr>
      <w:r>
        <w:rPr>
          <w:rFonts w:hint="eastAsia"/>
        </w:rPr>
        <w:t>图4.3-9  动物样线布置图</w:t>
      </w:r>
    </w:p>
    <w:p w14:paraId="399E870D">
      <w:pPr>
        <w:ind w:firstLine="480"/>
      </w:pPr>
      <w:r>
        <w:rPr>
          <w:rFonts w:hint="eastAsia"/>
        </w:rPr>
        <w:t>根据实地考察及对《大兴安岭地区野生动物》、《黑龙江两栖爬行动物志》、《黑龙江兽类动物志》、《黑龙江鸟类动物志》等相关资料进行综合分析，评价范围内分布的陆生脊椎动物有4纲23目40科70种；其中古北种50种，广布种20种；评价范围国家二级重点保护野生动物3种。陆生动物在各纲中的种类组成、区系见表4.3-12。</w:t>
      </w:r>
    </w:p>
    <w:p w14:paraId="1A929DC0">
      <w:pPr>
        <w:pStyle w:val="178"/>
      </w:pPr>
      <w:r>
        <w:rPr>
          <w:rFonts w:hint="eastAsia"/>
        </w:rPr>
        <w:t>表4.3-12  评价区脊椎动物种类组成</w:t>
      </w:r>
    </w:p>
    <w:tbl>
      <w:tblPr>
        <w:tblStyle w:val="36"/>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407"/>
        <w:gridCol w:w="1412"/>
        <w:gridCol w:w="1412"/>
        <w:gridCol w:w="1412"/>
        <w:gridCol w:w="1413"/>
        <w:gridCol w:w="1416"/>
      </w:tblGrid>
      <w:tr w14:paraId="296877A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1322" w:type="dxa"/>
            <w:noWrap/>
            <w:vAlign w:val="center"/>
          </w:tcPr>
          <w:p w14:paraId="7B11BF54">
            <w:pPr>
              <w:pStyle w:val="179"/>
              <w:rPr>
                <w:b/>
              </w:rPr>
            </w:pPr>
            <w:r>
              <w:rPr>
                <w:b/>
              </w:rPr>
              <w:t>类别</w:t>
            </w:r>
          </w:p>
        </w:tc>
        <w:tc>
          <w:tcPr>
            <w:tcW w:w="1325" w:type="dxa"/>
            <w:noWrap/>
            <w:vAlign w:val="center"/>
          </w:tcPr>
          <w:p w14:paraId="4C79B3A0">
            <w:pPr>
              <w:pStyle w:val="179"/>
              <w:rPr>
                <w:b/>
              </w:rPr>
            </w:pPr>
            <w:r>
              <w:rPr>
                <w:b/>
              </w:rPr>
              <w:t>哺乳类</w:t>
            </w:r>
          </w:p>
        </w:tc>
        <w:tc>
          <w:tcPr>
            <w:tcW w:w="1325" w:type="dxa"/>
            <w:noWrap/>
            <w:vAlign w:val="center"/>
          </w:tcPr>
          <w:p w14:paraId="1A5AA103">
            <w:pPr>
              <w:pStyle w:val="179"/>
              <w:rPr>
                <w:b/>
              </w:rPr>
            </w:pPr>
            <w:r>
              <w:rPr>
                <w:b/>
              </w:rPr>
              <w:t>鸟类</w:t>
            </w:r>
          </w:p>
        </w:tc>
        <w:tc>
          <w:tcPr>
            <w:tcW w:w="1325" w:type="dxa"/>
            <w:noWrap/>
            <w:vAlign w:val="center"/>
          </w:tcPr>
          <w:p w14:paraId="6C19C28A">
            <w:pPr>
              <w:pStyle w:val="179"/>
              <w:rPr>
                <w:b/>
              </w:rPr>
            </w:pPr>
            <w:r>
              <w:rPr>
                <w:b/>
              </w:rPr>
              <w:t>爬行类</w:t>
            </w:r>
          </w:p>
        </w:tc>
        <w:tc>
          <w:tcPr>
            <w:tcW w:w="1326" w:type="dxa"/>
            <w:noWrap/>
            <w:vAlign w:val="center"/>
          </w:tcPr>
          <w:p w14:paraId="24CD6D47">
            <w:pPr>
              <w:pStyle w:val="179"/>
              <w:rPr>
                <w:b/>
              </w:rPr>
            </w:pPr>
            <w:r>
              <w:rPr>
                <w:b/>
              </w:rPr>
              <w:t>两栖类</w:t>
            </w:r>
          </w:p>
        </w:tc>
        <w:tc>
          <w:tcPr>
            <w:tcW w:w="1329" w:type="dxa"/>
            <w:noWrap/>
            <w:vAlign w:val="center"/>
          </w:tcPr>
          <w:p w14:paraId="20728EF5">
            <w:pPr>
              <w:pStyle w:val="179"/>
              <w:rPr>
                <w:b/>
              </w:rPr>
            </w:pPr>
            <w:r>
              <w:rPr>
                <w:b/>
              </w:rPr>
              <w:t>合计</w:t>
            </w:r>
          </w:p>
        </w:tc>
      </w:tr>
      <w:tr w14:paraId="46F0ECD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22" w:type="dxa"/>
            <w:noWrap/>
            <w:vAlign w:val="center"/>
          </w:tcPr>
          <w:p w14:paraId="7F1BA1D4">
            <w:pPr>
              <w:pStyle w:val="179"/>
            </w:pPr>
            <w:r>
              <w:t>目</w:t>
            </w:r>
          </w:p>
        </w:tc>
        <w:tc>
          <w:tcPr>
            <w:tcW w:w="1325" w:type="dxa"/>
            <w:noWrap/>
            <w:vAlign w:val="center"/>
          </w:tcPr>
          <w:p w14:paraId="6B44C1BE">
            <w:pPr>
              <w:pStyle w:val="179"/>
            </w:pPr>
            <w:r>
              <w:rPr>
                <w:rFonts w:hint="eastAsia"/>
              </w:rPr>
              <w:t>7</w:t>
            </w:r>
          </w:p>
        </w:tc>
        <w:tc>
          <w:tcPr>
            <w:tcW w:w="1325" w:type="dxa"/>
            <w:noWrap/>
            <w:vAlign w:val="center"/>
          </w:tcPr>
          <w:p w14:paraId="3D3F13A7">
            <w:pPr>
              <w:pStyle w:val="179"/>
            </w:pPr>
            <w:r>
              <w:rPr>
                <w:rFonts w:hint="eastAsia"/>
              </w:rPr>
              <w:t>14</w:t>
            </w:r>
          </w:p>
        </w:tc>
        <w:tc>
          <w:tcPr>
            <w:tcW w:w="1325" w:type="dxa"/>
            <w:noWrap/>
            <w:vAlign w:val="center"/>
          </w:tcPr>
          <w:p w14:paraId="0E88A471">
            <w:pPr>
              <w:pStyle w:val="179"/>
            </w:pPr>
            <w:r>
              <w:t>1</w:t>
            </w:r>
          </w:p>
        </w:tc>
        <w:tc>
          <w:tcPr>
            <w:tcW w:w="1326" w:type="dxa"/>
            <w:noWrap/>
            <w:vAlign w:val="center"/>
          </w:tcPr>
          <w:p w14:paraId="0DD4F415">
            <w:pPr>
              <w:pStyle w:val="179"/>
            </w:pPr>
            <w:r>
              <w:t>1</w:t>
            </w:r>
          </w:p>
        </w:tc>
        <w:tc>
          <w:tcPr>
            <w:tcW w:w="1329" w:type="dxa"/>
            <w:noWrap/>
            <w:vAlign w:val="center"/>
          </w:tcPr>
          <w:p w14:paraId="1C93E2A2">
            <w:pPr>
              <w:pStyle w:val="179"/>
            </w:pPr>
            <w:r>
              <w:rPr>
                <w:rFonts w:hint="eastAsia"/>
              </w:rPr>
              <w:t>23</w:t>
            </w:r>
          </w:p>
        </w:tc>
      </w:tr>
      <w:tr w14:paraId="65EFEE9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22" w:type="dxa"/>
            <w:noWrap/>
            <w:vAlign w:val="center"/>
          </w:tcPr>
          <w:p w14:paraId="0E167E3D">
            <w:pPr>
              <w:pStyle w:val="179"/>
            </w:pPr>
            <w:r>
              <w:t>科</w:t>
            </w:r>
          </w:p>
        </w:tc>
        <w:tc>
          <w:tcPr>
            <w:tcW w:w="1325" w:type="dxa"/>
            <w:noWrap/>
            <w:vAlign w:val="center"/>
          </w:tcPr>
          <w:p w14:paraId="6F265B3C">
            <w:pPr>
              <w:pStyle w:val="179"/>
            </w:pPr>
            <w:r>
              <w:rPr>
                <w:rFonts w:hint="eastAsia"/>
              </w:rPr>
              <w:t>11</w:t>
            </w:r>
          </w:p>
        </w:tc>
        <w:tc>
          <w:tcPr>
            <w:tcW w:w="1325" w:type="dxa"/>
            <w:noWrap/>
            <w:vAlign w:val="center"/>
          </w:tcPr>
          <w:p w14:paraId="2DE79C89">
            <w:pPr>
              <w:pStyle w:val="179"/>
            </w:pPr>
            <w:r>
              <w:rPr>
                <w:rFonts w:hint="eastAsia"/>
              </w:rPr>
              <w:t>24</w:t>
            </w:r>
          </w:p>
        </w:tc>
        <w:tc>
          <w:tcPr>
            <w:tcW w:w="1325" w:type="dxa"/>
            <w:noWrap/>
            <w:vAlign w:val="center"/>
          </w:tcPr>
          <w:p w14:paraId="41F722C1">
            <w:pPr>
              <w:pStyle w:val="179"/>
            </w:pPr>
            <w:r>
              <w:rPr>
                <w:rFonts w:hint="eastAsia"/>
              </w:rPr>
              <w:t>2</w:t>
            </w:r>
          </w:p>
        </w:tc>
        <w:tc>
          <w:tcPr>
            <w:tcW w:w="1326" w:type="dxa"/>
            <w:noWrap/>
            <w:vAlign w:val="center"/>
          </w:tcPr>
          <w:p w14:paraId="0D372073">
            <w:pPr>
              <w:pStyle w:val="179"/>
            </w:pPr>
            <w:r>
              <w:t>3</w:t>
            </w:r>
          </w:p>
        </w:tc>
        <w:tc>
          <w:tcPr>
            <w:tcW w:w="1329" w:type="dxa"/>
            <w:noWrap/>
            <w:vAlign w:val="center"/>
          </w:tcPr>
          <w:p w14:paraId="2CFEABC6">
            <w:pPr>
              <w:pStyle w:val="179"/>
            </w:pPr>
            <w:r>
              <w:rPr>
                <w:rFonts w:hint="eastAsia"/>
              </w:rPr>
              <w:t>40</w:t>
            </w:r>
          </w:p>
        </w:tc>
      </w:tr>
      <w:tr w14:paraId="36881AC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22" w:type="dxa"/>
            <w:noWrap/>
            <w:vAlign w:val="center"/>
          </w:tcPr>
          <w:p w14:paraId="1D75CF54">
            <w:pPr>
              <w:pStyle w:val="179"/>
            </w:pPr>
            <w:r>
              <w:t>种</w:t>
            </w:r>
          </w:p>
        </w:tc>
        <w:tc>
          <w:tcPr>
            <w:tcW w:w="1325" w:type="dxa"/>
            <w:noWrap/>
            <w:vAlign w:val="center"/>
          </w:tcPr>
          <w:p w14:paraId="0EF2C0CC">
            <w:pPr>
              <w:pStyle w:val="179"/>
            </w:pPr>
            <w:r>
              <w:rPr>
                <w:rFonts w:hint="eastAsia"/>
              </w:rPr>
              <w:t>22</w:t>
            </w:r>
          </w:p>
        </w:tc>
        <w:tc>
          <w:tcPr>
            <w:tcW w:w="1325" w:type="dxa"/>
            <w:noWrap/>
            <w:vAlign w:val="center"/>
          </w:tcPr>
          <w:p w14:paraId="69F40D3F">
            <w:pPr>
              <w:pStyle w:val="179"/>
            </w:pPr>
            <w:r>
              <w:rPr>
                <w:rFonts w:hint="eastAsia"/>
              </w:rPr>
              <w:t>37</w:t>
            </w:r>
          </w:p>
        </w:tc>
        <w:tc>
          <w:tcPr>
            <w:tcW w:w="1325" w:type="dxa"/>
            <w:noWrap/>
            <w:vAlign w:val="center"/>
          </w:tcPr>
          <w:p w14:paraId="0FA35A48">
            <w:pPr>
              <w:pStyle w:val="179"/>
            </w:pPr>
            <w:r>
              <w:rPr>
                <w:rFonts w:hint="eastAsia"/>
              </w:rPr>
              <w:t>5</w:t>
            </w:r>
          </w:p>
        </w:tc>
        <w:tc>
          <w:tcPr>
            <w:tcW w:w="1326" w:type="dxa"/>
            <w:noWrap/>
            <w:vAlign w:val="center"/>
          </w:tcPr>
          <w:p w14:paraId="686F4139">
            <w:pPr>
              <w:pStyle w:val="179"/>
            </w:pPr>
            <w:r>
              <w:rPr>
                <w:rFonts w:hint="eastAsia"/>
              </w:rPr>
              <w:t>6</w:t>
            </w:r>
          </w:p>
        </w:tc>
        <w:tc>
          <w:tcPr>
            <w:tcW w:w="1329" w:type="dxa"/>
            <w:noWrap/>
            <w:vAlign w:val="center"/>
          </w:tcPr>
          <w:p w14:paraId="43ECBF01">
            <w:pPr>
              <w:pStyle w:val="179"/>
            </w:pPr>
            <w:r>
              <w:rPr>
                <w:rFonts w:hint="eastAsia"/>
              </w:rPr>
              <w:t>70</w:t>
            </w:r>
          </w:p>
        </w:tc>
      </w:tr>
    </w:tbl>
    <w:p w14:paraId="43B71CAC">
      <w:pPr>
        <w:ind w:firstLine="480"/>
      </w:pPr>
      <w:r>
        <w:rPr>
          <w:rFonts w:hint="eastAsia"/>
        </w:rPr>
        <w:t>（1）哺乳类</w:t>
      </w:r>
    </w:p>
    <w:p w14:paraId="709D404D">
      <w:pPr>
        <w:ind w:firstLine="480"/>
      </w:pPr>
      <w:r>
        <w:rPr>
          <w:rFonts w:hint="eastAsia"/>
        </w:rPr>
        <w:t>根据全国动物地理区划，评价区哺乳类动物隶属于“古北界—东北区”。共分布哺乳类7目11科22种。从区系成分上看，项目评价区内分布的哺乳类种类中属于古北界的哺乳类动物占绝大部分，为19种，占评价区内哺乳类种数的86.36%；属于广布种的为3种，占评价区哺乳类总数的13.64%。</w:t>
      </w:r>
    </w:p>
    <w:p w14:paraId="0AF8C4A3">
      <w:pPr>
        <w:pStyle w:val="178"/>
      </w:pPr>
      <w:r>
        <w:t>表</w:t>
      </w:r>
      <w:r>
        <w:rPr>
          <w:rFonts w:hint="eastAsia"/>
        </w:rPr>
        <w:t>4.3</w:t>
      </w:r>
      <w:r>
        <w:t>-</w:t>
      </w:r>
      <w:r>
        <w:rPr>
          <w:rFonts w:hint="eastAsia"/>
        </w:rPr>
        <w:t>13</w:t>
      </w:r>
      <w:r>
        <w:t xml:space="preserve">  评价区</w:t>
      </w:r>
      <w:r>
        <w:rPr>
          <w:rFonts w:hint="eastAsia"/>
        </w:rPr>
        <w:t>哺乳动物名录</w:t>
      </w:r>
    </w:p>
    <w:tbl>
      <w:tblPr>
        <w:tblStyle w:val="36"/>
        <w:tblW w:w="4999" w:type="pct"/>
        <w:jc w:val="center"/>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Layout w:type="fixed"/>
        <w:tblCellMar>
          <w:top w:w="0" w:type="dxa"/>
          <w:left w:w="0" w:type="dxa"/>
          <w:bottom w:w="0" w:type="dxa"/>
          <w:right w:w="0" w:type="dxa"/>
        </w:tblCellMar>
      </w:tblPr>
      <w:tblGrid>
        <w:gridCol w:w="1138"/>
        <w:gridCol w:w="1123"/>
        <w:gridCol w:w="2543"/>
        <w:gridCol w:w="991"/>
        <w:gridCol w:w="971"/>
        <w:gridCol w:w="971"/>
        <w:gridCol w:w="1323"/>
        <w:gridCol w:w="11"/>
      </w:tblGrid>
      <w:tr w14:paraId="14D60AD0">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tblHeader/>
          <w:jc w:val="center"/>
        </w:trPr>
        <w:tc>
          <w:tcPr>
            <w:tcW w:w="1137" w:type="dxa"/>
            <w:noWrap/>
            <w:vAlign w:val="center"/>
          </w:tcPr>
          <w:p w14:paraId="2BA8B50D">
            <w:pPr>
              <w:pStyle w:val="155"/>
              <w:jc w:val="center"/>
              <w:rPr>
                <w:rFonts w:hint="default" w:hAnsi="Times New Roman" w:eastAsia="宋体" w:cs="Times New Roman"/>
                <w:b/>
              </w:rPr>
            </w:pPr>
            <w:r>
              <w:rPr>
                <w:rFonts w:hint="default" w:hAnsi="宋体" w:eastAsia="宋体" w:cs="Times New Roman"/>
                <w:b/>
              </w:rPr>
              <w:t>序号</w:t>
            </w:r>
          </w:p>
        </w:tc>
        <w:tc>
          <w:tcPr>
            <w:tcW w:w="1123" w:type="dxa"/>
            <w:noWrap/>
            <w:vAlign w:val="center"/>
          </w:tcPr>
          <w:p w14:paraId="035FBCB5">
            <w:pPr>
              <w:pStyle w:val="155"/>
              <w:jc w:val="center"/>
              <w:rPr>
                <w:rFonts w:hint="default" w:hAnsi="Times New Roman" w:eastAsia="宋体" w:cs="Times New Roman"/>
                <w:b/>
              </w:rPr>
            </w:pPr>
            <w:r>
              <w:rPr>
                <w:rFonts w:hint="default" w:hAnsi="宋体" w:eastAsia="宋体" w:cs="Times New Roman"/>
                <w:b/>
              </w:rPr>
              <w:t>名称</w:t>
            </w:r>
          </w:p>
        </w:tc>
        <w:tc>
          <w:tcPr>
            <w:tcW w:w="2546" w:type="dxa"/>
            <w:noWrap/>
            <w:vAlign w:val="center"/>
          </w:tcPr>
          <w:p w14:paraId="31F6360A">
            <w:pPr>
              <w:pStyle w:val="155"/>
              <w:jc w:val="center"/>
              <w:rPr>
                <w:rFonts w:hint="default" w:hAnsi="Times New Roman" w:eastAsia="宋体" w:cs="Times New Roman"/>
                <w:b/>
              </w:rPr>
            </w:pPr>
            <w:r>
              <w:rPr>
                <w:rFonts w:hint="default" w:hAnsi="宋体" w:eastAsia="宋体" w:cs="Times New Roman"/>
                <w:b/>
              </w:rPr>
              <w:t>学名</w:t>
            </w:r>
          </w:p>
        </w:tc>
        <w:tc>
          <w:tcPr>
            <w:tcW w:w="991" w:type="dxa"/>
            <w:noWrap/>
            <w:vAlign w:val="center"/>
          </w:tcPr>
          <w:p w14:paraId="2784A24D">
            <w:pPr>
              <w:pStyle w:val="155"/>
              <w:jc w:val="center"/>
              <w:rPr>
                <w:rFonts w:hint="default" w:hAnsi="Times New Roman" w:eastAsia="宋体" w:cs="Times New Roman"/>
                <w:b/>
              </w:rPr>
            </w:pPr>
            <w:r>
              <w:rPr>
                <w:rFonts w:hint="default" w:hAnsi="宋体" w:eastAsia="宋体" w:cs="Times New Roman"/>
                <w:b/>
              </w:rPr>
              <w:t>生境</w:t>
            </w:r>
          </w:p>
        </w:tc>
        <w:tc>
          <w:tcPr>
            <w:tcW w:w="971" w:type="dxa"/>
            <w:noWrap/>
            <w:vAlign w:val="center"/>
          </w:tcPr>
          <w:p w14:paraId="426F225F">
            <w:pPr>
              <w:pStyle w:val="155"/>
              <w:jc w:val="center"/>
              <w:rPr>
                <w:rFonts w:hint="default" w:hAnsi="Times New Roman" w:eastAsia="宋体" w:cs="Times New Roman"/>
                <w:b/>
              </w:rPr>
            </w:pPr>
            <w:r>
              <w:rPr>
                <w:rFonts w:hint="default" w:hAnsi="宋体" w:eastAsia="宋体" w:cs="Times New Roman"/>
                <w:b/>
              </w:rPr>
              <w:t>数量</w:t>
            </w:r>
          </w:p>
        </w:tc>
        <w:tc>
          <w:tcPr>
            <w:tcW w:w="971" w:type="dxa"/>
            <w:noWrap/>
            <w:vAlign w:val="center"/>
          </w:tcPr>
          <w:p w14:paraId="54FC6C44">
            <w:pPr>
              <w:pStyle w:val="155"/>
              <w:jc w:val="center"/>
              <w:rPr>
                <w:rFonts w:hint="default" w:hAnsi="Times New Roman" w:eastAsia="宋体" w:cs="Times New Roman"/>
                <w:b/>
              </w:rPr>
            </w:pPr>
            <w:r>
              <w:rPr>
                <w:rFonts w:hint="default" w:hAnsi="宋体" w:eastAsia="宋体" w:cs="Times New Roman"/>
                <w:b/>
              </w:rPr>
              <w:t>保护级别</w:t>
            </w:r>
          </w:p>
        </w:tc>
        <w:tc>
          <w:tcPr>
            <w:tcW w:w="1332" w:type="dxa"/>
            <w:gridSpan w:val="2"/>
            <w:noWrap/>
            <w:vAlign w:val="center"/>
          </w:tcPr>
          <w:p w14:paraId="0E982C9A">
            <w:pPr>
              <w:pStyle w:val="155"/>
              <w:jc w:val="center"/>
              <w:rPr>
                <w:rFonts w:hint="default" w:hAnsi="Times New Roman" w:eastAsia="宋体" w:cs="Times New Roman"/>
                <w:b/>
              </w:rPr>
            </w:pPr>
            <w:r>
              <w:rPr>
                <w:rFonts w:hint="default" w:hAnsi="宋体" w:eastAsia="宋体" w:cs="Times New Roman"/>
                <w:b/>
              </w:rPr>
              <w:t>区系</w:t>
            </w:r>
          </w:p>
        </w:tc>
      </w:tr>
      <w:tr w14:paraId="26568460">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137" w:type="dxa"/>
            <w:noWrap/>
            <w:vAlign w:val="center"/>
          </w:tcPr>
          <w:p w14:paraId="313116B3">
            <w:pPr>
              <w:pStyle w:val="155"/>
              <w:jc w:val="center"/>
              <w:rPr>
                <w:rFonts w:hint="default" w:hAnsi="Times New Roman" w:eastAsia="宋体" w:cs="Times New Roman"/>
                <w:b/>
                <w:bCs w:val="0"/>
              </w:rPr>
            </w:pPr>
            <w:r>
              <w:rPr>
                <w:rFonts w:hint="default" w:hAnsi="宋体" w:eastAsia="宋体" w:cs="Times New Roman"/>
                <w:b/>
              </w:rPr>
              <w:t>一</w:t>
            </w:r>
          </w:p>
        </w:tc>
        <w:tc>
          <w:tcPr>
            <w:tcW w:w="1123" w:type="dxa"/>
            <w:noWrap/>
            <w:vAlign w:val="center"/>
          </w:tcPr>
          <w:p w14:paraId="06F95F83">
            <w:pPr>
              <w:pStyle w:val="155"/>
              <w:jc w:val="center"/>
              <w:rPr>
                <w:rFonts w:hint="default" w:hAnsi="Times New Roman" w:eastAsia="宋体" w:cs="Times New Roman"/>
                <w:b/>
                <w:bCs w:val="0"/>
              </w:rPr>
            </w:pPr>
            <w:r>
              <w:rPr>
                <w:rFonts w:hint="default" w:hAnsi="宋体" w:eastAsia="宋体" w:cs="Times New Roman"/>
                <w:b/>
              </w:rPr>
              <w:t>猬形目</w:t>
            </w:r>
          </w:p>
        </w:tc>
        <w:tc>
          <w:tcPr>
            <w:tcW w:w="2546" w:type="dxa"/>
            <w:noWrap/>
            <w:vAlign w:val="center"/>
          </w:tcPr>
          <w:p w14:paraId="515302DE">
            <w:pPr>
              <w:pStyle w:val="155"/>
              <w:jc w:val="center"/>
              <w:rPr>
                <w:rFonts w:hint="default" w:hAnsi="Times New Roman" w:eastAsia="宋体" w:cs="Times New Roman"/>
                <w:b/>
                <w:bCs w:val="0"/>
              </w:rPr>
            </w:pPr>
            <w:r>
              <w:rPr>
                <w:rFonts w:hint="default" w:hAnsi="Times New Roman" w:eastAsia="宋体" w:cs="Times New Roman"/>
                <w:b/>
              </w:rPr>
              <w:t>ERINACEOMORPHA</w:t>
            </w:r>
          </w:p>
        </w:tc>
        <w:tc>
          <w:tcPr>
            <w:tcW w:w="991" w:type="dxa"/>
            <w:noWrap/>
            <w:vAlign w:val="center"/>
          </w:tcPr>
          <w:p w14:paraId="00A2F2BD">
            <w:pPr>
              <w:pStyle w:val="155"/>
              <w:jc w:val="center"/>
              <w:rPr>
                <w:rFonts w:hint="default" w:hAnsi="Times New Roman" w:eastAsia="宋体" w:cs="Times New Roman"/>
                <w:b/>
                <w:bCs w:val="0"/>
              </w:rPr>
            </w:pPr>
          </w:p>
        </w:tc>
        <w:tc>
          <w:tcPr>
            <w:tcW w:w="971" w:type="dxa"/>
            <w:noWrap/>
            <w:vAlign w:val="center"/>
          </w:tcPr>
          <w:p w14:paraId="77737E2D">
            <w:pPr>
              <w:pStyle w:val="155"/>
              <w:jc w:val="center"/>
              <w:rPr>
                <w:rFonts w:hint="default" w:hAnsi="Times New Roman" w:eastAsia="宋体" w:cs="Times New Roman"/>
                <w:b/>
                <w:bCs w:val="0"/>
              </w:rPr>
            </w:pPr>
          </w:p>
        </w:tc>
        <w:tc>
          <w:tcPr>
            <w:tcW w:w="971" w:type="dxa"/>
            <w:noWrap/>
            <w:vAlign w:val="center"/>
          </w:tcPr>
          <w:p w14:paraId="42EE0A29">
            <w:pPr>
              <w:pStyle w:val="155"/>
              <w:jc w:val="center"/>
              <w:rPr>
                <w:rFonts w:hint="default" w:hAnsi="Times New Roman" w:eastAsia="宋体" w:cs="Times New Roman"/>
                <w:b/>
                <w:bCs w:val="0"/>
              </w:rPr>
            </w:pPr>
          </w:p>
        </w:tc>
        <w:tc>
          <w:tcPr>
            <w:tcW w:w="1332" w:type="dxa"/>
            <w:gridSpan w:val="2"/>
            <w:noWrap/>
            <w:vAlign w:val="center"/>
          </w:tcPr>
          <w:p w14:paraId="333B2D20">
            <w:pPr>
              <w:pStyle w:val="155"/>
              <w:jc w:val="center"/>
              <w:rPr>
                <w:rFonts w:hint="default" w:hAnsi="Times New Roman" w:eastAsia="宋体" w:cs="Times New Roman"/>
                <w:b/>
                <w:bCs w:val="0"/>
              </w:rPr>
            </w:pPr>
          </w:p>
        </w:tc>
      </w:tr>
      <w:tr w14:paraId="5A78CD21">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137" w:type="dxa"/>
            <w:noWrap/>
            <w:vAlign w:val="center"/>
          </w:tcPr>
          <w:p w14:paraId="1D3E6EA6">
            <w:pPr>
              <w:pStyle w:val="155"/>
              <w:jc w:val="center"/>
              <w:rPr>
                <w:rFonts w:hint="default" w:hAnsi="Times New Roman" w:eastAsia="宋体" w:cs="Times New Roman"/>
                <w:b/>
                <w:bCs w:val="0"/>
              </w:rPr>
            </w:pPr>
            <w:r>
              <w:rPr>
                <w:rFonts w:hint="default" w:hAnsi="宋体" w:eastAsia="宋体" w:cs="Times New Roman"/>
                <w:b/>
              </w:rPr>
              <w:t>（一）</w:t>
            </w:r>
          </w:p>
        </w:tc>
        <w:tc>
          <w:tcPr>
            <w:tcW w:w="1123" w:type="dxa"/>
            <w:noWrap/>
            <w:vAlign w:val="center"/>
          </w:tcPr>
          <w:p w14:paraId="7E429F10">
            <w:pPr>
              <w:pStyle w:val="155"/>
              <w:jc w:val="center"/>
              <w:rPr>
                <w:rFonts w:hint="default" w:hAnsi="Times New Roman" w:eastAsia="宋体" w:cs="Times New Roman"/>
                <w:b/>
                <w:bCs w:val="0"/>
              </w:rPr>
            </w:pPr>
            <w:r>
              <w:rPr>
                <w:rFonts w:hint="default" w:hAnsi="宋体" w:eastAsia="宋体" w:cs="Times New Roman"/>
                <w:b/>
              </w:rPr>
              <w:t>猬科</w:t>
            </w:r>
          </w:p>
        </w:tc>
        <w:tc>
          <w:tcPr>
            <w:tcW w:w="2546" w:type="dxa"/>
            <w:noWrap/>
            <w:vAlign w:val="center"/>
          </w:tcPr>
          <w:p w14:paraId="6221AF4F">
            <w:pPr>
              <w:pStyle w:val="155"/>
              <w:jc w:val="center"/>
              <w:rPr>
                <w:rFonts w:hint="default" w:hAnsi="Times New Roman" w:eastAsia="宋体" w:cs="Times New Roman"/>
                <w:b/>
                <w:bCs w:val="0"/>
              </w:rPr>
            </w:pPr>
            <w:r>
              <w:rPr>
                <w:rFonts w:hint="default" w:hAnsi="Times New Roman" w:eastAsia="宋体" w:cs="Times New Roman"/>
                <w:b/>
              </w:rPr>
              <w:t>Erinaceidae</w:t>
            </w:r>
          </w:p>
        </w:tc>
        <w:tc>
          <w:tcPr>
            <w:tcW w:w="991" w:type="dxa"/>
            <w:noWrap/>
            <w:vAlign w:val="center"/>
          </w:tcPr>
          <w:p w14:paraId="44E038B9">
            <w:pPr>
              <w:pStyle w:val="155"/>
              <w:jc w:val="center"/>
              <w:rPr>
                <w:rFonts w:hint="default" w:hAnsi="Times New Roman" w:eastAsia="宋体" w:cs="Times New Roman"/>
                <w:b/>
                <w:bCs w:val="0"/>
              </w:rPr>
            </w:pPr>
          </w:p>
        </w:tc>
        <w:tc>
          <w:tcPr>
            <w:tcW w:w="971" w:type="dxa"/>
            <w:noWrap/>
            <w:vAlign w:val="center"/>
          </w:tcPr>
          <w:p w14:paraId="554064C2">
            <w:pPr>
              <w:pStyle w:val="155"/>
              <w:jc w:val="center"/>
              <w:rPr>
                <w:rFonts w:hint="default" w:hAnsi="Times New Roman" w:eastAsia="宋体" w:cs="Times New Roman"/>
                <w:b/>
                <w:bCs w:val="0"/>
              </w:rPr>
            </w:pPr>
          </w:p>
        </w:tc>
        <w:tc>
          <w:tcPr>
            <w:tcW w:w="971" w:type="dxa"/>
            <w:noWrap/>
            <w:vAlign w:val="center"/>
          </w:tcPr>
          <w:p w14:paraId="08F039F4">
            <w:pPr>
              <w:pStyle w:val="155"/>
              <w:jc w:val="center"/>
              <w:rPr>
                <w:rFonts w:hint="default" w:hAnsi="Times New Roman" w:eastAsia="宋体" w:cs="Times New Roman"/>
                <w:b/>
                <w:bCs w:val="0"/>
              </w:rPr>
            </w:pPr>
          </w:p>
        </w:tc>
        <w:tc>
          <w:tcPr>
            <w:tcW w:w="1332" w:type="dxa"/>
            <w:gridSpan w:val="2"/>
            <w:noWrap/>
            <w:vAlign w:val="center"/>
          </w:tcPr>
          <w:p w14:paraId="0DD5457E">
            <w:pPr>
              <w:pStyle w:val="155"/>
              <w:jc w:val="center"/>
              <w:rPr>
                <w:rFonts w:hint="default" w:hAnsi="Times New Roman" w:eastAsia="宋体" w:cs="Times New Roman"/>
                <w:b/>
                <w:bCs w:val="0"/>
              </w:rPr>
            </w:pPr>
          </w:p>
        </w:tc>
      </w:tr>
      <w:tr w14:paraId="42A50719">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137" w:type="dxa"/>
            <w:noWrap/>
            <w:vAlign w:val="center"/>
          </w:tcPr>
          <w:p w14:paraId="0EEBA5B9">
            <w:pPr>
              <w:pStyle w:val="155"/>
              <w:jc w:val="center"/>
              <w:rPr>
                <w:rFonts w:hint="default" w:hAnsi="Times New Roman" w:eastAsia="宋体" w:cs="Times New Roman"/>
              </w:rPr>
            </w:pPr>
            <w:r>
              <w:rPr>
                <w:rFonts w:hint="default" w:hAnsi="Times New Roman" w:eastAsia="宋体" w:cs="Times New Roman"/>
              </w:rPr>
              <w:t>1</w:t>
            </w:r>
          </w:p>
        </w:tc>
        <w:tc>
          <w:tcPr>
            <w:tcW w:w="1123" w:type="dxa"/>
            <w:noWrap/>
            <w:vAlign w:val="center"/>
          </w:tcPr>
          <w:p w14:paraId="01B0C55A">
            <w:pPr>
              <w:pStyle w:val="155"/>
              <w:jc w:val="center"/>
              <w:rPr>
                <w:rFonts w:hint="default" w:hAnsi="Times New Roman" w:eastAsia="宋体" w:cs="Times New Roman"/>
              </w:rPr>
            </w:pPr>
            <w:r>
              <w:rPr>
                <w:rFonts w:hint="default" w:hAnsi="宋体" w:eastAsia="宋体" w:cs="Times New Roman"/>
              </w:rPr>
              <w:t>东北刺猬</w:t>
            </w:r>
          </w:p>
        </w:tc>
        <w:tc>
          <w:tcPr>
            <w:tcW w:w="2546" w:type="dxa"/>
            <w:noWrap/>
            <w:vAlign w:val="center"/>
          </w:tcPr>
          <w:p w14:paraId="2C3BECE9">
            <w:pPr>
              <w:pStyle w:val="155"/>
              <w:jc w:val="center"/>
              <w:rPr>
                <w:rFonts w:hint="default" w:hAnsi="Times New Roman" w:eastAsia="宋体" w:cs="Times New Roman"/>
              </w:rPr>
            </w:pPr>
            <w:r>
              <w:rPr>
                <w:rFonts w:hint="default" w:hAnsi="Times New Roman" w:eastAsia="宋体" w:cs="Times New Roman"/>
                <w:i/>
                <w:iCs/>
              </w:rPr>
              <w:t>Erinaceus amurensis</w:t>
            </w:r>
          </w:p>
        </w:tc>
        <w:tc>
          <w:tcPr>
            <w:tcW w:w="991" w:type="dxa"/>
            <w:shd w:val="clear" w:color="auto" w:fill="auto"/>
            <w:noWrap/>
            <w:vAlign w:val="center"/>
          </w:tcPr>
          <w:p w14:paraId="55C8F0E9">
            <w:pPr>
              <w:pStyle w:val="155"/>
              <w:jc w:val="center"/>
              <w:rPr>
                <w:rFonts w:hint="default" w:hAnsi="Times New Roman" w:eastAsia="宋体" w:cs="Times New Roman"/>
              </w:rPr>
            </w:pPr>
            <w:r>
              <w:rPr>
                <w:rFonts w:hint="default" w:hAnsi="Times New Roman" w:eastAsia="宋体" w:cs="Times New Roman"/>
              </w:rPr>
              <w:t>F B G</w:t>
            </w:r>
          </w:p>
        </w:tc>
        <w:tc>
          <w:tcPr>
            <w:tcW w:w="971" w:type="dxa"/>
            <w:shd w:val="clear" w:color="auto" w:fill="auto"/>
            <w:noWrap/>
            <w:vAlign w:val="center"/>
          </w:tcPr>
          <w:p w14:paraId="64D97C5B">
            <w:pPr>
              <w:pStyle w:val="155"/>
              <w:jc w:val="center"/>
              <w:rPr>
                <w:rFonts w:hint="default" w:hAnsi="Times New Roman" w:eastAsia="宋体" w:cs="Times New Roman"/>
              </w:rPr>
            </w:pPr>
            <w:r>
              <w:rPr>
                <w:rFonts w:hint="default" w:hAnsi="Times New Roman" w:eastAsia="宋体" w:cs="Times New Roman"/>
              </w:rPr>
              <w:t>+</w:t>
            </w:r>
          </w:p>
        </w:tc>
        <w:tc>
          <w:tcPr>
            <w:tcW w:w="971" w:type="dxa"/>
            <w:shd w:val="clear" w:color="auto" w:fill="auto"/>
            <w:noWrap/>
            <w:vAlign w:val="center"/>
          </w:tcPr>
          <w:p w14:paraId="5A8726E5">
            <w:pPr>
              <w:pStyle w:val="155"/>
              <w:jc w:val="center"/>
              <w:rPr>
                <w:rFonts w:hint="default" w:hAnsi="Times New Roman" w:eastAsia="宋体" w:cs="Times New Roman"/>
              </w:rPr>
            </w:pPr>
          </w:p>
        </w:tc>
        <w:tc>
          <w:tcPr>
            <w:tcW w:w="1332" w:type="dxa"/>
            <w:gridSpan w:val="2"/>
            <w:shd w:val="clear" w:color="auto" w:fill="auto"/>
            <w:noWrap/>
            <w:vAlign w:val="center"/>
          </w:tcPr>
          <w:p w14:paraId="737332A5">
            <w:pPr>
              <w:pStyle w:val="155"/>
              <w:jc w:val="center"/>
              <w:rPr>
                <w:rFonts w:hint="default" w:hAnsi="Times New Roman" w:eastAsia="宋体" w:cs="Times New Roman"/>
              </w:rPr>
            </w:pPr>
            <w:r>
              <w:rPr>
                <w:rFonts w:hint="default" w:hAnsi="Times New Roman" w:eastAsia="宋体" w:cs="Times New Roman"/>
              </w:rPr>
              <w:t>C</w:t>
            </w:r>
          </w:p>
        </w:tc>
      </w:tr>
      <w:tr w14:paraId="0E522148">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137" w:type="dxa"/>
            <w:noWrap/>
            <w:vAlign w:val="center"/>
          </w:tcPr>
          <w:p w14:paraId="172EB3FB">
            <w:pPr>
              <w:pStyle w:val="155"/>
              <w:jc w:val="center"/>
              <w:rPr>
                <w:rFonts w:hint="default" w:hAnsi="Times New Roman" w:eastAsia="宋体" w:cs="Times New Roman"/>
                <w:b/>
                <w:bCs w:val="0"/>
              </w:rPr>
            </w:pPr>
            <w:r>
              <w:rPr>
                <w:rFonts w:hint="default" w:hAnsi="宋体" w:eastAsia="宋体" w:cs="Times New Roman"/>
                <w:b/>
              </w:rPr>
              <w:t>二</w:t>
            </w:r>
          </w:p>
        </w:tc>
        <w:tc>
          <w:tcPr>
            <w:tcW w:w="1123" w:type="dxa"/>
            <w:noWrap/>
            <w:vAlign w:val="center"/>
          </w:tcPr>
          <w:p w14:paraId="238B01AF">
            <w:pPr>
              <w:pStyle w:val="155"/>
              <w:jc w:val="center"/>
              <w:rPr>
                <w:rFonts w:hint="default" w:hAnsi="Times New Roman" w:eastAsia="宋体" w:cs="Times New Roman"/>
                <w:b/>
                <w:bCs w:val="0"/>
              </w:rPr>
            </w:pPr>
            <w:r>
              <w:rPr>
                <w:rFonts w:hint="default" w:hAnsi="宋体" w:eastAsia="宋体" w:cs="Times New Roman"/>
                <w:b/>
              </w:rPr>
              <w:t>鼩鼱目</w:t>
            </w:r>
          </w:p>
        </w:tc>
        <w:tc>
          <w:tcPr>
            <w:tcW w:w="2546" w:type="dxa"/>
            <w:noWrap/>
            <w:vAlign w:val="center"/>
          </w:tcPr>
          <w:p w14:paraId="254F1AD6">
            <w:pPr>
              <w:pStyle w:val="155"/>
              <w:jc w:val="center"/>
              <w:rPr>
                <w:rFonts w:hint="default" w:hAnsi="Times New Roman" w:eastAsia="宋体" w:cs="Times New Roman"/>
                <w:b/>
                <w:bCs w:val="0"/>
              </w:rPr>
            </w:pPr>
            <w:r>
              <w:rPr>
                <w:rFonts w:hint="default" w:hAnsi="Times New Roman" w:eastAsia="宋体" w:cs="Times New Roman"/>
                <w:b/>
              </w:rPr>
              <w:t>SORICOMORPHA</w:t>
            </w:r>
          </w:p>
        </w:tc>
        <w:tc>
          <w:tcPr>
            <w:tcW w:w="991" w:type="dxa"/>
            <w:noWrap/>
            <w:vAlign w:val="center"/>
          </w:tcPr>
          <w:p w14:paraId="38599042">
            <w:pPr>
              <w:pStyle w:val="155"/>
              <w:jc w:val="center"/>
              <w:rPr>
                <w:rFonts w:hint="default" w:hAnsi="Times New Roman" w:eastAsia="宋体" w:cs="Times New Roman"/>
                <w:b/>
                <w:bCs w:val="0"/>
              </w:rPr>
            </w:pPr>
          </w:p>
        </w:tc>
        <w:tc>
          <w:tcPr>
            <w:tcW w:w="971" w:type="dxa"/>
            <w:noWrap/>
            <w:vAlign w:val="center"/>
          </w:tcPr>
          <w:p w14:paraId="32914416">
            <w:pPr>
              <w:pStyle w:val="155"/>
              <w:jc w:val="center"/>
              <w:rPr>
                <w:rFonts w:hint="default" w:hAnsi="Times New Roman" w:eastAsia="宋体" w:cs="Times New Roman"/>
                <w:b/>
                <w:bCs w:val="0"/>
              </w:rPr>
            </w:pPr>
          </w:p>
        </w:tc>
        <w:tc>
          <w:tcPr>
            <w:tcW w:w="971" w:type="dxa"/>
            <w:noWrap/>
            <w:vAlign w:val="center"/>
          </w:tcPr>
          <w:p w14:paraId="460898F8">
            <w:pPr>
              <w:pStyle w:val="155"/>
              <w:jc w:val="center"/>
              <w:rPr>
                <w:rFonts w:hint="default" w:hAnsi="Times New Roman" w:eastAsia="宋体" w:cs="Times New Roman"/>
                <w:b/>
                <w:bCs w:val="0"/>
              </w:rPr>
            </w:pPr>
          </w:p>
        </w:tc>
        <w:tc>
          <w:tcPr>
            <w:tcW w:w="1332" w:type="dxa"/>
            <w:gridSpan w:val="2"/>
            <w:noWrap/>
            <w:vAlign w:val="center"/>
          </w:tcPr>
          <w:p w14:paraId="4893857B">
            <w:pPr>
              <w:pStyle w:val="155"/>
              <w:jc w:val="center"/>
              <w:rPr>
                <w:rFonts w:hint="default" w:hAnsi="Times New Roman" w:eastAsia="宋体" w:cs="Times New Roman"/>
                <w:b/>
                <w:bCs w:val="0"/>
              </w:rPr>
            </w:pPr>
          </w:p>
        </w:tc>
      </w:tr>
      <w:tr w14:paraId="311E833C">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137" w:type="dxa"/>
            <w:noWrap/>
            <w:vAlign w:val="center"/>
          </w:tcPr>
          <w:p w14:paraId="666B7C94">
            <w:pPr>
              <w:pStyle w:val="155"/>
              <w:jc w:val="center"/>
              <w:rPr>
                <w:rFonts w:hint="default" w:hAnsi="Times New Roman" w:eastAsia="宋体" w:cs="Times New Roman"/>
                <w:b/>
                <w:bCs w:val="0"/>
              </w:rPr>
            </w:pPr>
            <w:r>
              <w:rPr>
                <w:rFonts w:hint="default" w:hAnsi="宋体" w:eastAsia="宋体" w:cs="Times New Roman"/>
                <w:b/>
              </w:rPr>
              <w:t>（二）</w:t>
            </w:r>
          </w:p>
        </w:tc>
        <w:tc>
          <w:tcPr>
            <w:tcW w:w="1123" w:type="dxa"/>
            <w:noWrap/>
            <w:vAlign w:val="center"/>
          </w:tcPr>
          <w:p w14:paraId="45AC4233">
            <w:pPr>
              <w:pStyle w:val="155"/>
              <w:jc w:val="center"/>
              <w:rPr>
                <w:rFonts w:hint="default" w:hAnsi="Times New Roman" w:eastAsia="宋体" w:cs="Times New Roman"/>
                <w:b/>
                <w:bCs w:val="0"/>
              </w:rPr>
            </w:pPr>
            <w:r>
              <w:rPr>
                <w:rFonts w:hint="default" w:hAnsi="宋体" w:eastAsia="宋体" w:cs="Times New Roman"/>
                <w:b/>
              </w:rPr>
              <w:t>鼩鼱科</w:t>
            </w:r>
          </w:p>
        </w:tc>
        <w:tc>
          <w:tcPr>
            <w:tcW w:w="2546" w:type="dxa"/>
            <w:noWrap/>
            <w:vAlign w:val="center"/>
          </w:tcPr>
          <w:p w14:paraId="2A39269B">
            <w:pPr>
              <w:pStyle w:val="155"/>
              <w:jc w:val="center"/>
              <w:rPr>
                <w:rFonts w:hint="default" w:hAnsi="Times New Roman" w:eastAsia="宋体" w:cs="Times New Roman"/>
                <w:b/>
                <w:bCs w:val="0"/>
              </w:rPr>
            </w:pPr>
            <w:r>
              <w:rPr>
                <w:rFonts w:hint="default" w:hAnsi="Times New Roman" w:eastAsia="宋体" w:cs="Times New Roman"/>
                <w:b/>
              </w:rPr>
              <w:t>Soricidae</w:t>
            </w:r>
          </w:p>
        </w:tc>
        <w:tc>
          <w:tcPr>
            <w:tcW w:w="991" w:type="dxa"/>
            <w:noWrap/>
            <w:vAlign w:val="center"/>
          </w:tcPr>
          <w:p w14:paraId="0C5AD19E">
            <w:pPr>
              <w:pStyle w:val="155"/>
              <w:jc w:val="center"/>
              <w:rPr>
                <w:rFonts w:hint="default" w:hAnsi="Times New Roman" w:eastAsia="宋体" w:cs="Times New Roman"/>
                <w:b/>
                <w:bCs w:val="0"/>
              </w:rPr>
            </w:pPr>
          </w:p>
        </w:tc>
        <w:tc>
          <w:tcPr>
            <w:tcW w:w="971" w:type="dxa"/>
            <w:noWrap/>
            <w:vAlign w:val="center"/>
          </w:tcPr>
          <w:p w14:paraId="5D9CBAEC">
            <w:pPr>
              <w:pStyle w:val="155"/>
              <w:jc w:val="center"/>
              <w:rPr>
                <w:rFonts w:hint="default" w:hAnsi="Times New Roman" w:eastAsia="宋体" w:cs="Times New Roman"/>
                <w:b/>
                <w:bCs w:val="0"/>
              </w:rPr>
            </w:pPr>
          </w:p>
        </w:tc>
        <w:tc>
          <w:tcPr>
            <w:tcW w:w="971" w:type="dxa"/>
            <w:noWrap/>
            <w:vAlign w:val="center"/>
          </w:tcPr>
          <w:p w14:paraId="5C9301C0">
            <w:pPr>
              <w:pStyle w:val="155"/>
              <w:jc w:val="center"/>
              <w:rPr>
                <w:rFonts w:hint="default" w:hAnsi="Times New Roman" w:eastAsia="宋体" w:cs="Times New Roman"/>
                <w:b/>
                <w:bCs w:val="0"/>
              </w:rPr>
            </w:pPr>
          </w:p>
        </w:tc>
        <w:tc>
          <w:tcPr>
            <w:tcW w:w="1332" w:type="dxa"/>
            <w:gridSpan w:val="2"/>
            <w:noWrap/>
            <w:vAlign w:val="center"/>
          </w:tcPr>
          <w:p w14:paraId="001560A9">
            <w:pPr>
              <w:pStyle w:val="155"/>
              <w:jc w:val="center"/>
              <w:rPr>
                <w:rFonts w:hint="default" w:hAnsi="Times New Roman" w:eastAsia="宋体" w:cs="Times New Roman"/>
                <w:b/>
                <w:bCs w:val="0"/>
              </w:rPr>
            </w:pPr>
          </w:p>
        </w:tc>
      </w:tr>
      <w:tr w14:paraId="2857DC88">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137" w:type="dxa"/>
            <w:noWrap/>
            <w:vAlign w:val="center"/>
          </w:tcPr>
          <w:p w14:paraId="54E7D6C9">
            <w:pPr>
              <w:pStyle w:val="155"/>
              <w:jc w:val="center"/>
              <w:rPr>
                <w:rFonts w:hint="default" w:hAnsi="Times New Roman" w:eastAsia="宋体" w:cs="Times New Roman"/>
              </w:rPr>
            </w:pPr>
            <w:r>
              <w:rPr>
                <w:rFonts w:hint="default" w:hAnsi="Times New Roman" w:eastAsia="宋体" w:cs="Times New Roman"/>
              </w:rPr>
              <w:t>2</w:t>
            </w:r>
          </w:p>
        </w:tc>
        <w:tc>
          <w:tcPr>
            <w:tcW w:w="1123" w:type="dxa"/>
            <w:noWrap/>
            <w:vAlign w:val="center"/>
          </w:tcPr>
          <w:p w14:paraId="1B812F8B">
            <w:pPr>
              <w:pStyle w:val="155"/>
              <w:jc w:val="center"/>
              <w:rPr>
                <w:rFonts w:hint="default" w:hAnsi="Times New Roman" w:eastAsia="宋体" w:cs="Times New Roman"/>
              </w:rPr>
            </w:pPr>
            <w:r>
              <w:rPr>
                <w:rFonts w:hint="default" w:hAnsi="宋体" w:eastAsia="宋体" w:cs="Times New Roman"/>
              </w:rPr>
              <w:t>普通鼩鼱</w:t>
            </w:r>
          </w:p>
        </w:tc>
        <w:tc>
          <w:tcPr>
            <w:tcW w:w="2546" w:type="dxa"/>
            <w:noWrap/>
            <w:vAlign w:val="center"/>
          </w:tcPr>
          <w:p w14:paraId="3E053206">
            <w:pPr>
              <w:pStyle w:val="155"/>
              <w:jc w:val="center"/>
              <w:rPr>
                <w:rFonts w:hint="default" w:hAnsi="Times New Roman" w:eastAsia="宋体" w:cs="Times New Roman"/>
              </w:rPr>
            </w:pPr>
            <w:r>
              <w:rPr>
                <w:rFonts w:hint="default" w:hAnsi="Times New Roman" w:eastAsia="宋体" w:cs="Times New Roman"/>
                <w:i/>
                <w:iCs/>
              </w:rPr>
              <w:t>Sorex araneus</w:t>
            </w:r>
          </w:p>
        </w:tc>
        <w:tc>
          <w:tcPr>
            <w:tcW w:w="991" w:type="dxa"/>
            <w:noWrap/>
            <w:vAlign w:val="center"/>
          </w:tcPr>
          <w:p w14:paraId="57D5D83A">
            <w:pPr>
              <w:pStyle w:val="155"/>
              <w:jc w:val="center"/>
              <w:rPr>
                <w:rFonts w:hint="default" w:hAnsi="Times New Roman" w:eastAsia="宋体" w:cs="Times New Roman"/>
              </w:rPr>
            </w:pPr>
            <w:r>
              <w:rPr>
                <w:rFonts w:hint="default" w:hAnsi="Times New Roman" w:eastAsia="宋体" w:cs="Times New Roman"/>
              </w:rPr>
              <w:t>B G</w:t>
            </w:r>
          </w:p>
        </w:tc>
        <w:tc>
          <w:tcPr>
            <w:tcW w:w="971" w:type="dxa"/>
            <w:noWrap/>
            <w:vAlign w:val="center"/>
          </w:tcPr>
          <w:p w14:paraId="73AE1CE0">
            <w:pPr>
              <w:pStyle w:val="155"/>
              <w:jc w:val="center"/>
              <w:rPr>
                <w:rFonts w:hint="default" w:hAnsi="Times New Roman" w:eastAsia="宋体" w:cs="Times New Roman"/>
              </w:rPr>
            </w:pPr>
            <w:r>
              <w:rPr>
                <w:rFonts w:hint="default" w:hAnsi="Times New Roman" w:eastAsia="宋体" w:cs="Times New Roman"/>
              </w:rPr>
              <w:t>+</w:t>
            </w:r>
          </w:p>
        </w:tc>
        <w:tc>
          <w:tcPr>
            <w:tcW w:w="971" w:type="dxa"/>
            <w:noWrap/>
            <w:vAlign w:val="center"/>
          </w:tcPr>
          <w:p w14:paraId="760BBC05">
            <w:pPr>
              <w:pStyle w:val="155"/>
              <w:jc w:val="center"/>
              <w:rPr>
                <w:rFonts w:hint="default" w:hAnsi="Times New Roman" w:eastAsia="宋体" w:cs="Times New Roman"/>
              </w:rPr>
            </w:pPr>
          </w:p>
        </w:tc>
        <w:tc>
          <w:tcPr>
            <w:tcW w:w="1332" w:type="dxa"/>
            <w:gridSpan w:val="2"/>
            <w:noWrap/>
            <w:vAlign w:val="center"/>
          </w:tcPr>
          <w:p w14:paraId="279EDA69">
            <w:pPr>
              <w:pStyle w:val="155"/>
              <w:jc w:val="center"/>
              <w:rPr>
                <w:rFonts w:hint="default" w:hAnsi="Times New Roman" w:eastAsia="宋体" w:cs="Times New Roman"/>
              </w:rPr>
            </w:pPr>
            <w:r>
              <w:rPr>
                <w:rFonts w:hint="default" w:hAnsi="Times New Roman" w:eastAsia="宋体" w:cs="Times New Roman"/>
              </w:rPr>
              <w:t>P</w:t>
            </w:r>
          </w:p>
        </w:tc>
      </w:tr>
      <w:tr w14:paraId="014742D1">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137" w:type="dxa"/>
            <w:noWrap/>
            <w:vAlign w:val="center"/>
          </w:tcPr>
          <w:p w14:paraId="2161BE9B">
            <w:pPr>
              <w:pStyle w:val="155"/>
              <w:jc w:val="center"/>
              <w:rPr>
                <w:rFonts w:hint="default" w:hAnsi="Times New Roman" w:eastAsia="宋体" w:cs="Times New Roman"/>
                <w:b/>
                <w:bCs w:val="0"/>
              </w:rPr>
            </w:pPr>
            <w:r>
              <w:rPr>
                <w:rFonts w:hint="default" w:hAnsi="宋体" w:eastAsia="宋体" w:cs="Times New Roman"/>
                <w:b/>
              </w:rPr>
              <w:t>三</w:t>
            </w:r>
          </w:p>
        </w:tc>
        <w:tc>
          <w:tcPr>
            <w:tcW w:w="1123" w:type="dxa"/>
            <w:noWrap/>
            <w:vAlign w:val="center"/>
          </w:tcPr>
          <w:p w14:paraId="2C61F485">
            <w:pPr>
              <w:pStyle w:val="155"/>
              <w:jc w:val="center"/>
              <w:rPr>
                <w:rFonts w:hint="default" w:hAnsi="Times New Roman" w:eastAsia="宋体" w:cs="Times New Roman"/>
                <w:b/>
                <w:bCs w:val="0"/>
              </w:rPr>
            </w:pPr>
            <w:r>
              <w:rPr>
                <w:rFonts w:hint="default" w:hAnsi="宋体" w:eastAsia="宋体" w:cs="Times New Roman"/>
                <w:b/>
              </w:rPr>
              <w:t>翼手目</w:t>
            </w:r>
          </w:p>
        </w:tc>
        <w:tc>
          <w:tcPr>
            <w:tcW w:w="2546" w:type="dxa"/>
            <w:noWrap/>
            <w:vAlign w:val="center"/>
          </w:tcPr>
          <w:p w14:paraId="6A449AF9">
            <w:pPr>
              <w:pStyle w:val="155"/>
              <w:jc w:val="center"/>
              <w:rPr>
                <w:rFonts w:hint="default" w:hAnsi="Times New Roman" w:eastAsia="宋体" w:cs="Times New Roman"/>
                <w:b/>
                <w:bCs w:val="0"/>
              </w:rPr>
            </w:pPr>
            <w:r>
              <w:rPr>
                <w:rFonts w:hint="default" w:hAnsi="Times New Roman" w:eastAsia="宋体" w:cs="Times New Roman"/>
                <w:b/>
              </w:rPr>
              <w:t>CHIROPTERA</w:t>
            </w:r>
          </w:p>
        </w:tc>
        <w:tc>
          <w:tcPr>
            <w:tcW w:w="991" w:type="dxa"/>
            <w:noWrap/>
            <w:vAlign w:val="center"/>
          </w:tcPr>
          <w:p w14:paraId="0416BDF2">
            <w:pPr>
              <w:pStyle w:val="155"/>
              <w:jc w:val="center"/>
              <w:rPr>
                <w:rFonts w:hint="default" w:hAnsi="Times New Roman" w:eastAsia="宋体" w:cs="Times New Roman"/>
                <w:b/>
                <w:bCs w:val="0"/>
              </w:rPr>
            </w:pPr>
          </w:p>
        </w:tc>
        <w:tc>
          <w:tcPr>
            <w:tcW w:w="971" w:type="dxa"/>
            <w:noWrap/>
            <w:vAlign w:val="center"/>
          </w:tcPr>
          <w:p w14:paraId="617B957B">
            <w:pPr>
              <w:pStyle w:val="155"/>
              <w:jc w:val="center"/>
              <w:rPr>
                <w:rFonts w:hint="default" w:hAnsi="Times New Roman" w:eastAsia="宋体" w:cs="Times New Roman"/>
                <w:b/>
                <w:bCs w:val="0"/>
              </w:rPr>
            </w:pPr>
          </w:p>
        </w:tc>
        <w:tc>
          <w:tcPr>
            <w:tcW w:w="971" w:type="dxa"/>
            <w:noWrap/>
            <w:vAlign w:val="center"/>
          </w:tcPr>
          <w:p w14:paraId="0F77182D">
            <w:pPr>
              <w:pStyle w:val="155"/>
              <w:jc w:val="center"/>
              <w:rPr>
                <w:rFonts w:hint="default" w:hAnsi="Times New Roman" w:eastAsia="宋体" w:cs="Times New Roman"/>
                <w:b/>
                <w:bCs w:val="0"/>
              </w:rPr>
            </w:pPr>
          </w:p>
        </w:tc>
        <w:tc>
          <w:tcPr>
            <w:tcW w:w="1332" w:type="dxa"/>
            <w:gridSpan w:val="2"/>
            <w:noWrap/>
            <w:vAlign w:val="center"/>
          </w:tcPr>
          <w:p w14:paraId="386D746D">
            <w:pPr>
              <w:pStyle w:val="155"/>
              <w:jc w:val="center"/>
              <w:rPr>
                <w:rFonts w:hint="default" w:hAnsi="Times New Roman" w:eastAsia="宋体" w:cs="Times New Roman"/>
                <w:b/>
                <w:bCs w:val="0"/>
              </w:rPr>
            </w:pPr>
          </w:p>
        </w:tc>
      </w:tr>
      <w:tr w14:paraId="0922CF3D">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137" w:type="dxa"/>
            <w:noWrap/>
            <w:vAlign w:val="center"/>
          </w:tcPr>
          <w:p w14:paraId="4652C790">
            <w:pPr>
              <w:pStyle w:val="155"/>
              <w:jc w:val="center"/>
              <w:rPr>
                <w:rFonts w:hint="default" w:hAnsi="Times New Roman" w:eastAsia="宋体" w:cs="Times New Roman"/>
                <w:b/>
                <w:bCs w:val="0"/>
              </w:rPr>
            </w:pPr>
            <w:r>
              <w:rPr>
                <w:rFonts w:hint="default" w:hAnsi="宋体" w:eastAsia="宋体" w:cs="Times New Roman"/>
                <w:b/>
              </w:rPr>
              <w:t>（三）</w:t>
            </w:r>
          </w:p>
        </w:tc>
        <w:tc>
          <w:tcPr>
            <w:tcW w:w="1123" w:type="dxa"/>
            <w:noWrap/>
            <w:vAlign w:val="center"/>
          </w:tcPr>
          <w:p w14:paraId="446ACB1F">
            <w:pPr>
              <w:pStyle w:val="155"/>
              <w:jc w:val="center"/>
              <w:rPr>
                <w:rFonts w:hint="default" w:hAnsi="Times New Roman" w:eastAsia="宋体" w:cs="Times New Roman"/>
                <w:b/>
                <w:bCs w:val="0"/>
              </w:rPr>
            </w:pPr>
            <w:r>
              <w:rPr>
                <w:rFonts w:hint="default" w:hAnsi="宋体" w:eastAsia="宋体" w:cs="Times New Roman"/>
                <w:b/>
              </w:rPr>
              <w:t>蝙蝠科</w:t>
            </w:r>
          </w:p>
        </w:tc>
        <w:tc>
          <w:tcPr>
            <w:tcW w:w="2546" w:type="dxa"/>
            <w:noWrap/>
            <w:vAlign w:val="center"/>
          </w:tcPr>
          <w:p w14:paraId="08FB1F9E">
            <w:pPr>
              <w:pStyle w:val="155"/>
              <w:jc w:val="center"/>
              <w:rPr>
                <w:rFonts w:hint="default" w:hAnsi="Times New Roman" w:eastAsia="宋体" w:cs="Times New Roman"/>
                <w:b/>
                <w:bCs w:val="0"/>
              </w:rPr>
            </w:pPr>
            <w:r>
              <w:rPr>
                <w:rFonts w:hint="default" w:hAnsi="Times New Roman" w:eastAsia="宋体" w:cs="Times New Roman"/>
                <w:b/>
              </w:rPr>
              <w:t>Vespertilionidae</w:t>
            </w:r>
          </w:p>
        </w:tc>
        <w:tc>
          <w:tcPr>
            <w:tcW w:w="991" w:type="dxa"/>
            <w:noWrap/>
            <w:vAlign w:val="center"/>
          </w:tcPr>
          <w:p w14:paraId="70432FF7">
            <w:pPr>
              <w:pStyle w:val="155"/>
              <w:jc w:val="center"/>
              <w:rPr>
                <w:rFonts w:hint="default" w:hAnsi="Times New Roman" w:eastAsia="宋体" w:cs="Times New Roman"/>
                <w:b/>
                <w:bCs w:val="0"/>
              </w:rPr>
            </w:pPr>
          </w:p>
        </w:tc>
        <w:tc>
          <w:tcPr>
            <w:tcW w:w="971" w:type="dxa"/>
            <w:noWrap/>
            <w:vAlign w:val="center"/>
          </w:tcPr>
          <w:p w14:paraId="0A1DC463">
            <w:pPr>
              <w:pStyle w:val="155"/>
              <w:jc w:val="center"/>
              <w:rPr>
                <w:rFonts w:hint="default" w:hAnsi="Times New Roman" w:eastAsia="宋体" w:cs="Times New Roman"/>
                <w:b/>
                <w:bCs w:val="0"/>
              </w:rPr>
            </w:pPr>
          </w:p>
        </w:tc>
        <w:tc>
          <w:tcPr>
            <w:tcW w:w="971" w:type="dxa"/>
            <w:noWrap/>
            <w:vAlign w:val="center"/>
          </w:tcPr>
          <w:p w14:paraId="14F0F6A4">
            <w:pPr>
              <w:pStyle w:val="155"/>
              <w:jc w:val="center"/>
              <w:rPr>
                <w:rFonts w:hint="default" w:hAnsi="Times New Roman" w:eastAsia="宋体" w:cs="Times New Roman"/>
                <w:b/>
                <w:bCs w:val="0"/>
              </w:rPr>
            </w:pPr>
          </w:p>
        </w:tc>
        <w:tc>
          <w:tcPr>
            <w:tcW w:w="1332" w:type="dxa"/>
            <w:gridSpan w:val="2"/>
            <w:noWrap/>
            <w:vAlign w:val="center"/>
          </w:tcPr>
          <w:p w14:paraId="3A1086CA">
            <w:pPr>
              <w:pStyle w:val="155"/>
              <w:jc w:val="center"/>
              <w:rPr>
                <w:rFonts w:hint="default" w:hAnsi="Times New Roman" w:eastAsia="宋体" w:cs="Times New Roman"/>
                <w:b/>
                <w:bCs w:val="0"/>
              </w:rPr>
            </w:pPr>
          </w:p>
        </w:tc>
      </w:tr>
      <w:tr w14:paraId="02D7531E">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137" w:type="dxa"/>
            <w:noWrap/>
            <w:vAlign w:val="center"/>
          </w:tcPr>
          <w:p w14:paraId="4BF10D9E">
            <w:pPr>
              <w:pStyle w:val="155"/>
              <w:jc w:val="center"/>
              <w:rPr>
                <w:rFonts w:hint="default" w:hAnsi="Times New Roman" w:eastAsia="宋体" w:cs="Times New Roman"/>
              </w:rPr>
            </w:pPr>
            <w:r>
              <w:rPr>
                <w:rFonts w:hint="default" w:hAnsi="Times New Roman" w:eastAsia="宋体" w:cs="Times New Roman"/>
              </w:rPr>
              <w:t>3</w:t>
            </w:r>
          </w:p>
        </w:tc>
        <w:tc>
          <w:tcPr>
            <w:tcW w:w="1123" w:type="dxa"/>
            <w:noWrap/>
            <w:vAlign w:val="center"/>
          </w:tcPr>
          <w:p w14:paraId="231EA72E">
            <w:pPr>
              <w:pStyle w:val="155"/>
              <w:jc w:val="center"/>
              <w:rPr>
                <w:rFonts w:hint="default" w:hAnsi="Times New Roman" w:eastAsia="宋体" w:cs="Times New Roman"/>
              </w:rPr>
            </w:pPr>
            <w:r>
              <w:rPr>
                <w:rFonts w:hint="default" w:hAnsi="宋体" w:eastAsia="宋体" w:cs="Times New Roman"/>
              </w:rPr>
              <w:t>普通蝙蝠</w:t>
            </w:r>
          </w:p>
        </w:tc>
        <w:tc>
          <w:tcPr>
            <w:tcW w:w="2546" w:type="dxa"/>
            <w:noWrap/>
            <w:vAlign w:val="center"/>
          </w:tcPr>
          <w:p w14:paraId="1DA5F8A1">
            <w:pPr>
              <w:pStyle w:val="155"/>
              <w:jc w:val="center"/>
              <w:rPr>
                <w:rFonts w:hint="default" w:hAnsi="Times New Roman" w:eastAsia="宋体" w:cs="Times New Roman"/>
              </w:rPr>
            </w:pPr>
            <w:r>
              <w:rPr>
                <w:rFonts w:hint="default" w:hAnsi="Times New Roman" w:eastAsia="宋体" w:cs="Times New Roman"/>
                <w:i/>
                <w:iCs/>
              </w:rPr>
              <w:t>Vespertilio murinus</w:t>
            </w:r>
          </w:p>
        </w:tc>
        <w:tc>
          <w:tcPr>
            <w:tcW w:w="991" w:type="dxa"/>
            <w:noWrap/>
            <w:vAlign w:val="center"/>
          </w:tcPr>
          <w:p w14:paraId="01571541">
            <w:pPr>
              <w:pStyle w:val="155"/>
              <w:jc w:val="center"/>
              <w:rPr>
                <w:rFonts w:hint="default" w:hAnsi="Times New Roman" w:eastAsia="宋体" w:cs="Times New Roman"/>
              </w:rPr>
            </w:pPr>
            <w:r>
              <w:rPr>
                <w:rFonts w:hint="default" w:hAnsi="Times New Roman" w:eastAsia="宋体" w:cs="Times New Roman"/>
              </w:rPr>
              <w:t>M</w:t>
            </w:r>
          </w:p>
        </w:tc>
        <w:tc>
          <w:tcPr>
            <w:tcW w:w="971" w:type="dxa"/>
            <w:noWrap/>
            <w:vAlign w:val="center"/>
          </w:tcPr>
          <w:p w14:paraId="3AEE3C0F">
            <w:pPr>
              <w:pStyle w:val="155"/>
              <w:jc w:val="center"/>
              <w:rPr>
                <w:rFonts w:hint="default" w:hAnsi="Times New Roman" w:eastAsia="宋体" w:cs="Times New Roman"/>
              </w:rPr>
            </w:pPr>
            <w:r>
              <w:rPr>
                <w:rFonts w:hint="default" w:hAnsi="Times New Roman" w:eastAsia="宋体" w:cs="Times New Roman"/>
              </w:rPr>
              <w:t>++</w:t>
            </w:r>
          </w:p>
        </w:tc>
        <w:tc>
          <w:tcPr>
            <w:tcW w:w="971" w:type="dxa"/>
            <w:noWrap/>
            <w:vAlign w:val="center"/>
          </w:tcPr>
          <w:p w14:paraId="7A1D9B09">
            <w:pPr>
              <w:pStyle w:val="155"/>
              <w:jc w:val="center"/>
              <w:rPr>
                <w:rFonts w:hint="default" w:hAnsi="Times New Roman" w:eastAsia="宋体" w:cs="Times New Roman"/>
              </w:rPr>
            </w:pPr>
          </w:p>
        </w:tc>
        <w:tc>
          <w:tcPr>
            <w:tcW w:w="1332" w:type="dxa"/>
            <w:gridSpan w:val="2"/>
            <w:noWrap/>
            <w:vAlign w:val="center"/>
          </w:tcPr>
          <w:p w14:paraId="4E2B5B47">
            <w:pPr>
              <w:pStyle w:val="155"/>
              <w:jc w:val="center"/>
              <w:rPr>
                <w:rFonts w:hint="default" w:hAnsi="Times New Roman" w:eastAsia="宋体" w:cs="Times New Roman"/>
              </w:rPr>
            </w:pPr>
            <w:r>
              <w:rPr>
                <w:rFonts w:hint="default" w:hAnsi="Times New Roman" w:eastAsia="宋体" w:cs="Times New Roman"/>
              </w:rPr>
              <w:t>P</w:t>
            </w:r>
          </w:p>
        </w:tc>
      </w:tr>
      <w:tr w14:paraId="77EDD768">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137" w:type="dxa"/>
            <w:noWrap/>
            <w:vAlign w:val="center"/>
          </w:tcPr>
          <w:p w14:paraId="6F7CEC29">
            <w:pPr>
              <w:pStyle w:val="155"/>
              <w:jc w:val="center"/>
              <w:rPr>
                <w:rFonts w:hint="default" w:hAnsi="Times New Roman" w:eastAsia="宋体" w:cs="Times New Roman"/>
                <w:b/>
                <w:bCs w:val="0"/>
              </w:rPr>
            </w:pPr>
            <w:r>
              <w:rPr>
                <w:rFonts w:hint="default" w:hAnsi="宋体" w:eastAsia="宋体" w:cs="Times New Roman"/>
                <w:b/>
              </w:rPr>
              <w:t>四</w:t>
            </w:r>
          </w:p>
        </w:tc>
        <w:tc>
          <w:tcPr>
            <w:tcW w:w="1123" w:type="dxa"/>
            <w:noWrap/>
            <w:vAlign w:val="center"/>
          </w:tcPr>
          <w:p w14:paraId="3CDD3B47">
            <w:pPr>
              <w:pStyle w:val="155"/>
              <w:jc w:val="center"/>
              <w:rPr>
                <w:rFonts w:hint="default" w:hAnsi="Times New Roman" w:eastAsia="宋体" w:cs="Times New Roman"/>
                <w:b/>
                <w:bCs w:val="0"/>
              </w:rPr>
            </w:pPr>
            <w:r>
              <w:rPr>
                <w:rFonts w:hint="default" w:hAnsi="宋体" w:eastAsia="宋体" w:cs="Times New Roman"/>
                <w:b/>
              </w:rPr>
              <w:t>食肉目</w:t>
            </w:r>
          </w:p>
        </w:tc>
        <w:tc>
          <w:tcPr>
            <w:tcW w:w="2546" w:type="dxa"/>
            <w:noWrap/>
            <w:vAlign w:val="center"/>
          </w:tcPr>
          <w:p w14:paraId="27E47A3D">
            <w:pPr>
              <w:pStyle w:val="155"/>
              <w:jc w:val="center"/>
              <w:rPr>
                <w:rFonts w:hint="default" w:hAnsi="Times New Roman" w:eastAsia="宋体" w:cs="Times New Roman"/>
                <w:b/>
                <w:bCs w:val="0"/>
              </w:rPr>
            </w:pPr>
            <w:r>
              <w:rPr>
                <w:rFonts w:hint="default" w:hAnsi="Times New Roman" w:eastAsia="宋体" w:cs="Times New Roman"/>
                <w:b/>
              </w:rPr>
              <w:t>CARNIVORA</w:t>
            </w:r>
          </w:p>
        </w:tc>
        <w:tc>
          <w:tcPr>
            <w:tcW w:w="991" w:type="dxa"/>
            <w:noWrap/>
            <w:vAlign w:val="center"/>
          </w:tcPr>
          <w:p w14:paraId="6B7D72CF">
            <w:pPr>
              <w:pStyle w:val="155"/>
              <w:jc w:val="center"/>
              <w:rPr>
                <w:rFonts w:hint="default" w:hAnsi="Times New Roman" w:eastAsia="宋体" w:cs="Times New Roman"/>
                <w:b/>
                <w:bCs w:val="0"/>
              </w:rPr>
            </w:pPr>
          </w:p>
        </w:tc>
        <w:tc>
          <w:tcPr>
            <w:tcW w:w="971" w:type="dxa"/>
            <w:noWrap/>
            <w:vAlign w:val="center"/>
          </w:tcPr>
          <w:p w14:paraId="5860EF49">
            <w:pPr>
              <w:pStyle w:val="155"/>
              <w:jc w:val="center"/>
              <w:rPr>
                <w:rFonts w:hint="default" w:hAnsi="Times New Roman" w:eastAsia="宋体" w:cs="Times New Roman"/>
                <w:b/>
                <w:bCs w:val="0"/>
              </w:rPr>
            </w:pPr>
          </w:p>
        </w:tc>
        <w:tc>
          <w:tcPr>
            <w:tcW w:w="971" w:type="dxa"/>
            <w:noWrap/>
            <w:vAlign w:val="center"/>
          </w:tcPr>
          <w:p w14:paraId="23859767">
            <w:pPr>
              <w:pStyle w:val="155"/>
              <w:jc w:val="center"/>
              <w:rPr>
                <w:rFonts w:hint="default" w:hAnsi="Times New Roman" w:eastAsia="宋体" w:cs="Times New Roman"/>
                <w:b/>
                <w:bCs w:val="0"/>
              </w:rPr>
            </w:pPr>
          </w:p>
        </w:tc>
        <w:tc>
          <w:tcPr>
            <w:tcW w:w="1332" w:type="dxa"/>
            <w:gridSpan w:val="2"/>
            <w:noWrap/>
            <w:vAlign w:val="center"/>
          </w:tcPr>
          <w:p w14:paraId="68CBFE16">
            <w:pPr>
              <w:pStyle w:val="155"/>
              <w:jc w:val="center"/>
              <w:rPr>
                <w:rFonts w:hint="default" w:hAnsi="Times New Roman" w:eastAsia="宋体" w:cs="Times New Roman"/>
                <w:b/>
                <w:bCs w:val="0"/>
              </w:rPr>
            </w:pPr>
          </w:p>
        </w:tc>
      </w:tr>
      <w:tr w14:paraId="5BF8CEFF">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137" w:type="dxa"/>
            <w:noWrap/>
            <w:vAlign w:val="center"/>
          </w:tcPr>
          <w:p w14:paraId="704DF112">
            <w:pPr>
              <w:pStyle w:val="155"/>
              <w:jc w:val="center"/>
              <w:rPr>
                <w:rFonts w:hint="default" w:hAnsi="Times New Roman" w:eastAsia="宋体" w:cs="Times New Roman"/>
                <w:b/>
                <w:bCs w:val="0"/>
              </w:rPr>
            </w:pPr>
            <w:r>
              <w:rPr>
                <w:rFonts w:hint="default" w:hAnsi="宋体" w:eastAsia="宋体" w:cs="Times New Roman"/>
                <w:b/>
              </w:rPr>
              <w:t>（四）</w:t>
            </w:r>
          </w:p>
        </w:tc>
        <w:tc>
          <w:tcPr>
            <w:tcW w:w="1123" w:type="dxa"/>
            <w:noWrap/>
            <w:vAlign w:val="center"/>
          </w:tcPr>
          <w:p w14:paraId="10A704BC">
            <w:pPr>
              <w:pStyle w:val="155"/>
              <w:jc w:val="center"/>
              <w:rPr>
                <w:rFonts w:hint="default" w:hAnsi="Times New Roman" w:eastAsia="宋体" w:cs="Times New Roman"/>
                <w:b/>
                <w:bCs w:val="0"/>
              </w:rPr>
            </w:pPr>
            <w:r>
              <w:rPr>
                <w:rFonts w:hint="default" w:hAnsi="宋体" w:eastAsia="宋体" w:cs="Times New Roman"/>
                <w:b/>
              </w:rPr>
              <w:t>犬科</w:t>
            </w:r>
          </w:p>
        </w:tc>
        <w:tc>
          <w:tcPr>
            <w:tcW w:w="2546" w:type="dxa"/>
            <w:noWrap/>
            <w:vAlign w:val="center"/>
          </w:tcPr>
          <w:p w14:paraId="279B623F">
            <w:pPr>
              <w:pStyle w:val="155"/>
              <w:jc w:val="center"/>
              <w:rPr>
                <w:rFonts w:hint="default" w:hAnsi="Times New Roman" w:eastAsia="宋体" w:cs="Times New Roman"/>
                <w:b/>
                <w:bCs w:val="0"/>
              </w:rPr>
            </w:pPr>
            <w:r>
              <w:rPr>
                <w:rFonts w:hint="default" w:hAnsi="Times New Roman" w:eastAsia="宋体" w:cs="Times New Roman"/>
                <w:b/>
              </w:rPr>
              <w:t>Canidac</w:t>
            </w:r>
          </w:p>
        </w:tc>
        <w:tc>
          <w:tcPr>
            <w:tcW w:w="991" w:type="dxa"/>
            <w:noWrap/>
            <w:vAlign w:val="center"/>
          </w:tcPr>
          <w:p w14:paraId="224005CB">
            <w:pPr>
              <w:pStyle w:val="155"/>
              <w:jc w:val="center"/>
              <w:rPr>
                <w:rFonts w:hint="default" w:hAnsi="Times New Roman" w:eastAsia="宋体" w:cs="Times New Roman"/>
                <w:b/>
                <w:bCs w:val="0"/>
              </w:rPr>
            </w:pPr>
          </w:p>
        </w:tc>
        <w:tc>
          <w:tcPr>
            <w:tcW w:w="971" w:type="dxa"/>
            <w:noWrap/>
            <w:vAlign w:val="center"/>
          </w:tcPr>
          <w:p w14:paraId="7901BA18">
            <w:pPr>
              <w:pStyle w:val="155"/>
              <w:jc w:val="center"/>
              <w:rPr>
                <w:rFonts w:hint="default" w:hAnsi="Times New Roman" w:eastAsia="宋体" w:cs="Times New Roman"/>
                <w:b/>
                <w:bCs w:val="0"/>
              </w:rPr>
            </w:pPr>
          </w:p>
        </w:tc>
        <w:tc>
          <w:tcPr>
            <w:tcW w:w="971" w:type="dxa"/>
            <w:noWrap/>
            <w:vAlign w:val="center"/>
          </w:tcPr>
          <w:p w14:paraId="11A78C6F">
            <w:pPr>
              <w:pStyle w:val="155"/>
              <w:jc w:val="center"/>
              <w:rPr>
                <w:rFonts w:hint="default" w:hAnsi="Times New Roman" w:eastAsia="宋体" w:cs="Times New Roman"/>
                <w:b/>
                <w:bCs w:val="0"/>
              </w:rPr>
            </w:pPr>
          </w:p>
        </w:tc>
        <w:tc>
          <w:tcPr>
            <w:tcW w:w="1332" w:type="dxa"/>
            <w:gridSpan w:val="2"/>
            <w:noWrap/>
            <w:vAlign w:val="center"/>
          </w:tcPr>
          <w:p w14:paraId="206DB40F">
            <w:pPr>
              <w:pStyle w:val="155"/>
              <w:jc w:val="center"/>
              <w:rPr>
                <w:rFonts w:hint="default" w:hAnsi="Times New Roman" w:eastAsia="宋体" w:cs="Times New Roman"/>
                <w:b/>
                <w:bCs w:val="0"/>
              </w:rPr>
            </w:pPr>
          </w:p>
        </w:tc>
      </w:tr>
      <w:tr w14:paraId="37A5A3D6">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137" w:type="dxa"/>
            <w:noWrap/>
            <w:vAlign w:val="center"/>
          </w:tcPr>
          <w:p w14:paraId="019A027E">
            <w:pPr>
              <w:pStyle w:val="155"/>
              <w:jc w:val="center"/>
              <w:rPr>
                <w:rFonts w:hint="default" w:hAnsi="Times New Roman" w:eastAsia="宋体" w:cs="Times New Roman"/>
                <w:b/>
                <w:bCs w:val="0"/>
              </w:rPr>
            </w:pPr>
            <w:r>
              <w:rPr>
                <w:rFonts w:hint="default" w:hAnsi="宋体" w:eastAsia="宋体" w:cs="Times New Roman"/>
                <w:b/>
              </w:rPr>
              <w:t>（五）</w:t>
            </w:r>
          </w:p>
        </w:tc>
        <w:tc>
          <w:tcPr>
            <w:tcW w:w="1123" w:type="dxa"/>
            <w:noWrap/>
            <w:vAlign w:val="center"/>
          </w:tcPr>
          <w:p w14:paraId="1B06F462">
            <w:pPr>
              <w:pStyle w:val="155"/>
              <w:jc w:val="center"/>
              <w:rPr>
                <w:rFonts w:hint="default" w:hAnsi="Times New Roman" w:eastAsia="宋体" w:cs="Times New Roman"/>
                <w:b/>
                <w:bCs w:val="0"/>
              </w:rPr>
            </w:pPr>
            <w:r>
              <w:rPr>
                <w:rFonts w:hint="default" w:hAnsi="宋体" w:eastAsia="宋体" w:cs="Times New Roman"/>
                <w:b/>
              </w:rPr>
              <w:t>鼬科</w:t>
            </w:r>
          </w:p>
        </w:tc>
        <w:tc>
          <w:tcPr>
            <w:tcW w:w="2546" w:type="dxa"/>
            <w:noWrap/>
            <w:vAlign w:val="center"/>
          </w:tcPr>
          <w:p w14:paraId="298AA361">
            <w:pPr>
              <w:pStyle w:val="155"/>
              <w:jc w:val="center"/>
              <w:rPr>
                <w:rFonts w:hint="default" w:hAnsi="Times New Roman" w:eastAsia="宋体" w:cs="Times New Roman"/>
                <w:b/>
                <w:bCs w:val="0"/>
              </w:rPr>
            </w:pPr>
            <w:r>
              <w:rPr>
                <w:rFonts w:hint="default" w:hAnsi="Times New Roman" w:eastAsia="宋体" w:cs="Times New Roman"/>
                <w:b/>
              </w:rPr>
              <w:t>Mustelidae</w:t>
            </w:r>
          </w:p>
        </w:tc>
        <w:tc>
          <w:tcPr>
            <w:tcW w:w="991" w:type="dxa"/>
            <w:noWrap/>
            <w:vAlign w:val="center"/>
          </w:tcPr>
          <w:p w14:paraId="2AB60642">
            <w:pPr>
              <w:pStyle w:val="155"/>
              <w:jc w:val="center"/>
              <w:rPr>
                <w:rFonts w:hint="default" w:hAnsi="Times New Roman" w:eastAsia="宋体" w:cs="Times New Roman"/>
                <w:b/>
                <w:bCs w:val="0"/>
              </w:rPr>
            </w:pPr>
          </w:p>
        </w:tc>
        <w:tc>
          <w:tcPr>
            <w:tcW w:w="971" w:type="dxa"/>
            <w:noWrap/>
            <w:vAlign w:val="center"/>
          </w:tcPr>
          <w:p w14:paraId="47E781ED">
            <w:pPr>
              <w:pStyle w:val="155"/>
              <w:jc w:val="center"/>
              <w:rPr>
                <w:rFonts w:hint="default" w:hAnsi="Times New Roman" w:eastAsia="宋体" w:cs="Times New Roman"/>
                <w:b/>
                <w:bCs w:val="0"/>
              </w:rPr>
            </w:pPr>
          </w:p>
        </w:tc>
        <w:tc>
          <w:tcPr>
            <w:tcW w:w="971" w:type="dxa"/>
            <w:noWrap/>
            <w:vAlign w:val="center"/>
          </w:tcPr>
          <w:p w14:paraId="4031D4DF">
            <w:pPr>
              <w:pStyle w:val="155"/>
              <w:jc w:val="center"/>
              <w:rPr>
                <w:rFonts w:hint="default" w:hAnsi="Times New Roman" w:eastAsia="宋体" w:cs="Times New Roman"/>
                <w:b/>
                <w:bCs w:val="0"/>
              </w:rPr>
            </w:pPr>
          </w:p>
        </w:tc>
        <w:tc>
          <w:tcPr>
            <w:tcW w:w="1332" w:type="dxa"/>
            <w:gridSpan w:val="2"/>
            <w:noWrap/>
            <w:vAlign w:val="center"/>
          </w:tcPr>
          <w:p w14:paraId="0A2EAD56">
            <w:pPr>
              <w:pStyle w:val="155"/>
              <w:jc w:val="center"/>
              <w:rPr>
                <w:rFonts w:hint="default" w:hAnsi="Times New Roman" w:eastAsia="宋体" w:cs="Times New Roman"/>
                <w:b/>
                <w:bCs w:val="0"/>
              </w:rPr>
            </w:pPr>
          </w:p>
        </w:tc>
      </w:tr>
      <w:tr w14:paraId="59404904">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137" w:type="dxa"/>
            <w:noWrap/>
            <w:vAlign w:val="center"/>
          </w:tcPr>
          <w:p w14:paraId="68B67BB8">
            <w:pPr>
              <w:pStyle w:val="155"/>
              <w:jc w:val="center"/>
              <w:rPr>
                <w:rFonts w:hint="default" w:hAnsi="Times New Roman" w:eastAsia="宋体" w:cs="Times New Roman"/>
              </w:rPr>
            </w:pPr>
            <w:r>
              <w:rPr>
                <w:rFonts w:hint="default" w:hAnsi="Times New Roman" w:eastAsia="宋体" w:cs="Times New Roman"/>
              </w:rPr>
              <w:t>4</w:t>
            </w:r>
          </w:p>
        </w:tc>
        <w:tc>
          <w:tcPr>
            <w:tcW w:w="1123" w:type="dxa"/>
            <w:noWrap/>
            <w:vAlign w:val="center"/>
          </w:tcPr>
          <w:p w14:paraId="21DDA03E">
            <w:pPr>
              <w:pStyle w:val="155"/>
              <w:jc w:val="center"/>
              <w:rPr>
                <w:rFonts w:hint="default" w:hAnsi="Times New Roman" w:eastAsia="宋体" w:cs="Times New Roman"/>
              </w:rPr>
            </w:pPr>
            <w:r>
              <w:rPr>
                <w:rFonts w:hint="default" w:hAnsi="宋体" w:eastAsia="宋体" w:cs="Times New Roman"/>
              </w:rPr>
              <w:t>黄鼬</w:t>
            </w:r>
          </w:p>
        </w:tc>
        <w:tc>
          <w:tcPr>
            <w:tcW w:w="2546" w:type="dxa"/>
            <w:noWrap/>
            <w:vAlign w:val="center"/>
          </w:tcPr>
          <w:p w14:paraId="77B8B9D1">
            <w:pPr>
              <w:pStyle w:val="155"/>
              <w:jc w:val="center"/>
              <w:rPr>
                <w:rFonts w:hint="default" w:hAnsi="Times New Roman" w:eastAsia="宋体" w:cs="Times New Roman"/>
                <w:i/>
                <w:iCs/>
              </w:rPr>
            </w:pPr>
            <w:r>
              <w:rPr>
                <w:rFonts w:hint="default" w:hAnsi="Times New Roman" w:eastAsia="宋体" w:cs="Times New Roman"/>
                <w:i/>
                <w:iCs/>
              </w:rPr>
              <w:t>Mustela sibirica</w:t>
            </w:r>
          </w:p>
        </w:tc>
        <w:tc>
          <w:tcPr>
            <w:tcW w:w="991" w:type="dxa"/>
            <w:noWrap/>
            <w:vAlign w:val="center"/>
          </w:tcPr>
          <w:p w14:paraId="0DE0D7F6">
            <w:pPr>
              <w:pStyle w:val="155"/>
              <w:jc w:val="center"/>
              <w:rPr>
                <w:rFonts w:hint="default" w:hAnsi="Times New Roman" w:eastAsia="宋体" w:cs="Times New Roman"/>
              </w:rPr>
            </w:pPr>
            <w:r>
              <w:rPr>
                <w:rFonts w:hint="default" w:hAnsi="Times New Roman" w:eastAsia="宋体" w:cs="Times New Roman"/>
              </w:rPr>
              <w:t>F B GR</w:t>
            </w:r>
          </w:p>
        </w:tc>
        <w:tc>
          <w:tcPr>
            <w:tcW w:w="971" w:type="dxa"/>
            <w:noWrap/>
            <w:vAlign w:val="center"/>
          </w:tcPr>
          <w:p w14:paraId="557D52D6">
            <w:pPr>
              <w:pStyle w:val="155"/>
              <w:jc w:val="center"/>
              <w:rPr>
                <w:rFonts w:hint="default" w:hAnsi="Times New Roman" w:eastAsia="宋体" w:cs="Times New Roman"/>
              </w:rPr>
            </w:pPr>
            <w:r>
              <w:rPr>
                <w:rFonts w:hint="default" w:hAnsi="Times New Roman" w:eastAsia="宋体" w:cs="Times New Roman"/>
              </w:rPr>
              <w:t>++</w:t>
            </w:r>
          </w:p>
        </w:tc>
        <w:tc>
          <w:tcPr>
            <w:tcW w:w="971" w:type="dxa"/>
            <w:noWrap/>
            <w:vAlign w:val="center"/>
          </w:tcPr>
          <w:p w14:paraId="63755511">
            <w:pPr>
              <w:pStyle w:val="155"/>
              <w:jc w:val="center"/>
              <w:rPr>
                <w:rFonts w:hint="default" w:hAnsi="Times New Roman" w:eastAsia="宋体" w:cs="Times New Roman"/>
              </w:rPr>
            </w:pPr>
          </w:p>
        </w:tc>
        <w:tc>
          <w:tcPr>
            <w:tcW w:w="1332" w:type="dxa"/>
            <w:gridSpan w:val="2"/>
            <w:noWrap/>
            <w:vAlign w:val="center"/>
          </w:tcPr>
          <w:p w14:paraId="57A3992B">
            <w:pPr>
              <w:pStyle w:val="155"/>
              <w:jc w:val="center"/>
              <w:rPr>
                <w:rFonts w:hint="default" w:hAnsi="Times New Roman" w:eastAsia="宋体" w:cs="Times New Roman"/>
              </w:rPr>
            </w:pPr>
            <w:r>
              <w:rPr>
                <w:rFonts w:hint="default" w:hAnsi="Times New Roman" w:eastAsia="宋体" w:cs="Times New Roman"/>
              </w:rPr>
              <w:t>P</w:t>
            </w:r>
          </w:p>
        </w:tc>
      </w:tr>
      <w:tr w14:paraId="719A6BFC">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137" w:type="dxa"/>
            <w:noWrap/>
            <w:vAlign w:val="center"/>
          </w:tcPr>
          <w:p w14:paraId="3F223B4E">
            <w:pPr>
              <w:pStyle w:val="155"/>
              <w:jc w:val="center"/>
              <w:rPr>
                <w:rFonts w:hint="default" w:hAnsi="Times New Roman" w:eastAsia="宋体" w:cs="Times New Roman"/>
              </w:rPr>
            </w:pPr>
            <w:r>
              <w:rPr>
                <w:rFonts w:hint="default" w:hAnsi="Times New Roman" w:eastAsia="宋体" w:cs="Times New Roman"/>
              </w:rPr>
              <w:t>5</w:t>
            </w:r>
          </w:p>
        </w:tc>
        <w:tc>
          <w:tcPr>
            <w:tcW w:w="1123" w:type="dxa"/>
            <w:noWrap/>
            <w:vAlign w:val="center"/>
          </w:tcPr>
          <w:p w14:paraId="66B7F7E5">
            <w:pPr>
              <w:pStyle w:val="155"/>
              <w:jc w:val="center"/>
              <w:rPr>
                <w:rFonts w:hint="default" w:hAnsi="Times New Roman" w:eastAsia="宋体" w:cs="Times New Roman"/>
              </w:rPr>
            </w:pPr>
            <w:r>
              <w:rPr>
                <w:rFonts w:hint="default" w:hAnsi="宋体" w:eastAsia="宋体" w:cs="Times New Roman"/>
              </w:rPr>
              <w:t>白鼬</w:t>
            </w:r>
          </w:p>
        </w:tc>
        <w:tc>
          <w:tcPr>
            <w:tcW w:w="2546" w:type="dxa"/>
            <w:noWrap/>
            <w:vAlign w:val="center"/>
          </w:tcPr>
          <w:p w14:paraId="76691F3E">
            <w:pPr>
              <w:pStyle w:val="155"/>
              <w:jc w:val="center"/>
              <w:rPr>
                <w:rFonts w:hint="default" w:hAnsi="Times New Roman" w:eastAsia="宋体" w:cs="Times New Roman"/>
                <w:i/>
                <w:iCs/>
              </w:rPr>
            </w:pPr>
            <w:r>
              <w:rPr>
                <w:rFonts w:hint="default" w:hAnsi="Times New Roman" w:eastAsia="宋体" w:cs="Times New Roman"/>
                <w:i/>
                <w:iCs/>
              </w:rPr>
              <w:t>Mustela erminea</w:t>
            </w:r>
          </w:p>
        </w:tc>
        <w:tc>
          <w:tcPr>
            <w:tcW w:w="991" w:type="dxa"/>
            <w:noWrap/>
            <w:vAlign w:val="center"/>
          </w:tcPr>
          <w:p w14:paraId="5659EA88">
            <w:pPr>
              <w:pStyle w:val="155"/>
              <w:jc w:val="center"/>
              <w:rPr>
                <w:rFonts w:hint="default" w:hAnsi="Times New Roman" w:eastAsia="宋体" w:cs="Times New Roman"/>
              </w:rPr>
            </w:pPr>
            <w:r>
              <w:rPr>
                <w:rFonts w:hint="default" w:hAnsi="Times New Roman" w:eastAsia="宋体" w:cs="Times New Roman"/>
              </w:rPr>
              <w:t>F B GR</w:t>
            </w:r>
          </w:p>
        </w:tc>
        <w:tc>
          <w:tcPr>
            <w:tcW w:w="971" w:type="dxa"/>
            <w:noWrap/>
            <w:vAlign w:val="center"/>
          </w:tcPr>
          <w:p w14:paraId="4FC93B08">
            <w:pPr>
              <w:pStyle w:val="155"/>
              <w:jc w:val="center"/>
              <w:rPr>
                <w:rFonts w:hint="default" w:hAnsi="Times New Roman" w:eastAsia="宋体" w:cs="Times New Roman"/>
              </w:rPr>
            </w:pPr>
            <w:r>
              <w:rPr>
                <w:rFonts w:hint="default" w:hAnsi="Times New Roman" w:eastAsia="宋体" w:cs="Times New Roman"/>
              </w:rPr>
              <w:t>+</w:t>
            </w:r>
          </w:p>
        </w:tc>
        <w:tc>
          <w:tcPr>
            <w:tcW w:w="971" w:type="dxa"/>
            <w:noWrap/>
            <w:vAlign w:val="center"/>
          </w:tcPr>
          <w:p w14:paraId="003AAE9A">
            <w:pPr>
              <w:pStyle w:val="155"/>
              <w:jc w:val="center"/>
              <w:rPr>
                <w:rFonts w:hint="default" w:hAnsi="Times New Roman" w:eastAsia="宋体" w:cs="Times New Roman"/>
              </w:rPr>
            </w:pPr>
          </w:p>
        </w:tc>
        <w:tc>
          <w:tcPr>
            <w:tcW w:w="1332" w:type="dxa"/>
            <w:gridSpan w:val="2"/>
            <w:noWrap/>
            <w:vAlign w:val="center"/>
          </w:tcPr>
          <w:p w14:paraId="7E5E5C31">
            <w:pPr>
              <w:pStyle w:val="155"/>
              <w:jc w:val="center"/>
              <w:rPr>
                <w:rFonts w:hint="default" w:hAnsi="Times New Roman" w:eastAsia="宋体" w:cs="Times New Roman"/>
              </w:rPr>
            </w:pPr>
            <w:r>
              <w:rPr>
                <w:rFonts w:hint="default" w:hAnsi="Times New Roman" w:eastAsia="宋体" w:cs="Times New Roman"/>
              </w:rPr>
              <w:t>P</w:t>
            </w:r>
          </w:p>
        </w:tc>
      </w:tr>
      <w:tr w14:paraId="101DB7F4">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137" w:type="dxa"/>
            <w:noWrap/>
            <w:vAlign w:val="center"/>
          </w:tcPr>
          <w:p w14:paraId="6E34A413">
            <w:pPr>
              <w:pStyle w:val="155"/>
              <w:jc w:val="center"/>
              <w:rPr>
                <w:rFonts w:hint="default" w:hAnsi="Times New Roman" w:eastAsia="宋体" w:cs="Times New Roman"/>
              </w:rPr>
            </w:pPr>
            <w:r>
              <w:rPr>
                <w:rFonts w:hint="default" w:hAnsi="Times New Roman" w:eastAsia="宋体" w:cs="Times New Roman"/>
              </w:rPr>
              <w:t>6</w:t>
            </w:r>
          </w:p>
        </w:tc>
        <w:tc>
          <w:tcPr>
            <w:tcW w:w="1123" w:type="dxa"/>
            <w:noWrap/>
            <w:vAlign w:val="center"/>
          </w:tcPr>
          <w:p w14:paraId="65E20BF4">
            <w:pPr>
              <w:pStyle w:val="155"/>
              <w:jc w:val="center"/>
              <w:rPr>
                <w:rFonts w:hint="default" w:hAnsi="Times New Roman" w:eastAsia="宋体" w:cs="Times New Roman"/>
              </w:rPr>
            </w:pPr>
            <w:r>
              <w:rPr>
                <w:rFonts w:hint="default" w:hAnsi="宋体" w:eastAsia="宋体" w:cs="Times New Roman"/>
              </w:rPr>
              <w:t>香鼬</w:t>
            </w:r>
          </w:p>
        </w:tc>
        <w:tc>
          <w:tcPr>
            <w:tcW w:w="2546" w:type="dxa"/>
            <w:noWrap/>
            <w:vAlign w:val="center"/>
          </w:tcPr>
          <w:p w14:paraId="4E92CF3D">
            <w:pPr>
              <w:pStyle w:val="155"/>
              <w:jc w:val="center"/>
              <w:rPr>
                <w:rFonts w:hint="default" w:hAnsi="Times New Roman" w:eastAsia="宋体" w:cs="Times New Roman"/>
                <w:i/>
                <w:iCs/>
              </w:rPr>
            </w:pPr>
            <w:r>
              <w:rPr>
                <w:rFonts w:hint="default" w:hAnsi="Times New Roman" w:eastAsia="宋体" w:cs="Times New Roman"/>
                <w:i/>
                <w:iCs/>
              </w:rPr>
              <w:t>Mustela altaica</w:t>
            </w:r>
          </w:p>
        </w:tc>
        <w:tc>
          <w:tcPr>
            <w:tcW w:w="991" w:type="dxa"/>
            <w:noWrap/>
            <w:vAlign w:val="center"/>
          </w:tcPr>
          <w:p w14:paraId="73BE799F">
            <w:pPr>
              <w:pStyle w:val="155"/>
              <w:jc w:val="center"/>
              <w:rPr>
                <w:rFonts w:hint="default" w:hAnsi="Times New Roman" w:eastAsia="宋体" w:cs="Times New Roman"/>
              </w:rPr>
            </w:pPr>
            <w:r>
              <w:rPr>
                <w:rFonts w:hint="default" w:hAnsi="Times New Roman" w:eastAsia="宋体" w:cs="Times New Roman"/>
              </w:rPr>
              <w:t>F B GR</w:t>
            </w:r>
          </w:p>
        </w:tc>
        <w:tc>
          <w:tcPr>
            <w:tcW w:w="971" w:type="dxa"/>
            <w:noWrap/>
            <w:vAlign w:val="center"/>
          </w:tcPr>
          <w:p w14:paraId="7FDCACB0">
            <w:pPr>
              <w:pStyle w:val="155"/>
              <w:jc w:val="center"/>
              <w:rPr>
                <w:rFonts w:hint="default" w:hAnsi="Times New Roman" w:eastAsia="宋体" w:cs="Times New Roman"/>
              </w:rPr>
            </w:pPr>
            <w:r>
              <w:rPr>
                <w:rFonts w:hint="default" w:hAnsi="Times New Roman" w:eastAsia="宋体" w:cs="Times New Roman"/>
              </w:rPr>
              <w:t>+</w:t>
            </w:r>
          </w:p>
        </w:tc>
        <w:tc>
          <w:tcPr>
            <w:tcW w:w="971" w:type="dxa"/>
            <w:noWrap/>
            <w:vAlign w:val="center"/>
          </w:tcPr>
          <w:p w14:paraId="7E345A13">
            <w:pPr>
              <w:pStyle w:val="155"/>
              <w:jc w:val="center"/>
              <w:rPr>
                <w:rFonts w:hint="default" w:hAnsi="Times New Roman" w:eastAsia="宋体" w:cs="Times New Roman"/>
              </w:rPr>
            </w:pPr>
          </w:p>
        </w:tc>
        <w:tc>
          <w:tcPr>
            <w:tcW w:w="1332" w:type="dxa"/>
            <w:gridSpan w:val="2"/>
            <w:noWrap/>
            <w:vAlign w:val="center"/>
          </w:tcPr>
          <w:p w14:paraId="3E7E3BB0">
            <w:pPr>
              <w:pStyle w:val="155"/>
              <w:jc w:val="center"/>
              <w:rPr>
                <w:rFonts w:hint="default" w:hAnsi="Times New Roman" w:eastAsia="宋体" w:cs="Times New Roman"/>
              </w:rPr>
            </w:pPr>
            <w:r>
              <w:rPr>
                <w:rFonts w:hint="default" w:hAnsi="Times New Roman" w:eastAsia="宋体" w:cs="Times New Roman"/>
              </w:rPr>
              <w:t>P</w:t>
            </w:r>
          </w:p>
        </w:tc>
      </w:tr>
      <w:tr w14:paraId="3C7AC2A1">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137" w:type="dxa"/>
            <w:noWrap/>
            <w:vAlign w:val="center"/>
          </w:tcPr>
          <w:p w14:paraId="50786717">
            <w:pPr>
              <w:pStyle w:val="155"/>
              <w:jc w:val="center"/>
              <w:rPr>
                <w:rFonts w:hint="default" w:hAnsi="Times New Roman" w:eastAsia="宋体" w:cs="Times New Roman"/>
                <w:b/>
                <w:bCs w:val="0"/>
              </w:rPr>
            </w:pPr>
            <w:r>
              <w:rPr>
                <w:rFonts w:hint="default" w:hAnsi="宋体" w:eastAsia="宋体" w:cs="Times New Roman"/>
                <w:b/>
              </w:rPr>
              <w:t>五</w:t>
            </w:r>
          </w:p>
        </w:tc>
        <w:tc>
          <w:tcPr>
            <w:tcW w:w="1123" w:type="dxa"/>
            <w:noWrap/>
            <w:vAlign w:val="center"/>
          </w:tcPr>
          <w:p w14:paraId="0D5B3293">
            <w:pPr>
              <w:pStyle w:val="155"/>
              <w:jc w:val="center"/>
              <w:rPr>
                <w:rFonts w:hint="default" w:hAnsi="Times New Roman" w:eastAsia="宋体" w:cs="Times New Roman"/>
                <w:b/>
                <w:bCs w:val="0"/>
              </w:rPr>
            </w:pPr>
            <w:r>
              <w:rPr>
                <w:rFonts w:hint="default" w:hAnsi="宋体" w:eastAsia="宋体" w:cs="Times New Roman"/>
                <w:b/>
              </w:rPr>
              <w:t>兔形目</w:t>
            </w:r>
          </w:p>
        </w:tc>
        <w:tc>
          <w:tcPr>
            <w:tcW w:w="2546" w:type="dxa"/>
            <w:noWrap/>
            <w:vAlign w:val="center"/>
          </w:tcPr>
          <w:p w14:paraId="10D89C5C">
            <w:pPr>
              <w:pStyle w:val="155"/>
              <w:jc w:val="center"/>
              <w:rPr>
                <w:rFonts w:hint="default" w:hAnsi="Times New Roman" w:eastAsia="宋体" w:cs="Times New Roman"/>
                <w:b/>
                <w:bCs w:val="0"/>
              </w:rPr>
            </w:pPr>
            <w:r>
              <w:rPr>
                <w:rFonts w:hint="default" w:hAnsi="Times New Roman" w:eastAsia="宋体" w:cs="Times New Roman"/>
                <w:b/>
              </w:rPr>
              <w:t>LAGOMORPHA</w:t>
            </w:r>
          </w:p>
        </w:tc>
        <w:tc>
          <w:tcPr>
            <w:tcW w:w="991" w:type="dxa"/>
            <w:noWrap/>
            <w:vAlign w:val="center"/>
          </w:tcPr>
          <w:p w14:paraId="3E4EDEE0">
            <w:pPr>
              <w:pStyle w:val="155"/>
              <w:jc w:val="center"/>
              <w:rPr>
                <w:rFonts w:hint="default" w:hAnsi="Times New Roman" w:eastAsia="宋体" w:cs="Times New Roman"/>
                <w:b/>
                <w:bCs w:val="0"/>
              </w:rPr>
            </w:pPr>
          </w:p>
        </w:tc>
        <w:tc>
          <w:tcPr>
            <w:tcW w:w="971" w:type="dxa"/>
            <w:noWrap/>
            <w:vAlign w:val="center"/>
          </w:tcPr>
          <w:p w14:paraId="7DB994EF">
            <w:pPr>
              <w:pStyle w:val="155"/>
              <w:jc w:val="center"/>
              <w:rPr>
                <w:rFonts w:hint="default" w:hAnsi="Times New Roman" w:eastAsia="宋体" w:cs="Times New Roman"/>
                <w:b/>
                <w:bCs w:val="0"/>
              </w:rPr>
            </w:pPr>
          </w:p>
        </w:tc>
        <w:tc>
          <w:tcPr>
            <w:tcW w:w="971" w:type="dxa"/>
            <w:noWrap/>
            <w:vAlign w:val="center"/>
          </w:tcPr>
          <w:p w14:paraId="25895F5E">
            <w:pPr>
              <w:pStyle w:val="155"/>
              <w:jc w:val="center"/>
              <w:rPr>
                <w:rFonts w:hint="default" w:hAnsi="Times New Roman" w:eastAsia="宋体" w:cs="Times New Roman"/>
                <w:b/>
                <w:bCs w:val="0"/>
              </w:rPr>
            </w:pPr>
          </w:p>
        </w:tc>
        <w:tc>
          <w:tcPr>
            <w:tcW w:w="1332" w:type="dxa"/>
            <w:gridSpan w:val="2"/>
            <w:noWrap/>
            <w:vAlign w:val="center"/>
          </w:tcPr>
          <w:p w14:paraId="082149E9">
            <w:pPr>
              <w:pStyle w:val="155"/>
              <w:jc w:val="center"/>
              <w:rPr>
                <w:rFonts w:hint="default" w:hAnsi="Times New Roman" w:eastAsia="宋体" w:cs="Times New Roman"/>
                <w:b/>
                <w:bCs w:val="0"/>
              </w:rPr>
            </w:pPr>
          </w:p>
        </w:tc>
      </w:tr>
      <w:tr w14:paraId="4F9039E4">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137" w:type="dxa"/>
            <w:noWrap/>
            <w:vAlign w:val="center"/>
          </w:tcPr>
          <w:p w14:paraId="6DD5EE59">
            <w:pPr>
              <w:pStyle w:val="155"/>
              <w:jc w:val="center"/>
              <w:rPr>
                <w:rFonts w:hint="default" w:hAnsi="Times New Roman" w:eastAsia="宋体" w:cs="Times New Roman"/>
                <w:b/>
                <w:bCs w:val="0"/>
              </w:rPr>
            </w:pPr>
            <w:r>
              <w:rPr>
                <w:rFonts w:hint="default" w:hAnsi="宋体" w:eastAsia="宋体" w:cs="Times New Roman"/>
                <w:b/>
              </w:rPr>
              <w:t>（六）</w:t>
            </w:r>
          </w:p>
        </w:tc>
        <w:tc>
          <w:tcPr>
            <w:tcW w:w="1123" w:type="dxa"/>
            <w:noWrap/>
            <w:vAlign w:val="center"/>
          </w:tcPr>
          <w:p w14:paraId="4A4686B4">
            <w:pPr>
              <w:pStyle w:val="155"/>
              <w:jc w:val="center"/>
              <w:rPr>
                <w:rFonts w:hint="default" w:hAnsi="Times New Roman" w:eastAsia="宋体" w:cs="Times New Roman"/>
                <w:b/>
                <w:bCs w:val="0"/>
              </w:rPr>
            </w:pPr>
            <w:r>
              <w:rPr>
                <w:rFonts w:hint="default" w:hAnsi="宋体" w:eastAsia="宋体" w:cs="Times New Roman"/>
                <w:b/>
              </w:rPr>
              <w:t>兔科</w:t>
            </w:r>
          </w:p>
        </w:tc>
        <w:tc>
          <w:tcPr>
            <w:tcW w:w="2546" w:type="dxa"/>
            <w:noWrap/>
            <w:vAlign w:val="center"/>
          </w:tcPr>
          <w:p w14:paraId="1A5A82DE">
            <w:pPr>
              <w:pStyle w:val="155"/>
              <w:jc w:val="center"/>
              <w:rPr>
                <w:rFonts w:hint="default" w:hAnsi="Times New Roman" w:eastAsia="宋体" w:cs="Times New Roman"/>
                <w:b/>
                <w:bCs w:val="0"/>
              </w:rPr>
            </w:pPr>
            <w:r>
              <w:rPr>
                <w:rFonts w:hint="default" w:hAnsi="Times New Roman" w:eastAsia="宋体" w:cs="Times New Roman"/>
                <w:b/>
              </w:rPr>
              <w:t>Leporidae</w:t>
            </w:r>
          </w:p>
        </w:tc>
        <w:tc>
          <w:tcPr>
            <w:tcW w:w="991" w:type="dxa"/>
            <w:noWrap/>
            <w:vAlign w:val="center"/>
          </w:tcPr>
          <w:p w14:paraId="5ECD8B19">
            <w:pPr>
              <w:pStyle w:val="155"/>
              <w:jc w:val="center"/>
              <w:rPr>
                <w:rFonts w:hint="default" w:hAnsi="Times New Roman" w:eastAsia="宋体" w:cs="Times New Roman"/>
                <w:b/>
                <w:bCs w:val="0"/>
              </w:rPr>
            </w:pPr>
          </w:p>
        </w:tc>
        <w:tc>
          <w:tcPr>
            <w:tcW w:w="971" w:type="dxa"/>
            <w:noWrap/>
            <w:vAlign w:val="center"/>
          </w:tcPr>
          <w:p w14:paraId="55B65E84">
            <w:pPr>
              <w:pStyle w:val="155"/>
              <w:jc w:val="center"/>
              <w:rPr>
                <w:rFonts w:hint="default" w:hAnsi="Times New Roman" w:eastAsia="宋体" w:cs="Times New Roman"/>
                <w:b/>
                <w:bCs w:val="0"/>
              </w:rPr>
            </w:pPr>
          </w:p>
        </w:tc>
        <w:tc>
          <w:tcPr>
            <w:tcW w:w="971" w:type="dxa"/>
            <w:noWrap/>
            <w:vAlign w:val="center"/>
          </w:tcPr>
          <w:p w14:paraId="69571B97">
            <w:pPr>
              <w:pStyle w:val="155"/>
              <w:jc w:val="center"/>
              <w:rPr>
                <w:rFonts w:hint="default" w:hAnsi="Times New Roman" w:eastAsia="宋体" w:cs="Times New Roman"/>
                <w:b/>
                <w:bCs w:val="0"/>
              </w:rPr>
            </w:pPr>
          </w:p>
        </w:tc>
        <w:tc>
          <w:tcPr>
            <w:tcW w:w="1332" w:type="dxa"/>
            <w:gridSpan w:val="2"/>
            <w:noWrap/>
            <w:vAlign w:val="center"/>
          </w:tcPr>
          <w:p w14:paraId="51265D60">
            <w:pPr>
              <w:pStyle w:val="155"/>
              <w:jc w:val="center"/>
              <w:rPr>
                <w:rFonts w:hint="default" w:hAnsi="Times New Roman" w:eastAsia="宋体" w:cs="Times New Roman"/>
                <w:b/>
                <w:bCs w:val="0"/>
              </w:rPr>
            </w:pPr>
          </w:p>
        </w:tc>
      </w:tr>
      <w:tr w14:paraId="4F395A7A">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137" w:type="dxa"/>
            <w:noWrap/>
            <w:vAlign w:val="center"/>
          </w:tcPr>
          <w:p w14:paraId="2D3FA1A8">
            <w:pPr>
              <w:pStyle w:val="155"/>
              <w:jc w:val="center"/>
              <w:rPr>
                <w:rFonts w:hint="default" w:hAnsi="Times New Roman" w:eastAsia="宋体" w:cs="Times New Roman"/>
              </w:rPr>
            </w:pPr>
            <w:r>
              <w:rPr>
                <w:rFonts w:hint="default" w:hAnsi="Times New Roman" w:eastAsia="宋体" w:cs="Times New Roman"/>
              </w:rPr>
              <w:t>7</w:t>
            </w:r>
          </w:p>
        </w:tc>
        <w:tc>
          <w:tcPr>
            <w:tcW w:w="1123" w:type="dxa"/>
            <w:noWrap/>
            <w:vAlign w:val="center"/>
          </w:tcPr>
          <w:p w14:paraId="4D31EADA">
            <w:pPr>
              <w:pStyle w:val="155"/>
              <w:jc w:val="center"/>
              <w:rPr>
                <w:rFonts w:hint="default" w:hAnsi="Times New Roman" w:eastAsia="宋体" w:cs="Times New Roman"/>
              </w:rPr>
            </w:pPr>
            <w:r>
              <w:rPr>
                <w:rFonts w:hint="default" w:hAnsi="宋体" w:eastAsia="宋体" w:cs="Times New Roman"/>
              </w:rPr>
              <w:t>东北兔</w:t>
            </w:r>
          </w:p>
        </w:tc>
        <w:tc>
          <w:tcPr>
            <w:tcW w:w="2546" w:type="dxa"/>
            <w:noWrap/>
            <w:vAlign w:val="center"/>
          </w:tcPr>
          <w:p w14:paraId="3B928461">
            <w:pPr>
              <w:pStyle w:val="155"/>
              <w:jc w:val="center"/>
              <w:rPr>
                <w:rFonts w:hint="default" w:hAnsi="Times New Roman" w:eastAsia="宋体" w:cs="Times New Roman"/>
                <w:i/>
                <w:iCs/>
              </w:rPr>
            </w:pPr>
            <w:r>
              <w:rPr>
                <w:rFonts w:hint="default" w:hAnsi="Times New Roman" w:eastAsia="宋体" w:cs="Times New Roman"/>
                <w:i/>
                <w:iCs/>
              </w:rPr>
              <w:t>Lepus mandshuricus</w:t>
            </w:r>
          </w:p>
        </w:tc>
        <w:tc>
          <w:tcPr>
            <w:tcW w:w="991" w:type="dxa"/>
            <w:noWrap/>
            <w:vAlign w:val="center"/>
          </w:tcPr>
          <w:p w14:paraId="3B11CB29">
            <w:pPr>
              <w:pStyle w:val="155"/>
              <w:jc w:val="center"/>
              <w:rPr>
                <w:rFonts w:hint="default" w:hAnsi="Times New Roman" w:eastAsia="宋体" w:cs="Times New Roman"/>
              </w:rPr>
            </w:pPr>
            <w:r>
              <w:rPr>
                <w:rFonts w:hint="default" w:hAnsi="Times New Roman" w:eastAsia="宋体" w:cs="Times New Roman"/>
              </w:rPr>
              <w:t>F B G</w:t>
            </w:r>
          </w:p>
        </w:tc>
        <w:tc>
          <w:tcPr>
            <w:tcW w:w="971" w:type="dxa"/>
            <w:noWrap/>
            <w:vAlign w:val="center"/>
          </w:tcPr>
          <w:p w14:paraId="60E46190">
            <w:pPr>
              <w:pStyle w:val="155"/>
              <w:jc w:val="center"/>
              <w:rPr>
                <w:rFonts w:hint="default" w:hAnsi="Times New Roman" w:eastAsia="宋体" w:cs="Times New Roman"/>
              </w:rPr>
            </w:pPr>
            <w:r>
              <w:rPr>
                <w:rFonts w:hint="default" w:hAnsi="Times New Roman" w:eastAsia="宋体" w:cs="Times New Roman"/>
              </w:rPr>
              <w:t>+</w:t>
            </w:r>
          </w:p>
        </w:tc>
        <w:tc>
          <w:tcPr>
            <w:tcW w:w="971" w:type="dxa"/>
            <w:noWrap/>
            <w:vAlign w:val="center"/>
          </w:tcPr>
          <w:p w14:paraId="3FD05460">
            <w:pPr>
              <w:pStyle w:val="155"/>
              <w:jc w:val="center"/>
              <w:rPr>
                <w:rFonts w:hint="default" w:hAnsi="Times New Roman" w:eastAsia="宋体" w:cs="Times New Roman"/>
              </w:rPr>
            </w:pPr>
          </w:p>
        </w:tc>
        <w:tc>
          <w:tcPr>
            <w:tcW w:w="1332" w:type="dxa"/>
            <w:gridSpan w:val="2"/>
            <w:noWrap/>
            <w:vAlign w:val="center"/>
          </w:tcPr>
          <w:p w14:paraId="238AFDA7">
            <w:pPr>
              <w:pStyle w:val="155"/>
              <w:jc w:val="center"/>
              <w:rPr>
                <w:rFonts w:hint="default" w:hAnsi="Times New Roman" w:eastAsia="宋体" w:cs="Times New Roman"/>
              </w:rPr>
            </w:pPr>
            <w:r>
              <w:rPr>
                <w:rFonts w:hint="default" w:hAnsi="Times New Roman" w:eastAsia="宋体" w:cs="Times New Roman"/>
              </w:rPr>
              <w:t>P</w:t>
            </w:r>
          </w:p>
        </w:tc>
      </w:tr>
      <w:tr w14:paraId="2BF6C08A">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137" w:type="dxa"/>
            <w:noWrap/>
            <w:vAlign w:val="center"/>
          </w:tcPr>
          <w:p w14:paraId="323D4F8F">
            <w:pPr>
              <w:pStyle w:val="155"/>
              <w:jc w:val="center"/>
              <w:rPr>
                <w:rFonts w:hint="default" w:hAnsi="Times New Roman" w:eastAsia="宋体" w:cs="Times New Roman"/>
              </w:rPr>
            </w:pPr>
            <w:r>
              <w:rPr>
                <w:rFonts w:hint="default" w:hAnsi="Times New Roman" w:eastAsia="宋体" w:cs="Times New Roman"/>
              </w:rPr>
              <w:t>8</w:t>
            </w:r>
          </w:p>
        </w:tc>
        <w:tc>
          <w:tcPr>
            <w:tcW w:w="1123" w:type="dxa"/>
            <w:noWrap/>
            <w:vAlign w:val="center"/>
          </w:tcPr>
          <w:p w14:paraId="038FCEE4">
            <w:pPr>
              <w:pStyle w:val="155"/>
              <w:jc w:val="center"/>
              <w:rPr>
                <w:rFonts w:hint="default" w:hAnsi="Times New Roman" w:eastAsia="宋体" w:cs="Times New Roman"/>
              </w:rPr>
            </w:pPr>
            <w:r>
              <w:rPr>
                <w:rFonts w:hint="default" w:hAnsi="宋体" w:eastAsia="宋体" w:cs="Times New Roman"/>
              </w:rPr>
              <w:t>雪兔</w:t>
            </w:r>
          </w:p>
        </w:tc>
        <w:tc>
          <w:tcPr>
            <w:tcW w:w="2546" w:type="dxa"/>
            <w:noWrap/>
            <w:vAlign w:val="center"/>
          </w:tcPr>
          <w:p w14:paraId="733AD252">
            <w:pPr>
              <w:pStyle w:val="155"/>
              <w:jc w:val="center"/>
              <w:rPr>
                <w:rFonts w:hint="default" w:hAnsi="Times New Roman" w:eastAsia="宋体" w:cs="Times New Roman"/>
                <w:i/>
                <w:iCs/>
              </w:rPr>
            </w:pPr>
            <w:r>
              <w:rPr>
                <w:rFonts w:hint="default" w:hAnsi="Times New Roman" w:eastAsia="宋体" w:cs="Times New Roman"/>
                <w:i/>
                <w:iCs/>
              </w:rPr>
              <w:t>Lepus timidus</w:t>
            </w:r>
          </w:p>
        </w:tc>
        <w:tc>
          <w:tcPr>
            <w:tcW w:w="991" w:type="dxa"/>
            <w:noWrap/>
            <w:vAlign w:val="center"/>
          </w:tcPr>
          <w:p w14:paraId="2339853F">
            <w:pPr>
              <w:pStyle w:val="155"/>
              <w:jc w:val="center"/>
              <w:rPr>
                <w:rFonts w:hint="default" w:hAnsi="Times New Roman" w:eastAsia="宋体" w:cs="Times New Roman"/>
              </w:rPr>
            </w:pPr>
            <w:r>
              <w:rPr>
                <w:rFonts w:hint="default" w:hAnsi="Times New Roman" w:eastAsia="宋体" w:cs="Times New Roman"/>
              </w:rPr>
              <w:t>F B G</w:t>
            </w:r>
          </w:p>
        </w:tc>
        <w:tc>
          <w:tcPr>
            <w:tcW w:w="971" w:type="dxa"/>
            <w:noWrap/>
            <w:vAlign w:val="center"/>
          </w:tcPr>
          <w:p w14:paraId="04AE59FF">
            <w:pPr>
              <w:pStyle w:val="155"/>
              <w:jc w:val="center"/>
              <w:rPr>
                <w:rFonts w:hint="default" w:hAnsi="Times New Roman" w:eastAsia="宋体" w:cs="Times New Roman"/>
              </w:rPr>
            </w:pPr>
            <w:r>
              <w:rPr>
                <w:rFonts w:hint="default" w:hAnsi="Times New Roman" w:eastAsia="宋体" w:cs="Times New Roman"/>
              </w:rPr>
              <w:t>+</w:t>
            </w:r>
          </w:p>
        </w:tc>
        <w:tc>
          <w:tcPr>
            <w:tcW w:w="971" w:type="dxa"/>
            <w:noWrap/>
            <w:vAlign w:val="center"/>
          </w:tcPr>
          <w:p w14:paraId="4DA2C056">
            <w:pPr>
              <w:pStyle w:val="155"/>
              <w:jc w:val="center"/>
              <w:rPr>
                <w:rFonts w:hint="default" w:hAnsi="Times New Roman" w:eastAsia="宋体" w:cs="Times New Roman"/>
              </w:rPr>
            </w:pPr>
            <w:r>
              <w:rPr>
                <w:rFonts w:hint="default" w:hAnsi="Times New Roman" w:eastAsia="宋体" w:cs="Times New Roman"/>
                <w:szCs w:val="21"/>
              </w:rPr>
              <w:t>Ⅱ</w:t>
            </w:r>
          </w:p>
        </w:tc>
        <w:tc>
          <w:tcPr>
            <w:tcW w:w="1332" w:type="dxa"/>
            <w:gridSpan w:val="2"/>
            <w:noWrap/>
            <w:vAlign w:val="center"/>
          </w:tcPr>
          <w:p w14:paraId="4A3B84A9">
            <w:pPr>
              <w:pStyle w:val="155"/>
              <w:jc w:val="center"/>
              <w:rPr>
                <w:rFonts w:hint="default" w:hAnsi="Times New Roman" w:eastAsia="宋体" w:cs="Times New Roman"/>
              </w:rPr>
            </w:pPr>
            <w:r>
              <w:rPr>
                <w:rFonts w:hint="default" w:hAnsi="Times New Roman" w:eastAsia="宋体" w:cs="Times New Roman"/>
              </w:rPr>
              <w:t>P</w:t>
            </w:r>
          </w:p>
        </w:tc>
      </w:tr>
      <w:tr w14:paraId="46966A9E">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137" w:type="dxa"/>
            <w:noWrap/>
            <w:vAlign w:val="center"/>
          </w:tcPr>
          <w:p w14:paraId="61D10BE4">
            <w:pPr>
              <w:pStyle w:val="155"/>
              <w:jc w:val="center"/>
              <w:rPr>
                <w:rFonts w:hint="default" w:hAnsi="Times New Roman" w:eastAsia="宋体" w:cs="Times New Roman"/>
                <w:b/>
                <w:bCs w:val="0"/>
              </w:rPr>
            </w:pPr>
            <w:r>
              <w:rPr>
                <w:rFonts w:hint="default" w:hAnsi="宋体" w:eastAsia="宋体" w:cs="Times New Roman"/>
                <w:b/>
              </w:rPr>
              <w:t>六</w:t>
            </w:r>
          </w:p>
        </w:tc>
        <w:tc>
          <w:tcPr>
            <w:tcW w:w="1123" w:type="dxa"/>
            <w:noWrap/>
            <w:vAlign w:val="center"/>
          </w:tcPr>
          <w:p w14:paraId="61506C59">
            <w:pPr>
              <w:pStyle w:val="155"/>
              <w:jc w:val="center"/>
              <w:rPr>
                <w:rFonts w:hint="default" w:hAnsi="Times New Roman" w:eastAsia="宋体" w:cs="Times New Roman"/>
                <w:b/>
                <w:bCs w:val="0"/>
              </w:rPr>
            </w:pPr>
            <w:r>
              <w:rPr>
                <w:rFonts w:hint="default" w:hAnsi="宋体" w:eastAsia="宋体" w:cs="Times New Roman"/>
                <w:b/>
              </w:rPr>
              <w:t>啮齿目</w:t>
            </w:r>
          </w:p>
        </w:tc>
        <w:tc>
          <w:tcPr>
            <w:tcW w:w="2546" w:type="dxa"/>
            <w:noWrap/>
            <w:vAlign w:val="center"/>
          </w:tcPr>
          <w:p w14:paraId="0266E939">
            <w:pPr>
              <w:pStyle w:val="155"/>
              <w:jc w:val="center"/>
              <w:rPr>
                <w:rFonts w:hint="default" w:hAnsi="Times New Roman" w:eastAsia="宋体" w:cs="Times New Roman"/>
                <w:b/>
                <w:bCs w:val="0"/>
              </w:rPr>
            </w:pPr>
            <w:r>
              <w:rPr>
                <w:rFonts w:hint="default" w:hAnsi="Times New Roman" w:eastAsia="宋体" w:cs="Times New Roman"/>
                <w:b/>
              </w:rPr>
              <w:t>RODENTIA</w:t>
            </w:r>
          </w:p>
        </w:tc>
        <w:tc>
          <w:tcPr>
            <w:tcW w:w="991" w:type="dxa"/>
            <w:noWrap/>
            <w:vAlign w:val="center"/>
          </w:tcPr>
          <w:p w14:paraId="2C56F860">
            <w:pPr>
              <w:pStyle w:val="155"/>
              <w:jc w:val="center"/>
              <w:rPr>
                <w:rFonts w:hint="default" w:hAnsi="Times New Roman" w:eastAsia="宋体" w:cs="Times New Roman"/>
                <w:b/>
                <w:bCs w:val="0"/>
              </w:rPr>
            </w:pPr>
          </w:p>
        </w:tc>
        <w:tc>
          <w:tcPr>
            <w:tcW w:w="971" w:type="dxa"/>
            <w:noWrap/>
            <w:vAlign w:val="center"/>
          </w:tcPr>
          <w:p w14:paraId="4C2D7ED7">
            <w:pPr>
              <w:pStyle w:val="155"/>
              <w:jc w:val="center"/>
              <w:rPr>
                <w:rFonts w:hint="default" w:hAnsi="Times New Roman" w:eastAsia="宋体" w:cs="Times New Roman"/>
                <w:b/>
                <w:bCs w:val="0"/>
              </w:rPr>
            </w:pPr>
          </w:p>
        </w:tc>
        <w:tc>
          <w:tcPr>
            <w:tcW w:w="971" w:type="dxa"/>
            <w:noWrap/>
            <w:vAlign w:val="center"/>
          </w:tcPr>
          <w:p w14:paraId="4141D838">
            <w:pPr>
              <w:pStyle w:val="155"/>
              <w:jc w:val="center"/>
              <w:rPr>
                <w:rFonts w:hint="default" w:hAnsi="Times New Roman" w:eastAsia="宋体" w:cs="Times New Roman"/>
                <w:b/>
                <w:bCs w:val="0"/>
              </w:rPr>
            </w:pPr>
          </w:p>
        </w:tc>
        <w:tc>
          <w:tcPr>
            <w:tcW w:w="1332" w:type="dxa"/>
            <w:gridSpan w:val="2"/>
            <w:noWrap/>
            <w:vAlign w:val="center"/>
          </w:tcPr>
          <w:p w14:paraId="407FEC90">
            <w:pPr>
              <w:pStyle w:val="155"/>
              <w:jc w:val="center"/>
              <w:rPr>
                <w:rFonts w:hint="default" w:hAnsi="Times New Roman" w:eastAsia="宋体" w:cs="Times New Roman"/>
                <w:b/>
                <w:bCs w:val="0"/>
              </w:rPr>
            </w:pPr>
          </w:p>
        </w:tc>
      </w:tr>
      <w:tr w14:paraId="0E7D75DD">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137" w:type="dxa"/>
            <w:noWrap/>
            <w:vAlign w:val="center"/>
          </w:tcPr>
          <w:p w14:paraId="04CDADE7">
            <w:pPr>
              <w:pStyle w:val="155"/>
              <w:jc w:val="center"/>
              <w:rPr>
                <w:rFonts w:hint="default" w:hAnsi="Times New Roman" w:eastAsia="宋体" w:cs="Times New Roman"/>
                <w:b/>
                <w:bCs w:val="0"/>
              </w:rPr>
            </w:pPr>
            <w:r>
              <w:rPr>
                <w:rFonts w:hint="default" w:hAnsi="宋体" w:eastAsia="宋体" w:cs="Times New Roman"/>
                <w:b/>
              </w:rPr>
              <w:t>（七）</w:t>
            </w:r>
          </w:p>
        </w:tc>
        <w:tc>
          <w:tcPr>
            <w:tcW w:w="1123" w:type="dxa"/>
            <w:noWrap/>
            <w:vAlign w:val="center"/>
          </w:tcPr>
          <w:p w14:paraId="1C342F87">
            <w:pPr>
              <w:pStyle w:val="155"/>
              <w:jc w:val="center"/>
              <w:rPr>
                <w:rFonts w:hint="default" w:hAnsi="Times New Roman" w:eastAsia="宋体" w:cs="Times New Roman"/>
                <w:b/>
                <w:bCs w:val="0"/>
              </w:rPr>
            </w:pPr>
            <w:r>
              <w:rPr>
                <w:rFonts w:hint="default" w:hAnsi="宋体" w:eastAsia="宋体" w:cs="Times New Roman"/>
                <w:b/>
              </w:rPr>
              <w:t>松鼠科</w:t>
            </w:r>
          </w:p>
        </w:tc>
        <w:tc>
          <w:tcPr>
            <w:tcW w:w="2546" w:type="dxa"/>
            <w:noWrap/>
            <w:vAlign w:val="center"/>
          </w:tcPr>
          <w:p w14:paraId="6F11D75E">
            <w:pPr>
              <w:pStyle w:val="155"/>
              <w:jc w:val="center"/>
              <w:rPr>
                <w:rFonts w:hint="default" w:hAnsi="Times New Roman" w:eastAsia="宋体" w:cs="Times New Roman"/>
                <w:b/>
                <w:bCs w:val="0"/>
              </w:rPr>
            </w:pPr>
            <w:r>
              <w:rPr>
                <w:rFonts w:hint="default" w:hAnsi="Times New Roman" w:eastAsia="宋体" w:cs="Times New Roman"/>
                <w:b/>
              </w:rPr>
              <w:t>Sciuridae</w:t>
            </w:r>
          </w:p>
        </w:tc>
        <w:tc>
          <w:tcPr>
            <w:tcW w:w="991" w:type="dxa"/>
            <w:noWrap/>
            <w:vAlign w:val="center"/>
          </w:tcPr>
          <w:p w14:paraId="1263FF70">
            <w:pPr>
              <w:pStyle w:val="155"/>
              <w:jc w:val="center"/>
              <w:rPr>
                <w:rFonts w:hint="default" w:hAnsi="Times New Roman" w:eastAsia="宋体" w:cs="Times New Roman"/>
                <w:b/>
                <w:bCs w:val="0"/>
              </w:rPr>
            </w:pPr>
          </w:p>
        </w:tc>
        <w:tc>
          <w:tcPr>
            <w:tcW w:w="971" w:type="dxa"/>
            <w:noWrap/>
            <w:vAlign w:val="center"/>
          </w:tcPr>
          <w:p w14:paraId="0AEB8C67">
            <w:pPr>
              <w:pStyle w:val="155"/>
              <w:jc w:val="center"/>
              <w:rPr>
                <w:rFonts w:hint="default" w:hAnsi="Times New Roman" w:eastAsia="宋体" w:cs="Times New Roman"/>
                <w:b/>
                <w:bCs w:val="0"/>
              </w:rPr>
            </w:pPr>
          </w:p>
        </w:tc>
        <w:tc>
          <w:tcPr>
            <w:tcW w:w="971" w:type="dxa"/>
            <w:noWrap/>
            <w:vAlign w:val="center"/>
          </w:tcPr>
          <w:p w14:paraId="1777EC88">
            <w:pPr>
              <w:pStyle w:val="155"/>
              <w:jc w:val="center"/>
              <w:rPr>
                <w:rFonts w:hint="default" w:hAnsi="Times New Roman" w:eastAsia="宋体" w:cs="Times New Roman"/>
                <w:b/>
                <w:bCs w:val="0"/>
              </w:rPr>
            </w:pPr>
          </w:p>
        </w:tc>
        <w:tc>
          <w:tcPr>
            <w:tcW w:w="1332" w:type="dxa"/>
            <w:gridSpan w:val="2"/>
            <w:noWrap/>
            <w:vAlign w:val="center"/>
          </w:tcPr>
          <w:p w14:paraId="10B99ED5">
            <w:pPr>
              <w:pStyle w:val="155"/>
              <w:jc w:val="center"/>
              <w:rPr>
                <w:rFonts w:hint="default" w:hAnsi="Times New Roman" w:eastAsia="宋体" w:cs="Times New Roman"/>
                <w:b/>
                <w:bCs w:val="0"/>
              </w:rPr>
            </w:pPr>
          </w:p>
        </w:tc>
      </w:tr>
      <w:tr w14:paraId="46E780AA">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137" w:type="dxa"/>
            <w:noWrap/>
            <w:vAlign w:val="center"/>
          </w:tcPr>
          <w:p w14:paraId="45F88DFC">
            <w:pPr>
              <w:pStyle w:val="155"/>
              <w:jc w:val="center"/>
              <w:rPr>
                <w:rFonts w:hint="default" w:hAnsi="Times New Roman" w:eastAsia="宋体" w:cs="Times New Roman"/>
              </w:rPr>
            </w:pPr>
            <w:r>
              <w:rPr>
                <w:rFonts w:hint="default" w:hAnsi="Times New Roman" w:eastAsia="宋体" w:cs="Times New Roman"/>
              </w:rPr>
              <w:t>9</w:t>
            </w:r>
          </w:p>
        </w:tc>
        <w:tc>
          <w:tcPr>
            <w:tcW w:w="1123" w:type="dxa"/>
            <w:noWrap/>
            <w:vAlign w:val="center"/>
          </w:tcPr>
          <w:p w14:paraId="004E7599">
            <w:pPr>
              <w:pStyle w:val="155"/>
              <w:jc w:val="center"/>
              <w:rPr>
                <w:rFonts w:hint="default" w:hAnsi="Times New Roman" w:eastAsia="宋体" w:cs="Times New Roman"/>
              </w:rPr>
            </w:pPr>
            <w:r>
              <w:rPr>
                <w:rFonts w:hint="default" w:hAnsi="宋体" w:eastAsia="宋体" w:cs="Times New Roman"/>
              </w:rPr>
              <w:t>松鼠</w:t>
            </w:r>
          </w:p>
        </w:tc>
        <w:tc>
          <w:tcPr>
            <w:tcW w:w="2546" w:type="dxa"/>
            <w:noWrap/>
            <w:vAlign w:val="center"/>
          </w:tcPr>
          <w:p w14:paraId="2B8B06CC">
            <w:pPr>
              <w:pStyle w:val="155"/>
              <w:jc w:val="center"/>
              <w:rPr>
                <w:rFonts w:hint="default" w:hAnsi="Times New Roman" w:eastAsia="宋体" w:cs="Times New Roman"/>
                <w:i/>
                <w:iCs/>
              </w:rPr>
            </w:pPr>
            <w:r>
              <w:rPr>
                <w:rFonts w:hint="default" w:hAnsi="Times New Roman" w:eastAsia="宋体" w:cs="Times New Roman"/>
                <w:i/>
                <w:iCs/>
              </w:rPr>
              <w:t>Sciurus vuigaris</w:t>
            </w:r>
          </w:p>
        </w:tc>
        <w:tc>
          <w:tcPr>
            <w:tcW w:w="991" w:type="dxa"/>
            <w:noWrap/>
            <w:vAlign w:val="center"/>
          </w:tcPr>
          <w:p w14:paraId="76B072D8">
            <w:pPr>
              <w:pStyle w:val="155"/>
              <w:jc w:val="center"/>
              <w:rPr>
                <w:rFonts w:hint="default" w:hAnsi="Times New Roman" w:eastAsia="宋体" w:cs="Times New Roman"/>
              </w:rPr>
            </w:pPr>
            <w:r>
              <w:rPr>
                <w:rFonts w:hint="default" w:hAnsi="Times New Roman" w:eastAsia="宋体" w:cs="Times New Roman"/>
              </w:rPr>
              <w:t>F B</w:t>
            </w:r>
          </w:p>
        </w:tc>
        <w:tc>
          <w:tcPr>
            <w:tcW w:w="971" w:type="dxa"/>
            <w:noWrap/>
            <w:vAlign w:val="center"/>
          </w:tcPr>
          <w:p w14:paraId="64FC4975">
            <w:pPr>
              <w:pStyle w:val="155"/>
              <w:jc w:val="center"/>
              <w:rPr>
                <w:rFonts w:hint="default" w:hAnsi="Times New Roman" w:eastAsia="宋体" w:cs="Times New Roman"/>
              </w:rPr>
            </w:pPr>
            <w:r>
              <w:rPr>
                <w:rFonts w:hint="default" w:hAnsi="Times New Roman" w:eastAsia="宋体" w:cs="Times New Roman"/>
              </w:rPr>
              <w:t>+</w:t>
            </w:r>
          </w:p>
        </w:tc>
        <w:tc>
          <w:tcPr>
            <w:tcW w:w="971" w:type="dxa"/>
            <w:noWrap/>
            <w:vAlign w:val="center"/>
          </w:tcPr>
          <w:p w14:paraId="740648E9">
            <w:pPr>
              <w:pStyle w:val="155"/>
              <w:jc w:val="center"/>
              <w:rPr>
                <w:rFonts w:hint="default" w:hAnsi="Times New Roman" w:eastAsia="宋体" w:cs="Times New Roman"/>
              </w:rPr>
            </w:pPr>
          </w:p>
        </w:tc>
        <w:tc>
          <w:tcPr>
            <w:tcW w:w="1332" w:type="dxa"/>
            <w:gridSpan w:val="2"/>
            <w:noWrap/>
            <w:vAlign w:val="center"/>
          </w:tcPr>
          <w:p w14:paraId="74979302">
            <w:pPr>
              <w:pStyle w:val="155"/>
              <w:jc w:val="center"/>
              <w:rPr>
                <w:rFonts w:hint="default" w:hAnsi="Times New Roman" w:eastAsia="宋体" w:cs="Times New Roman"/>
              </w:rPr>
            </w:pPr>
            <w:r>
              <w:rPr>
                <w:rFonts w:hint="default" w:hAnsi="Times New Roman" w:eastAsia="宋体" w:cs="Times New Roman"/>
              </w:rPr>
              <w:t>P</w:t>
            </w:r>
          </w:p>
        </w:tc>
      </w:tr>
      <w:tr w14:paraId="78195695">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137" w:type="dxa"/>
            <w:noWrap/>
            <w:vAlign w:val="center"/>
          </w:tcPr>
          <w:p w14:paraId="6BAD7264">
            <w:pPr>
              <w:pStyle w:val="155"/>
              <w:jc w:val="center"/>
              <w:rPr>
                <w:rFonts w:hint="default" w:hAnsi="Times New Roman" w:eastAsia="宋体" w:cs="Times New Roman"/>
              </w:rPr>
            </w:pPr>
            <w:r>
              <w:rPr>
                <w:rFonts w:hint="default" w:hAnsi="Times New Roman" w:eastAsia="宋体" w:cs="Times New Roman"/>
              </w:rPr>
              <w:t>10</w:t>
            </w:r>
          </w:p>
        </w:tc>
        <w:tc>
          <w:tcPr>
            <w:tcW w:w="1123" w:type="dxa"/>
            <w:noWrap/>
            <w:vAlign w:val="center"/>
          </w:tcPr>
          <w:p w14:paraId="511C6E08">
            <w:pPr>
              <w:pStyle w:val="155"/>
              <w:jc w:val="center"/>
              <w:rPr>
                <w:rFonts w:hint="default" w:hAnsi="Times New Roman" w:eastAsia="宋体" w:cs="Times New Roman"/>
              </w:rPr>
            </w:pPr>
            <w:r>
              <w:rPr>
                <w:rFonts w:hint="default" w:hAnsi="宋体" w:eastAsia="宋体" w:cs="Times New Roman"/>
              </w:rPr>
              <w:t>花鼠</w:t>
            </w:r>
          </w:p>
        </w:tc>
        <w:tc>
          <w:tcPr>
            <w:tcW w:w="2546" w:type="dxa"/>
            <w:noWrap/>
            <w:vAlign w:val="center"/>
          </w:tcPr>
          <w:p w14:paraId="5067CBAF">
            <w:pPr>
              <w:pStyle w:val="155"/>
              <w:jc w:val="center"/>
              <w:rPr>
                <w:rFonts w:hint="default" w:hAnsi="Times New Roman" w:eastAsia="宋体" w:cs="Times New Roman"/>
                <w:i/>
                <w:iCs/>
              </w:rPr>
            </w:pPr>
            <w:r>
              <w:rPr>
                <w:rFonts w:hint="default" w:hAnsi="Times New Roman" w:eastAsia="宋体" w:cs="Times New Roman"/>
                <w:i/>
                <w:iCs/>
              </w:rPr>
              <w:t>Citellus dauricus</w:t>
            </w:r>
          </w:p>
        </w:tc>
        <w:tc>
          <w:tcPr>
            <w:tcW w:w="991" w:type="dxa"/>
            <w:noWrap/>
            <w:vAlign w:val="center"/>
          </w:tcPr>
          <w:p w14:paraId="21361659">
            <w:pPr>
              <w:pStyle w:val="155"/>
              <w:jc w:val="center"/>
              <w:rPr>
                <w:rFonts w:hint="default" w:hAnsi="Times New Roman" w:eastAsia="宋体" w:cs="Times New Roman"/>
              </w:rPr>
            </w:pPr>
            <w:r>
              <w:rPr>
                <w:rFonts w:hint="default" w:hAnsi="Times New Roman" w:eastAsia="宋体" w:cs="Times New Roman"/>
              </w:rPr>
              <w:t>F B</w:t>
            </w:r>
          </w:p>
        </w:tc>
        <w:tc>
          <w:tcPr>
            <w:tcW w:w="971" w:type="dxa"/>
            <w:noWrap/>
            <w:vAlign w:val="center"/>
          </w:tcPr>
          <w:p w14:paraId="69D84F84">
            <w:pPr>
              <w:pStyle w:val="155"/>
              <w:jc w:val="center"/>
              <w:rPr>
                <w:rFonts w:hint="default" w:hAnsi="Times New Roman" w:eastAsia="宋体" w:cs="Times New Roman"/>
              </w:rPr>
            </w:pPr>
            <w:r>
              <w:rPr>
                <w:rFonts w:hint="default" w:hAnsi="Times New Roman" w:eastAsia="宋体" w:cs="Times New Roman"/>
              </w:rPr>
              <w:t>++</w:t>
            </w:r>
          </w:p>
        </w:tc>
        <w:tc>
          <w:tcPr>
            <w:tcW w:w="971" w:type="dxa"/>
            <w:noWrap/>
            <w:vAlign w:val="center"/>
          </w:tcPr>
          <w:p w14:paraId="2F6BA57F">
            <w:pPr>
              <w:pStyle w:val="155"/>
              <w:jc w:val="center"/>
              <w:rPr>
                <w:rFonts w:hint="default" w:hAnsi="Times New Roman" w:eastAsia="宋体" w:cs="Times New Roman"/>
              </w:rPr>
            </w:pPr>
          </w:p>
        </w:tc>
        <w:tc>
          <w:tcPr>
            <w:tcW w:w="1332" w:type="dxa"/>
            <w:gridSpan w:val="2"/>
            <w:noWrap/>
            <w:vAlign w:val="center"/>
          </w:tcPr>
          <w:p w14:paraId="6A2B7867">
            <w:pPr>
              <w:pStyle w:val="155"/>
              <w:jc w:val="center"/>
              <w:rPr>
                <w:rFonts w:hint="default" w:hAnsi="Times New Roman" w:eastAsia="宋体" w:cs="Times New Roman"/>
              </w:rPr>
            </w:pPr>
            <w:r>
              <w:rPr>
                <w:rFonts w:hint="default" w:hAnsi="Times New Roman" w:eastAsia="宋体" w:cs="Times New Roman"/>
              </w:rPr>
              <w:t>P</w:t>
            </w:r>
          </w:p>
        </w:tc>
      </w:tr>
      <w:tr w14:paraId="6F738E19">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137" w:type="dxa"/>
            <w:noWrap/>
            <w:vAlign w:val="center"/>
          </w:tcPr>
          <w:p w14:paraId="1F35ADFA">
            <w:pPr>
              <w:pStyle w:val="155"/>
              <w:jc w:val="center"/>
              <w:rPr>
                <w:rFonts w:hint="default" w:hAnsi="Times New Roman" w:eastAsia="宋体" w:cs="Times New Roman"/>
              </w:rPr>
            </w:pPr>
            <w:r>
              <w:rPr>
                <w:rFonts w:hint="default" w:hAnsi="Times New Roman" w:eastAsia="宋体" w:cs="Times New Roman"/>
              </w:rPr>
              <w:t>11</w:t>
            </w:r>
          </w:p>
        </w:tc>
        <w:tc>
          <w:tcPr>
            <w:tcW w:w="1123" w:type="dxa"/>
            <w:noWrap/>
            <w:vAlign w:val="center"/>
          </w:tcPr>
          <w:p w14:paraId="56E00A25">
            <w:pPr>
              <w:pStyle w:val="155"/>
              <w:jc w:val="center"/>
              <w:rPr>
                <w:rFonts w:hint="default" w:hAnsi="Times New Roman" w:eastAsia="宋体" w:cs="Times New Roman"/>
              </w:rPr>
            </w:pPr>
            <w:r>
              <w:rPr>
                <w:rFonts w:hint="default" w:hAnsi="宋体" w:eastAsia="宋体" w:cs="Times New Roman"/>
              </w:rPr>
              <w:t>小飞鼠</w:t>
            </w:r>
          </w:p>
        </w:tc>
        <w:tc>
          <w:tcPr>
            <w:tcW w:w="2546" w:type="dxa"/>
            <w:noWrap/>
            <w:vAlign w:val="center"/>
          </w:tcPr>
          <w:p w14:paraId="5A640742">
            <w:pPr>
              <w:pStyle w:val="155"/>
              <w:jc w:val="center"/>
              <w:rPr>
                <w:rFonts w:hint="default" w:hAnsi="Times New Roman" w:eastAsia="宋体" w:cs="Times New Roman"/>
                <w:i/>
                <w:iCs/>
              </w:rPr>
            </w:pPr>
            <w:r>
              <w:rPr>
                <w:rFonts w:hint="default" w:hAnsi="Times New Roman" w:eastAsia="宋体" w:cs="Times New Roman"/>
                <w:i/>
                <w:iCs/>
              </w:rPr>
              <w:t>Pteromys volans</w:t>
            </w:r>
          </w:p>
        </w:tc>
        <w:tc>
          <w:tcPr>
            <w:tcW w:w="991" w:type="dxa"/>
            <w:noWrap/>
            <w:vAlign w:val="center"/>
          </w:tcPr>
          <w:p w14:paraId="10E25572">
            <w:pPr>
              <w:pStyle w:val="155"/>
              <w:jc w:val="center"/>
              <w:rPr>
                <w:rFonts w:hint="default" w:hAnsi="Times New Roman" w:eastAsia="宋体" w:cs="Times New Roman"/>
              </w:rPr>
            </w:pPr>
            <w:r>
              <w:rPr>
                <w:rFonts w:hint="default" w:hAnsi="Times New Roman" w:eastAsia="宋体" w:cs="Times New Roman"/>
              </w:rPr>
              <w:t>F B</w:t>
            </w:r>
          </w:p>
        </w:tc>
        <w:tc>
          <w:tcPr>
            <w:tcW w:w="971" w:type="dxa"/>
            <w:noWrap/>
            <w:vAlign w:val="center"/>
          </w:tcPr>
          <w:p w14:paraId="5832C418">
            <w:pPr>
              <w:pStyle w:val="155"/>
              <w:jc w:val="center"/>
              <w:rPr>
                <w:rFonts w:hint="default" w:hAnsi="Times New Roman" w:eastAsia="宋体" w:cs="Times New Roman"/>
              </w:rPr>
            </w:pPr>
            <w:r>
              <w:rPr>
                <w:rFonts w:hint="default" w:hAnsi="Times New Roman" w:eastAsia="宋体" w:cs="Times New Roman"/>
              </w:rPr>
              <w:t>+</w:t>
            </w:r>
          </w:p>
        </w:tc>
        <w:tc>
          <w:tcPr>
            <w:tcW w:w="971" w:type="dxa"/>
            <w:noWrap/>
            <w:vAlign w:val="center"/>
          </w:tcPr>
          <w:p w14:paraId="7C05FCB8">
            <w:pPr>
              <w:pStyle w:val="155"/>
              <w:jc w:val="center"/>
              <w:rPr>
                <w:rFonts w:hint="default" w:hAnsi="Times New Roman" w:eastAsia="宋体" w:cs="Times New Roman"/>
              </w:rPr>
            </w:pPr>
          </w:p>
        </w:tc>
        <w:tc>
          <w:tcPr>
            <w:tcW w:w="1332" w:type="dxa"/>
            <w:gridSpan w:val="2"/>
            <w:noWrap/>
            <w:vAlign w:val="center"/>
          </w:tcPr>
          <w:p w14:paraId="6E9BC2DE">
            <w:pPr>
              <w:pStyle w:val="155"/>
              <w:jc w:val="center"/>
              <w:rPr>
                <w:rFonts w:hint="default" w:hAnsi="Times New Roman" w:eastAsia="宋体" w:cs="Times New Roman"/>
              </w:rPr>
            </w:pPr>
            <w:r>
              <w:rPr>
                <w:rFonts w:hint="default" w:hAnsi="Times New Roman" w:eastAsia="宋体" w:cs="Times New Roman"/>
              </w:rPr>
              <w:t>P</w:t>
            </w:r>
          </w:p>
        </w:tc>
      </w:tr>
      <w:tr w14:paraId="2D9F1F8B">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137" w:type="dxa"/>
            <w:noWrap/>
            <w:vAlign w:val="center"/>
          </w:tcPr>
          <w:p w14:paraId="6BA4B42A">
            <w:pPr>
              <w:pStyle w:val="155"/>
              <w:jc w:val="center"/>
              <w:rPr>
                <w:rFonts w:hint="default" w:hAnsi="Times New Roman" w:eastAsia="宋体" w:cs="Times New Roman"/>
                <w:b/>
                <w:bCs w:val="0"/>
              </w:rPr>
            </w:pPr>
            <w:r>
              <w:rPr>
                <w:rFonts w:hint="default" w:hAnsi="宋体" w:eastAsia="宋体" w:cs="Times New Roman"/>
                <w:b/>
              </w:rPr>
              <w:t>（八）</w:t>
            </w:r>
          </w:p>
        </w:tc>
        <w:tc>
          <w:tcPr>
            <w:tcW w:w="1123" w:type="dxa"/>
            <w:noWrap/>
            <w:vAlign w:val="center"/>
          </w:tcPr>
          <w:p w14:paraId="5345A4BC">
            <w:pPr>
              <w:pStyle w:val="155"/>
              <w:jc w:val="center"/>
              <w:rPr>
                <w:rFonts w:hint="default" w:hAnsi="Times New Roman" w:eastAsia="宋体" w:cs="Times New Roman"/>
                <w:b/>
                <w:bCs w:val="0"/>
              </w:rPr>
            </w:pPr>
            <w:r>
              <w:rPr>
                <w:rFonts w:hint="default" w:hAnsi="宋体" w:eastAsia="宋体" w:cs="Times New Roman"/>
                <w:b/>
              </w:rPr>
              <w:t>仓鼠科</w:t>
            </w:r>
          </w:p>
        </w:tc>
        <w:tc>
          <w:tcPr>
            <w:tcW w:w="2546" w:type="dxa"/>
            <w:noWrap/>
            <w:vAlign w:val="center"/>
          </w:tcPr>
          <w:p w14:paraId="783759AC">
            <w:pPr>
              <w:pStyle w:val="155"/>
              <w:jc w:val="center"/>
              <w:rPr>
                <w:rFonts w:hint="default" w:hAnsi="Times New Roman" w:eastAsia="宋体" w:cs="Times New Roman"/>
                <w:b/>
                <w:bCs w:val="0"/>
              </w:rPr>
            </w:pPr>
            <w:r>
              <w:rPr>
                <w:rFonts w:hint="default" w:hAnsi="Times New Roman" w:eastAsia="宋体" w:cs="Times New Roman"/>
                <w:b/>
              </w:rPr>
              <w:t>Cricetidae</w:t>
            </w:r>
          </w:p>
        </w:tc>
        <w:tc>
          <w:tcPr>
            <w:tcW w:w="991" w:type="dxa"/>
            <w:noWrap/>
            <w:vAlign w:val="center"/>
          </w:tcPr>
          <w:p w14:paraId="13DAB520">
            <w:pPr>
              <w:pStyle w:val="155"/>
              <w:jc w:val="center"/>
              <w:rPr>
                <w:rFonts w:hint="default" w:hAnsi="Times New Roman" w:eastAsia="宋体" w:cs="Times New Roman"/>
                <w:b/>
                <w:bCs w:val="0"/>
              </w:rPr>
            </w:pPr>
          </w:p>
        </w:tc>
        <w:tc>
          <w:tcPr>
            <w:tcW w:w="971" w:type="dxa"/>
            <w:noWrap/>
            <w:vAlign w:val="center"/>
          </w:tcPr>
          <w:p w14:paraId="09335912">
            <w:pPr>
              <w:pStyle w:val="155"/>
              <w:jc w:val="center"/>
              <w:rPr>
                <w:rFonts w:hint="default" w:hAnsi="Times New Roman" w:eastAsia="宋体" w:cs="Times New Roman"/>
                <w:b/>
                <w:bCs w:val="0"/>
              </w:rPr>
            </w:pPr>
          </w:p>
        </w:tc>
        <w:tc>
          <w:tcPr>
            <w:tcW w:w="971" w:type="dxa"/>
            <w:noWrap/>
            <w:vAlign w:val="center"/>
          </w:tcPr>
          <w:p w14:paraId="20EC64FF">
            <w:pPr>
              <w:pStyle w:val="155"/>
              <w:jc w:val="center"/>
              <w:rPr>
                <w:rFonts w:hint="default" w:hAnsi="Times New Roman" w:eastAsia="宋体" w:cs="Times New Roman"/>
                <w:b/>
                <w:bCs w:val="0"/>
              </w:rPr>
            </w:pPr>
          </w:p>
        </w:tc>
        <w:tc>
          <w:tcPr>
            <w:tcW w:w="1332" w:type="dxa"/>
            <w:gridSpan w:val="2"/>
            <w:noWrap/>
            <w:vAlign w:val="center"/>
          </w:tcPr>
          <w:p w14:paraId="296DD59A">
            <w:pPr>
              <w:pStyle w:val="155"/>
              <w:jc w:val="center"/>
              <w:rPr>
                <w:rFonts w:hint="default" w:hAnsi="Times New Roman" w:eastAsia="宋体" w:cs="Times New Roman"/>
                <w:b/>
                <w:bCs w:val="0"/>
              </w:rPr>
            </w:pPr>
          </w:p>
        </w:tc>
      </w:tr>
      <w:tr w14:paraId="32CED20A">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gridAfter w:val="1"/>
          <w:wAfter w:w="10" w:type="dxa"/>
          <w:trHeight w:val="340" w:hRule="atLeast"/>
          <w:jc w:val="center"/>
        </w:trPr>
        <w:tc>
          <w:tcPr>
            <w:tcW w:w="1137" w:type="dxa"/>
            <w:noWrap/>
            <w:vAlign w:val="center"/>
          </w:tcPr>
          <w:p w14:paraId="7E449993">
            <w:pPr>
              <w:pStyle w:val="155"/>
              <w:jc w:val="center"/>
              <w:rPr>
                <w:rFonts w:hint="default" w:hAnsi="Times New Roman" w:eastAsia="宋体" w:cs="Times New Roman"/>
              </w:rPr>
            </w:pPr>
            <w:r>
              <w:rPr>
                <w:rFonts w:hint="default" w:hAnsi="Times New Roman" w:eastAsia="宋体" w:cs="Times New Roman"/>
              </w:rPr>
              <w:t>12</w:t>
            </w:r>
          </w:p>
        </w:tc>
        <w:tc>
          <w:tcPr>
            <w:tcW w:w="1123" w:type="dxa"/>
            <w:noWrap/>
            <w:vAlign w:val="center"/>
          </w:tcPr>
          <w:p w14:paraId="49DAFFDC">
            <w:pPr>
              <w:pStyle w:val="155"/>
              <w:jc w:val="center"/>
              <w:rPr>
                <w:rFonts w:hint="default" w:hAnsi="Times New Roman" w:eastAsia="宋体" w:cs="Times New Roman"/>
              </w:rPr>
            </w:pPr>
            <w:r>
              <w:rPr>
                <w:rFonts w:hint="default" w:hAnsi="宋体" w:eastAsia="宋体" w:cs="Times New Roman"/>
              </w:rPr>
              <w:t>红背䶄</w:t>
            </w:r>
          </w:p>
        </w:tc>
        <w:tc>
          <w:tcPr>
            <w:tcW w:w="2546" w:type="dxa"/>
            <w:noWrap/>
            <w:vAlign w:val="center"/>
          </w:tcPr>
          <w:p w14:paraId="50782C01">
            <w:pPr>
              <w:pStyle w:val="155"/>
              <w:jc w:val="center"/>
              <w:rPr>
                <w:rFonts w:hint="default" w:hAnsi="Times New Roman" w:eastAsia="宋体" w:cs="Times New Roman"/>
                <w:i/>
                <w:iCs/>
              </w:rPr>
            </w:pPr>
            <w:r>
              <w:rPr>
                <w:rFonts w:hint="default" w:hAnsi="Times New Roman" w:eastAsia="宋体" w:cs="Times New Roman"/>
                <w:i/>
                <w:iCs/>
              </w:rPr>
              <w:t>Myodes rutilus</w:t>
            </w:r>
          </w:p>
        </w:tc>
        <w:tc>
          <w:tcPr>
            <w:tcW w:w="991" w:type="dxa"/>
            <w:noWrap/>
            <w:vAlign w:val="center"/>
          </w:tcPr>
          <w:p w14:paraId="6F23907D">
            <w:pPr>
              <w:pStyle w:val="155"/>
              <w:jc w:val="center"/>
              <w:rPr>
                <w:rFonts w:hint="default" w:hAnsi="Times New Roman" w:eastAsia="宋体" w:cs="Times New Roman"/>
              </w:rPr>
            </w:pPr>
            <w:r>
              <w:rPr>
                <w:rFonts w:hint="default" w:hAnsi="Times New Roman" w:eastAsia="宋体" w:cs="Times New Roman"/>
              </w:rPr>
              <w:t>B G M</w:t>
            </w:r>
          </w:p>
        </w:tc>
        <w:tc>
          <w:tcPr>
            <w:tcW w:w="971" w:type="dxa"/>
            <w:noWrap/>
            <w:vAlign w:val="center"/>
          </w:tcPr>
          <w:p w14:paraId="28C40A8E">
            <w:pPr>
              <w:pStyle w:val="155"/>
              <w:jc w:val="center"/>
              <w:rPr>
                <w:rFonts w:hint="default" w:hAnsi="Times New Roman" w:eastAsia="宋体" w:cs="Times New Roman"/>
              </w:rPr>
            </w:pPr>
            <w:r>
              <w:rPr>
                <w:rFonts w:hint="default" w:hAnsi="Times New Roman" w:eastAsia="宋体" w:cs="Times New Roman"/>
              </w:rPr>
              <w:t>++</w:t>
            </w:r>
          </w:p>
        </w:tc>
        <w:tc>
          <w:tcPr>
            <w:tcW w:w="971" w:type="dxa"/>
            <w:noWrap/>
            <w:vAlign w:val="center"/>
          </w:tcPr>
          <w:p w14:paraId="63E01BA5">
            <w:pPr>
              <w:pStyle w:val="155"/>
              <w:jc w:val="center"/>
              <w:rPr>
                <w:rFonts w:hint="default" w:hAnsi="Times New Roman" w:eastAsia="宋体" w:cs="Times New Roman"/>
              </w:rPr>
            </w:pPr>
          </w:p>
        </w:tc>
        <w:tc>
          <w:tcPr>
            <w:tcW w:w="1322" w:type="dxa"/>
            <w:noWrap/>
            <w:vAlign w:val="center"/>
          </w:tcPr>
          <w:p w14:paraId="060C4E2F">
            <w:pPr>
              <w:pStyle w:val="155"/>
              <w:jc w:val="center"/>
              <w:rPr>
                <w:rFonts w:hint="default" w:hAnsi="Times New Roman" w:eastAsia="宋体" w:cs="Times New Roman"/>
              </w:rPr>
            </w:pPr>
            <w:r>
              <w:rPr>
                <w:rFonts w:hint="default" w:hAnsi="Times New Roman" w:eastAsia="宋体" w:cs="Times New Roman"/>
              </w:rPr>
              <w:t>P</w:t>
            </w:r>
          </w:p>
        </w:tc>
      </w:tr>
      <w:tr w14:paraId="75D30737">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gridAfter w:val="1"/>
          <w:wAfter w:w="10" w:type="dxa"/>
          <w:trHeight w:val="340" w:hRule="atLeast"/>
          <w:jc w:val="center"/>
        </w:trPr>
        <w:tc>
          <w:tcPr>
            <w:tcW w:w="1137" w:type="dxa"/>
            <w:noWrap/>
            <w:vAlign w:val="center"/>
          </w:tcPr>
          <w:p w14:paraId="40C1C2FF">
            <w:pPr>
              <w:pStyle w:val="155"/>
              <w:jc w:val="center"/>
              <w:rPr>
                <w:rFonts w:hint="default" w:hAnsi="Times New Roman" w:eastAsia="宋体" w:cs="Times New Roman"/>
              </w:rPr>
            </w:pPr>
            <w:r>
              <w:rPr>
                <w:rFonts w:hint="default" w:hAnsi="Times New Roman" w:eastAsia="宋体" w:cs="Times New Roman"/>
              </w:rPr>
              <w:t>13</w:t>
            </w:r>
          </w:p>
        </w:tc>
        <w:tc>
          <w:tcPr>
            <w:tcW w:w="1123" w:type="dxa"/>
            <w:noWrap/>
            <w:vAlign w:val="center"/>
          </w:tcPr>
          <w:p w14:paraId="5BDBA81A">
            <w:pPr>
              <w:pStyle w:val="155"/>
              <w:jc w:val="center"/>
              <w:rPr>
                <w:rFonts w:hint="default" w:hAnsi="Times New Roman" w:eastAsia="宋体" w:cs="Times New Roman"/>
              </w:rPr>
            </w:pPr>
            <w:r>
              <w:rPr>
                <w:rFonts w:hint="default" w:hAnsi="宋体" w:eastAsia="宋体" w:cs="Times New Roman"/>
              </w:rPr>
              <w:t>黑线仓鼠</w:t>
            </w:r>
          </w:p>
        </w:tc>
        <w:tc>
          <w:tcPr>
            <w:tcW w:w="2546" w:type="dxa"/>
            <w:noWrap/>
            <w:vAlign w:val="center"/>
          </w:tcPr>
          <w:p w14:paraId="2AD790AC">
            <w:pPr>
              <w:pStyle w:val="155"/>
              <w:jc w:val="center"/>
              <w:rPr>
                <w:rFonts w:hint="default" w:hAnsi="Times New Roman" w:eastAsia="宋体" w:cs="Times New Roman"/>
                <w:i/>
                <w:iCs/>
              </w:rPr>
            </w:pPr>
            <w:r>
              <w:rPr>
                <w:rFonts w:hint="default" w:hAnsi="Times New Roman" w:eastAsia="宋体" w:cs="Times New Roman"/>
                <w:i/>
                <w:iCs/>
              </w:rPr>
              <w:t>Cricetulus barabensis</w:t>
            </w:r>
          </w:p>
        </w:tc>
        <w:tc>
          <w:tcPr>
            <w:tcW w:w="991" w:type="dxa"/>
            <w:noWrap/>
            <w:vAlign w:val="center"/>
          </w:tcPr>
          <w:p w14:paraId="6499CA47">
            <w:pPr>
              <w:pStyle w:val="155"/>
              <w:jc w:val="center"/>
              <w:rPr>
                <w:rFonts w:hint="default" w:hAnsi="Times New Roman" w:eastAsia="宋体" w:cs="Times New Roman"/>
              </w:rPr>
            </w:pPr>
            <w:r>
              <w:rPr>
                <w:rFonts w:hint="default" w:hAnsi="Times New Roman" w:eastAsia="宋体" w:cs="Times New Roman"/>
              </w:rPr>
              <w:t>B R</w:t>
            </w:r>
          </w:p>
        </w:tc>
        <w:tc>
          <w:tcPr>
            <w:tcW w:w="971" w:type="dxa"/>
            <w:noWrap/>
            <w:vAlign w:val="center"/>
          </w:tcPr>
          <w:p w14:paraId="62E0C808">
            <w:pPr>
              <w:pStyle w:val="155"/>
              <w:jc w:val="center"/>
              <w:rPr>
                <w:rFonts w:hint="default" w:hAnsi="Times New Roman" w:eastAsia="宋体" w:cs="Times New Roman"/>
              </w:rPr>
            </w:pPr>
            <w:r>
              <w:rPr>
                <w:rFonts w:hint="default" w:hAnsi="Times New Roman" w:eastAsia="宋体" w:cs="Times New Roman"/>
              </w:rPr>
              <w:t>+++</w:t>
            </w:r>
          </w:p>
        </w:tc>
        <w:tc>
          <w:tcPr>
            <w:tcW w:w="971" w:type="dxa"/>
            <w:noWrap/>
            <w:vAlign w:val="center"/>
          </w:tcPr>
          <w:p w14:paraId="09D07B7D">
            <w:pPr>
              <w:pStyle w:val="155"/>
              <w:jc w:val="center"/>
              <w:rPr>
                <w:rFonts w:hint="default" w:hAnsi="Times New Roman" w:eastAsia="宋体" w:cs="Times New Roman"/>
              </w:rPr>
            </w:pPr>
          </w:p>
        </w:tc>
        <w:tc>
          <w:tcPr>
            <w:tcW w:w="1322" w:type="dxa"/>
            <w:noWrap/>
            <w:vAlign w:val="center"/>
          </w:tcPr>
          <w:p w14:paraId="0BD51BA8">
            <w:pPr>
              <w:pStyle w:val="155"/>
              <w:jc w:val="center"/>
              <w:rPr>
                <w:rFonts w:hint="default" w:hAnsi="Times New Roman" w:eastAsia="宋体" w:cs="Times New Roman"/>
              </w:rPr>
            </w:pPr>
            <w:r>
              <w:rPr>
                <w:rFonts w:hint="default" w:hAnsi="Times New Roman" w:eastAsia="宋体" w:cs="Times New Roman"/>
              </w:rPr>
              <w:t>P</w:t>
            </w:r>
          </w:p>
        </w:tc>
      </w:tr>
      <w:tr w14:paraId="7A873439">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gridAfter w:val="1"/>
          <w:wAfter w:w="10" w:type="dxa"/>
          <w:trHeight w:val="340" w:hRule="atLeast"/>
          <w:jc w:val="center"/>
        </w:trPr>
        <w:tc>
          <w:tcPr>
            <w:tcW w:w="1137" w:type="dxa"/>
            <w:noWrap/>
            <w:vAlign w:val="center"/>
          </w:tcPr>
          <w:p w14:paraId="6FF38FEF">
            <w:pPr>
              <w:pStyle w:val="155"/>
              <w:jc w:val="center"/>
              <w:rPr>
                <w:rFonts w:hint="default" w:hAnsi="Times New Roman" w:eastAsia="宋体" w:cs="Times New Roman"/>
              </w:rPr>
            </w:pPr>
            <w:r>
              <w:rPr>
                <w:rFonts w:hint="default" w:hAnsi="Times New Roman" w:eastAsia="宋体" w:cs="Times New Roman"/>
              </w:rPr>
              <w:t>14</w:t>
            </w:r>
          </w:p>
        </w:tc>
        <w:tc>
          <w:tcPr>
            <w:tcW w:w="1123" w:type="dxa"/>
            <w:noWrap/>
            <w:vAlign w:val="center"/>
          </w:tcPr>
          <w:p w14:paraId="1118EE4F">
            <w:pPr>
              <w:pStyle w:val="155"/>
              <w:jc w:val="center"/>
              <w:rPr>
                <w:rFonts w:hint="default" w:hAnsi="Times New Roman" w:eastAsia="宋体" w:cs="Times New Roman"/>
              </w:rPr>
            </w:pPr>
            <w:r>
              <w:rPr>
                <w:rFonts w:hint="default" w:hAnsi="宋体" w:eastAsia="宋体" w:cs="Times New Roman"/>
              </w:rPr>
              <w:t>棕背䶄</w:t>
            </w:r>
          </w:p>
        </w:tc>
        <w:tc>
          <w:tcPr>
            <w:tcW w:w="2546" w:type="dxa"/>
            <w:noWrap/>
            <w:vAlign w:val="center"/>
          </w:tcPr>
          <w:p w14:paraId="33063CA9">
            <w:pPr>
              <w:pStyle w:val="155"/>
              <w:jc w:val="center"/>
              <w:rPr>
                <w:rFonts w:hint="default" w:hAnsi="Times New Roman" w:eastAsia="宋体" w:cs="Times New Roman"/>
                <w:i/>
                <w:iCs/>
              </w:rPr>
            </w:pPr>
            <w:r>
              <w:rPr>
                <w:rFonts w:hint="default" w:hAnsi="Times New Roman" w:eastAsia="宋体" w:cs="Times New Roman"/>
                <w:i/>
                <w:iCs/>
              </w:rPr>
              <w:t>Myodes rufocanus</w:t>
            </w:r>
          </w:p>
        </w:tc>
        <w:tc>
          <w:tcPr>
            <w:tcW w:w="991" w:type="dxa"/>
            <w:noWrap/>
            <w:vAlign w:val="center"/>
          </w:tcPr>
          <w:p w14:paraId="62CCB7F4">
            <w:pPr>
              <w:pStyle w:val="155"/>
              <w:jc w:val="center"/>
              <w:rPr>
                <w:rFonts w:hint="default" w:hAnsi="Times New Roman" w:eastAsia="宋体" w:cs="Times New Roman"/>
              </w:rPr>
            </w:pPr>
            <w:r>
              <w:rPr>
                <w:rFonts w:hint="default" w:hAnsi="Times New Roman" w:eastAsia="宋体" w:cs="Times New Roman"/>
              </w:rPr>
              <w:t>B</w:t>
            </w:r>
          </w:p>
        </w:tc>
        <w:tc>
          <w:tcPr>
            <w:tcW w:w="971" w:type="dxa"/>
            <w:noWrap/>
            <w:vAlign w:val="center"/>
          </w:tcPr>
          <w:p w14:paraId="69768834">
            <w:pPr>
              <w:pStyle w:val="155"/>
              <w:jc w:val="center"/>
              <w:rPr>
                <w:rFonts w:hint="default" w:hAnsi="Times New Roman" w:eastAsia="宋体" w:cs="Times New Roman"/>
              </w:rPr>
            </w:pPr>
            <w:r>
              <w:rPr>
                <w:rFonts w:hint="default" w:hAnsi="Times New Roman" w:eastAsia="宋体" w:cs="Times New Roman"/>
              </w:rPr>
              <w:t>+</w:t>
            </w:r>
          </w:p>
        </w:tc>
        <w:tc>
          <w:tcPr>
            <w:tcW w:w="971" w:type="dxa"/>
            <w:noWrap/>
            <w:vAlign w:val="center"/>
          </w:tcPr>
          <w:p w14:paraId="1370FEBA">
            <w:pPr>
              <w:pStyle w:val="155"/>
              <w:jc w:val="center"/>
              <w:rPr>
                <w:rFonts w:hint="default" w:hAnsi="Times New Roman" w:eastAsia="宋体" w:cs="Times New Roman"/>
              </w:rPr>
            </w:pPr>
          </w:p>
        </w:tc>
        <w:tc>
          <w:tcPr>
            <w:tcW w:w="1322" w:type="dxa"/>
            <w:noWrap/>
            <w:vAlign w:val="center"/>
          </w:tcPr>
          <w:p w14:paraId="4E8A7335">
            <w:pPr>
              <w:pStyle w:val="155"/>
              <w:jc w:val="center"/>
              <w:rPr>
                <w:rFonts w:hint="default" w:hAnsi="Times New Roman" w:eastAsia="宋体" w:cs="Times New Roman"/>
              </w:rPr>
            </w:pPr>
            <w:r>
              <w:rPr>
                <w:rFonts w:hint="default" w:hAnsi="Times New Roman" w:eastAsia="宋体" w:cs="Times New Roman"/>
              </w:rPr>
              <w:t>P</w:t>
            </w:r>
          </w:p>
        </w:tc>
      </w:tr>
      <w:tr w14:paraId="2E574AB5">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gridAfter w:val="1"/>
          <w:wAfter w:w="10" w:type="dxa"/>
          <w:trHeight w:val="340" w:hRule="atLeast"/>
          <w:jc w:val="center"/>
        </w:trPr>
        <w:tc>
          <w:tcPr>
            <w:tcW w:w="1137" w:type="dxa"/>
            <w:noWrap/>
            <w:vAlign w:val="center"/>
          </w:tcPr>
          <w:p w14:paraId="35B4FF32">
            <w:pPr>
              <w:pStyle w:val="155"/>
              <w:jc w:val="center"/>
              <w:rPr>
                <w:rFonts w:hint="default" w:hAnsi="Times New Roman" w:eastAsia="宋体" w:cs="Times New Roman"/>
              </w:rPr>
            </w:pPr>
            <w:r>
              <w:rPr>
                <w:rFonts w:hint="default" w:hAnsi="Times New Roman" w:eastAsia="宋体" w:cs="Times New Roman"/>
              </w:rPr>
              <w:t>15</w:t>
            </w:r>
          </w:p>
        </w:tc>
        <w:tc>
          <w:tcPr>
            <w:tcW w:w="1123" w:type="dxa"/>
            <w:noWrap/>
            <w:vAlign w:val="center"/>
          </w:tcPr>
          <w:p w14:paraId="08E5D1DA">
            <w:pPr>
              <w:pStyle w:val="155"/>
              <w:jc w:val="center"/>
              <w:rPr>
                <w:rFonts w:hint="default" w:hAnsi="Times New Roman" w:eastAsia="宋体" w:cs="Times New Roman"/>
              </w:rPr>
            </w:pPr>
            <w:r>
              <w:rPr>
                <w:rFonts w:hint="default" w:hAnsi="宋体" w:eastAsia="宋体" w:cs="Times New Roman"/>
              </w:rPr>
              <w:t>东方田鼠</w:t>
            </w:r>
          </w:p>
        </w:tc>
        <w:tc>
          <w:tcPr>
            <w:tcW w:w="2546" w:type="dxa"/>
            <w:noWrap/>
            <w:vAlign w:val="center"/>
          </w:tcPr>
          <w:p w14:paraId="4244925A">
            <w:pPr>
              <w:pStyle w:val="155"/>
              <w:jc w:val="center"/>
              <w:rPr>
                <w:rFonts w:hint="default" w:hAnsi="Times New Roman" w:eastAsia="宋体" w:cs="Times New Roman"/>
                <w:i/>
                <w:iCs/>
              </w:rPr>
            </w:pPr>
            <w:r>
              <w:rPr>
                <w:rFonts w:hint="default" w:hAnsi="Times New Roman" w:eastAsia="宋体" w:cs="Times New Roman"/>
                <w:i/>
                <w:iCs/>
              </w:rPr>
              <w:t>Microtusfortis</w:t>
            </w:r>
          </w:p>
        </w:tc>
        <w:tc>
          <w:tcPr>
            <w:tcW w:w="991" w:type="dxa"/>
            <w:noWrap/>
            <w:vAlign w:val="center"/>
          </w:tcPr>
          <w:p w14:paraId="7F22F581">
            <w:pPr>
              <w:pStyle w:val="155"/>
              <w:jc w:val="center"/>
              <w:rPr>
                <w:rFonts w:hint="default" w:hAnsi="Times New Roman" w:eastAsia="宋体" w:cs="Times New Roman"/>
              </w:rPr>
            </w:pPr>
            <w:r>
              <w:rPr>
                <w:rFonts w:hint="default" w:hAnsi="Times New Roman" w:eastAsia="宋体" w:cs="Times New Roman"/>
              </w:rPr>
              <w:t>R</w:t>
            </w:r>
          </w:p>
        </w:tc>
        <w:tc>
          <w:tcPr>
            <w:tcW w:w="971" w:type="dxa"/>
            <w:noWrap/>
            <w:vAlign w:val="center"/>
          </w:tcPr>
          <w:p w14:paraId="379EC453">
            <w:pPr>
              <w:pStyle w:val="155"/>
              <w:jc w:val="center"/>
              <w:rPr>
                <w:rFonts w:hint="default" w:hAnsi="Times New Roman" w:eastAsia="宋体" w:cs="Times New Roman"/>
              </w:rPr>
            </w:pPr>
            <w:r>
              <w:rPr>
                <w:rFonts w:hint="default" w:hAnsi="Times New Roman" w:eastAsia="宋体" w:cs="Times New Roman"/>
              </w:rPr>
              <w:t>++</w:t>
            </w:r>
          </w:p>
        </w:tc>
        <w:tc>
          <w:tcPr>
            <w:tcW w:w="971" w:type="dxa"/>
            <w:noWrap/>
            <w:vAlign w:val="center"/>
          </w:tcPr>
          <w:p w14:paraId="569B917C">
            <w:pPr>
              <w:pStyle w:val="155"/>
              <w:jc w:val="center"/>
              <w:rPr>
                <w:rFonts w:hint="default" w:hAnsi="Times New Roman" w:eastAsia="宋体" w:cs="Times New Roman"/>
              </w:rPr>
            </w:pPr>
          </w:p>
        </w:tc>
        <w:tc>
          <w:tcPr>
            <w:tcW w:w="1322" w:type="dxa"/>
            <w:noWrap/>
            <w:vAlign w:val="center"/>
          </w:tcPr>
          <w:p w14:paraId="7BBF265B">
            <w:pPr>
              <w:pStyle w:val="155"/>
              <w:jc w:val="center"/>
              <w:rPr>
                <w:rFonts w:hint="default" w:hAnsi="Times New Roman" w:eastAsia="宋体" w:cs="Times New Roman"/>
              </w:rPr>
            </w:pPr>
            <w:r>
              <w:rPr>
                <w:rFonts w:hint="default" w:hAnsi="Times New Roman" w:eastAsia="宋体" w:cs="Times New Roman"/>
              </w:rPr>
              <w:t>C</w:t>
            </w:r>
          </w:p>
        </w:tc>
      </w:tr>
      <w:tr w14:paraId="2098E059">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gridAfter w:val="1"/>
          <w:wAfter w:w="10" w:type="dxa"/>
          <w:trHeight w:val="340" w:hRule="atLeast"/>
          <w:jc w:val="center"/>
        </w:trPr>
        <w:tc>
          <w:tcPr>
            <w:tcW w:w="1137" w:type="dxa"/>
            <w:noWrap/>
            <w:vAlign w:val="center"/>
          </w:tcPr>
          <w:p w14:paraId="40476922">
            <w:pPr>
              <w:pStyle w:val="155"/>
              <w:jc w:val="center"/>
              <w:rPr>
                <w:rFonts w:hint="default" w:hAnsi="Times New Roman" w:eastAsia="宋体" w:cs="Times New Roman"/>
              </w:rPr>
            </w:pPr>
            <w:r>
              <w:rPr>
                <w:rFonts w:hint="default" w:hAnsi="Times New Roman" w:eastAsia="宋体" w:cs="Times New Roman"/>
              </w:rPr>
              <w:t>16</w:t>
            </w:r>
          </w:p>
        </w:tc>
        <w:tc>
          <w:tcPr>
            <w:tcW w:w="1123" w:type="dxa"/>
            <w:noWrap/>
            <w:vAlign w:val="center"/>
          </w:tcPr>
          <w:p w14:paraId="6039CC41">
            <w:pPr>
              <w:pStyle w:val="155"/>
              <w:jc w:val="center"/>
              <w:rPr>
                <w:rFonts w:hint="default" w:hAnsi="Times New Roman" w:eastAsia="宋体" w:cs="Times New Roman"/>
              </w:rPr>
            </w:pPr>
            <w:r>
              <w:rPr>
                <w:rFonts w:hint="default" w:hAnsi="宋体" w:eastAsia="宋体" w:cs="Times New Roman"/>
              </w:rPr>
              <w:t>普通田鼠</w:t>
            </w:r>
          </w:p>
        </w:tc>
        <w:tc>
          <w:tcPr>
            <w:tcW w:w="2546" w:type="dxa"/>
            <w:noWrap/>
            <w:vAlign w:val="center"/>
          </w:tcPr>
          <w:p w14:paraId="73853668">
            <w:pPr>
              <w:pStyle w:val="155"/>
              <w:jc w:val="center"/>
              <w:rPr>
                <w:rFonts w:hint="default" w:hAnsi="Times New Roman" w:eastAsia="宋体" w:cs="Times New Roman"/>
                <w:i/>
                <w:iCs/>
              </w:rPr>
            </w:pPr>
            <w:r>
              <w:rPr>
                <w:rFonts w:hint="default" w:hAnsi="Times New Roman" w:eastAsia="宋体" w:cs="Times New Roman"/>
                <w:i/>
                <w:iCs/>
              </w:rPr>
              <w:t>Microtus arvalis</w:t>
            </w:r>
          </w:p>
        </w:tc>
        <w:tc>
          <w:tcPr>
            <w:tcW w:w="991" w:type="dxa"/>
            <w:noWrap/>
            <w:vAlign w:val="center"/>
          </w:tcPr>
          <w:p w14:paraId="35C8E49D">
            <w:pPr>
              <w:pStyle w:val="155"/>
              <w:jc w:val="center"/>
              <w:rPr>
                <w:rFonts w:hint="default" w:hAnsi="Times New Roman" w:eastAsia="宋体" w:cs="Times New Roman"/>
              </w:rPr>
            </w:pPr>
            <w:r>
              <w:rPr>
                <w:rFonts w:hint="default" w:hAnsi="Times New Roman" w:eastAsia="宋体" w:cs="Times New Roman"/>
              </w:rPr>
              <w:t>B RM</w:t>
            </w:r>
          </w:p>
        </w:tc>
        <w:tc>
          <w:tcPr>
            <w:tcW w:w="971" w:type="dxa"/>
            <w:noWrap/>
            <w:vAlign w:val="center"/>
          </w:tcPr>
          <w:p w14:paraId="4101CDBD">
            <w:pPr>
              <w:pStyle w:val="155"/>
              <w:jc w:val="center"/>
              <w:rPr>
                <w:rFonts w:hint="default" w:hAnsi="Times New Roman" w:eastAsia="宋体" w:cs="Times New Roman"/>
              </w:rPr>
            </w:pPr>
            <w:r>
              <w:rPr>
                <w:rFonts w:hint="default" w:hAnsi="Times New Roman" w:eastAsia="宋体" w:cs="Times New Roman"/>
              </w:rPr>
              <w:t>++</w:t>
            </w:r>
          </w:p>
        </w:tc>
        <w:tc>
          <w:tcPr>
            <w:tcW w:w="971" w:type="dxa"/>
            <w:noWrap/>
            <w:vAlign w:val="center"/>
          </w:tcPr>
          <w:p w14:paraId="4AFDDD6B">
            <w:pPr>
              <w:pStyle w:val="155"/>
              <w:jc w:val="center"/>
              <w:rPr>
                <w:rFonts w:hint="default" w:hAnsi="Times New Roman" w:eastAsia="宋体" w:cs="Times New Roman"/>
              </w:rPr>
            </w:pPr>
          </w:p>
        </w:tc>
        <w:tc>
          <w:tcPr>
            <w:tcW w:w="1322" w:type="dxa"/>
            <w:noWrap/>
            <w:vAlign w:val="center"/>
          </w:tcPr>
          <w:p w14:paraId="1C10866C">
            <w:pPr>
              <w:pStyle w:val="155"/>
              <w:jc w:val="center"/>
              <w:rPr>
                <w:rFonts w:hint="default" w:hAnsi="Times New Roman" w:eastAsia="宋体" w:cs="Times New Roman"/>
              </w:rPr>
            </w:pPr>
            <w:r>
              <w:rPr>
                <w:rFonts w:hint="default" w:hAnsi="Times New Roman" w:eastAsia="宋体" w:cs="Times New Roman"/>
              </w:rPr>
              <w:t>P</w:t>
            </w:r>
          </w:p>
        </w:tc>
      </w:tr>
      <w:tr w14:paraId="3A4C33E4">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gridAfter w:val="1"/>
          <w:wAfter w:w="10" w:type="dxa"/>
          <w:trHeight w:val="340" w:hRule="atLeast"/>
          <w:jc w:val="center"/>
        </w:trPr>
        <w:tc>
          <w:tcPr>
            <w:tcW w:w="1137" w:type="dxa"/>
            <w:noWrap/>
            <w:vAlign w:val="center"/>
          </w:tcPr>
          <w:p w14:paraId="5749D347">
            <w:pPr>
              <w:pStyle w:val="155"/>
              <w:jc w:val="center"/>
              <w:rPr>
                <w:rFonts w:hint="default" w:hAnsi="Times New Roman" w:eastAsia="宋体" w:cs="Times New Roman"/>
                <w:b/>
                <w:bCs w:val="0"/>
              </w:rPr>
            </w:pPr>
            <w:r>
              <w:rPr>
                <w:rFonts w:hint="default" w:hAnsi="宋体" w:eastAsia="宋体" w:cs="Times New Roman"/>
                <w:b/>
              </w:rPr>
              <w:t>（九）</w:t>
            </w:r>
          </w:p>
        </w:tc>
        <w:tc>
          <w:tcPr>
            <w:tcW w:w="1123" w:type="dxa"/>
            <w:noWrap/>
            <w:vAlign w:val="center"/>
          </w:tcPr>
          <w:p w14:paraId="44348E46">
            <w:pPr>
              <w:pStyle w:val="155"/>
              <w:jc w:val="center"/>
              <w:rPr>
                <w:rFonts w:hint="default" w:hAnsi="Times New Roman" w:eastAsia="宋体" w:cs="Times New Roman"/>
                <w:b/>
                <w:bCs w:val="0"/>
              </w:rPr>
            </w:pPr>
            <w:r>
              <w:rPr>
                <w:rFonts w:hint="default" w:hAnsi="宋体" w:eastAsia="宋体" w:cs="Times New Roman"/>
                <w:b/>
              </w:rPr>
              <w:t>鼠科</w:t>
            </w:r>
          </w:p>
        </w:tc>
        <w:tc>
          <w:tcPr>
            <w:tcW w:w="2546" w:type="dxa"/>
            <w:noWrap/>
            <w:vAlign w:val="center"/>
          </w:tcPr>
          <w:p w14:paraId="5D76D7CE">
            <w:pPr>
              <w:pStyle w:val="155"/>
              <w:jc w:val="center"/>
              <w:rPr>
                <w:rFonts w:hint="default" w:hAnsi="Times New Roman" w:eastAsia="宋体" w:cs="Times New Roman"/>
                <w:b/>
                <w:bCs w:val="0"/>
              </w:rPr>
            </w:pPr>
            <w:r>
              <w:rPr>
                <w:rFonts w:hint="default" w:hAnsi="Times New Roman" w:eastAsia="宋体" w:cs="Times New Roman"/>
                <w:b/>
              </w:rPr>
              <w:t>Muridae</w:t>
            </w:r>
          </w:p>
        </w:tc>
        <w:tc>
          <w:tcPr>
            <w:tcW w:w="991" w:type="dxa"/>
            <w:noWrap/>
            <w:vAlign w:val="center"/>
          </w:tcPr>
          <w:p w14:paraId="6A6C2142">
            <w:pPr>
              <w:pStyle w:val="155"/>
              <w:jc w:val="center"/>
              <w:rPr>
                <w:rFonts w:hint="default" w:hAnsi="Times New Roman" w:eastAsia="宋体" w:cs="Times New Roman"/>
                <w:b/>
                <w:bCs w:val="0"/>
              </w:rPr>
            </w:pPr>
          </w:p>
        </w:tc>
        <w:tc>
          <w:tcPr>
            <w:tcW w:w="971" w:type="dxa"/>
            <w:noWrap/>
            <w:vAlign w:val="center"/>
          </w:tcPr>
          <w:p w14:paraId="2AED9B1C">
            <w:pPr>
              <w:pStyle w:val="155"/>
              <w:jc w:val="center"/>
              <w:rPr>
                <w:rFonts w:hint="default" w:hAnsi="Times New Roman" w:eastAsia="宋体" w:cs="Times New Roman"/>
                <w:b/>
                <w:bCs w:val="0"/>
              </w:rPr>
            </w:pPr>
          </w:p>
        </w:tc>
        <w:tc>
          <w:tcPr>
            <w:tcW w:w="971" w:type="dxa"/>
            <w:noWrap/>
            <w:vAlign w:val="center"/>
          </w:tcPr>
          <w:p w14:paraId="3193CD7D">
            <w:pPr>
              <w:pStyle w:val="155"/>
              <w:jc w:val="center"/>
              <w:rPr>
                <w:rFonts w:hint="default" w:hAnsi="Times New Roman" w:eastAsia="宋体" w:cs="Times New Roman"/>
                <w:b/>
                <w:bCs w:val="0"/>
              </w:rPr>
            </w:pPr>
          </w:p>
        </w:tc>
        <w:tc>
          <w:tcPr>
            <w:tcW w:w="1322" w:type="dxa"/>
            <w:noWrap/>
            <w:vAlign w:val="center"/>
          </w:tcPr>
          <w:p w14:paraId="4A7E21C1">
            <w:pPr>
              <w:pStyle w:val="155"/>
              <w:jc w:val="center"/>
              <w:rPr>
                <w:rFonts w:hint="default" w:hAnsi="Times New Roman" w:eastAsia="宋体" w:cs="Times New Roman"/>
                <w:b/>
                <w:bCs w:val="0"/>
              </w:rPr>
            </w:pPr>
          </w:p>
        </w:tc>
      </w:tr>
      <w:tr w14:paraId="174F380D">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gridAfter w:val="1"/>
          <w:wAfter w:w="10" w:type="dxa"/>
          <w:trHeight w:val="340" w:hRule="atLeast"/>
          <w:jc w:val="center"/>
        </w:trPr>
        <w:tc>
          <w:tcPr>
            <w:tcW w:w="1137" w:type="dxa"/>
            <w:noWrap/>
            <w:vAlign w:val="center"/>
          </w:tcPr>
          <w:p w14:paraId="628D3300">
            <w:pPr>
              <w:pStyle w:val="155"/>
              <w:jc w:val="center"/>
              <w:rPr>
                <w:rFonts w:hint="default" w:hAnsi="Times New Roman" w:eastAsia="宋体" w:cs="Times New Roman"/>
              </w:rPr>
            </w:pPr>
            <w:r>
              <w:rPr>
                <w:rFonts w:hint="default" w:hAnsi="Times New Roman" w:eastAsia="宋体" w:cs="Times New Roman"/>
              </w:rPr>
              <w:t>18</w:t>
            </w:r>
          </w:p>
        </w:tc>
        <w:tc>
          <w:tcPr>
            <w:tcW w:w="1123" w:type="dxa"/>
            <w:noWrap/>
            <w:vAlign w:val="center"/>
          </w:tcPr>
          <w:p w14:paraId="5F7C0445">
            <w:pPr>
              <w:pStyle w:val="155"/>
              <w:jc w:val="center"/>
              <w:rPr>
                <w:rFonts w:hint="default" w:hAnsi="Times New Roman" w:eastAsia="宋体" w:cs="Times New Roman"/>
              </w:rPr>
            </w:pPr>
            <w:r>
              <w:rPr>
                <w:rFonts w:hint="default" w:hAnsi="宋体" w:eastAsia="宋体" w:cs="Times New Roman"/>
              </w:rPr>
              <w:t>黑线姬鼠</w:t>
            </w:r>
          </w:p>
        </w:tc>
        <w:tc>
          <w:tcPr>
            <w:tcW w:w="2546" w:type="dxa"/>
            <w:noWrap/>
            <w:vAlign w:val="center"/>
          </w:tcPr>
          <w:p w14:paraId="0EA92FED">
            <w:pPr>
              <w:pStyle w:val="155"/>
              <w:jc w:val="center"/>
              <w:rPr>
                <w:rFonts w:hint="default" w:hAnsi="Times New Roman" w:eastAsia="宋体" w:cs="Times New Roman"/>
                <w:i/>
                <w:iCs/>
              </w:rPr>
            </w:pPr>
            <w:r>
              <w:rPr>
                <w:rFonts w:hint="default" w:hAnsi="Times New Roman" w:eastAsia="宋体" w:cs="Times New Roman"/>
                <w:i/>
                <w:iCs/>
              </w:rPr>
              <w:t>Apodemus agrarius</w:t>
            </w:r>
          </w:p>
        </w:tc>
        <w:tc>
          <w:tcPr>
            <w:tcW w:w="991" w:type="dxa"/>
            <w:noWrap/>
            <w:vAlign w:val="center"/>
          </w:tcPr>
          <w:p w14:paraId="138928F7">
            <w:pPr>
              <w:pStyle w:val="155"/>
              <w:jc w:val="center"/>
              <w:rPr>
                <w:rFonts w:hint="default" w:hAnsi="Times New Roman" w:eastAsia="宋体" w:cs="Times New Roman"/>
              </w:rPr>
            </w:pPr>
            <w:r>
              <w:rPr>
                <w:rFonts w:hint="default" w:hAnsi="Times New Roman" w:eastAsia="宋体" w:cs="Times New Roman"/>
              </w:rPr>
              <w:t>B G M</w:t>
            </w:r>
          </w:p>
        </w:tc>
        <w:tc>
          <w:tcPr>
            <w:tcW w:w="971" w:type="dxa"/>
            <w:noWrap/>
            <w:vAlign w:val="center"/>
          </w:tcPr>
          <w:p w14:paraId="2CC4C655">
            <w:pPr>
              <w:pStyle w:val="155"/>
              <w:jc w:val="center"/>
              <w:rPr>
                <w:rFonts w:hint="default" w:hAnsi="Times New Roman" w:eastAsia="宋体" w:cs="Times New Roman"/>
              </w:rPr>
            </w:pPr>
            <w:r>
              <w:rPr>
                <w:rFonts w:hint="default" w:hAnsi="Times New Roman" w:eastAsia="宋体" w:cs="Times New Roman"/>
              </w:rPr>
              <w:t>+++</w:t>
            </w:r>
          </w:p>
        </w:tc>
        <w:tc>
          <w:tcPr>
            <w:tcW w:w="971" w:type="dxa"/>
            <w:noWrap/>
            <w:vAlign w:val="center"/>
          </w:tcPr>
          <w:p w14:paraId="393D2F3A">
            <w:pPr>
              <w:pStyle w:val="155"/>
              <w:jc w:val="center"/>
              <w:rPr>
                <w:rFonts w:hint="default" w:hAnsi="Times New Roman" w:eastAsia="宋体" w:cs="Times New Roman"/>
              </w:rPr>
            </w:pPr>
          </w:p>
        </w:tc>
        <w:tc>
          <w:tcPr>
            <w:tcW w:w="1322" w:type="dxa"/>
            <w:noWrap/>
            <w:vAlign w:val="center"/>
          </w:tcPr>
          <w:p w14:paraId="22EDE24A">
            <w:pPr>
              <w:pStyle w:val="155"/>
              <w:jc w:val="center"/>
              <w:rPr>
                <w:rFonts w:hint="default" w:hAnsi="Times New Roman" w:eastAsia="宋体" w:cs="Times New Roman"/>
              </w:rPr>
            </w:pPr>
            <w:r>
              <w:rPr>
                <w:rFonts w:hint="default" w:hAnsi="Times New Roman" w:eastAsia="宋体" w:cs="Times New Roman"/>
              </w:rPr>
              <w:t>P</w:t>
            </w:r>
          </w:p>
        </w:tc>
      </w:tr>
      <w:tr w14:paraId="1EF7DE52">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gridAfter w:val="1"/>
          <w:wAfter w:w="10" w:type="dxa"/>
          <w:trHeight w:val="340" w:hRule="atLeast"/>
          <w:jc w:val="center"/>
        </w:trPr>
        <w:tc>
          <w:tcPr>
            <w:tcW w:w="1137" w:type="dxa"/>
            <w:noWrap/>
            <w:vAlign w:val="center"/>
          </w:tcPr>
          <w:p w14:paraId="43AD2754">
            <w:pPr>
              <w:pStyle w:val="155"/>
              <w:jc w:val="center"/>
              <w:rPr>
                <w:rFonts w:hint="default" w:hAnsi="Times New Roman" w:eastAsia="宋体" w:cs="Times New Roman"/>
              </w:rPr>
            </w:pPr>
            <w:r>
              <w:rPr>
                <w:rFonts w:hint="default" w:hAnsi="Times New Roman" w:eastAsia="宋体" w:cs="Times New Roman"/>
              </w:rPr>
              <w:t>19</w:t>
            </w:r>
          </w:p>
        </w:tc>
        <w:tc>
          <w:tcPr>
            <w:tcW w:w="1123" w:type="dxa"/>
            <w:noWrap/>
            <w:vAlign w:val="center"/>
          </w:tcPr>
          <w:p w14:paraId="4B9C027C">
            <w:pPr>
              <w:pStyle w:val="155"/>
              <w:jc w:val="center"/>
              <w:rPr>
                <w:rFonts w:hint="default" w:hAnsi="Times New Roman" w:eastAsia="宋体" w:cs="Times New Roman"/>
              </w:rPr>
            </w:pPr>
            <w:r>
              <w:rPr>
                <w:rFonts w:hint="default" w:hAnsi="宋体" w:eastAsia="宋体" w:cs="Times New Roman"/>
              </w:rPr>
              <w:t>大林姬鼠</w:t>
            </w:r>
          </w:p>
        </w:tc>
        <w:tc>
          <w:tcPr>
            <w:tcW w:w="2546" w:type="dxa"/>
            <w:noWrap/>
            <w:vAlign w:val="center"/>
          </w:tcPr>
          <w:p w14:paraId="375EA3BF">
            <w:pPr>
              <w:pStyle w:val="155"/>
              <w:jc w:val="center"/>
              <w:rPr>
                <w:rFonts w:hint="default" w:hAnsi="Times New Roman" w:eastAsia="宋体" w:cs="Times New Roman"/>
                <w:i/>
                <w:iCs/>
              </w:rPr>
            </w:pPr>
            <w:r>
              <w:rPr>
                <w:rFonts w:hint="default" w:hAnsi="Times New Roman" w:eastAsia="宋体" w:cs="Times New Roman"/>
                <w:i/>
                <w:iCs/>
              </w:rPr>
              <w:t>Apodemus speciosus</w:t>
            </w:r>
          </w:p>
        </w:tc>
        <w:tc>
          <w:tcPr>
            <w:tcW w:w="991" w:type="dxa"/>
            <w:noWrap/>
            <w:vAlign w:val="center"/>
          </w:tcPr>
          <w:p w14:paraId="50042E32">
            <w:pPr>
              <w:pStyle w:val="155"/>
              <w:jc w:val="center"/>
              <w:rPr>
                <w:rFonts w:hint="default" w:hAnsi="Times New Roman" w:eastAsia="宋体" w:cs="Times New Roman"/>
              </w:rPr>
            </w:pPr>
            <w:r>
              <w:rPr>
                <w:rFonts w:hint="default" w:hAnsi="Times New Roman" w:eastAsia="宋体" w:cs="Times New Roman"/>
              </w:rPr>
              <w:t>B M</w:t>
            </w:r>
          </w:p>
        </w:tc>
        <w:tc>
          <w:tcPr>
            <w:tcW w:w="971" w:type="dxa"/>
            <w:noWrap/>
            <w:vAlign w:val="center"/>
          </w:tcPr>
          <w:p w14:paraId="48EAB818">
            <w:pPr>
              <w:pStyle w:val="155"/>
              <w:jc w:val="center"/>
              <w:rPr>
                <w:rFonts w:hint="default" w:hAnsi="Times New Roman" w:eastAsia="宋体" w:cs="Times New Roman"/>
              </w:rPr>
            </w:pPr>
            <w:r>
              <w:rPr>
                <w:rFonts w:hint="default" w:hAnsi="Times New Roman" w:eastAsia="宋体" w:cs="Times New Roman"/>
              </w:rPr>
              <w:t>++</w:t>
            </w:r>
          </w:p>
        </w:tc>
        <w:tc>
          <w:tcPr>
            <w:tcW w:w="971" w:type="dxa"/>
            <w:noWrap/>
            <w:vAlign w:val="center"/>
          </w:tcPr>
          <w:p w14:paraId="29DC7FB9">
            <w:pPr>
              <w:pStyle w:val="155"/>
              <w:jc w:val="center"/>
              <w:rPr>
                <w:rFonts w:hint="default" w:hAnsi="Times New Roman" w:eastAsia="宋体" w:cs="Times New Roman"/>
              </w:rPr>
            </w:pPr>
          </w:p>
        </w:tc>
        <w:tc>
          <w:tcPr>
            <w:tcW w:w="1322" w:type="dxa"/>
            <w:noWrap/>
            <w:vAlign w:val="center"/>
          </w:tcPr>
          <w:p w14:paraId="330333CE">
            <w:pPr>
              <w:pStyle w:val="155"/>
              <w:jc w:val="center"/>
              <w:rPr>
                <w:rFonts w:hint="default" w:hAnsi="Times New Roman" w:eastAsia="宋体" w:cs="Times New Roman"/>
              </w:rPr>
            </w:pPr>
            <w:r>
              <w:rPr>
                <w:rFonts w:hint="default" w:hAnsi="Times New Roman" w:eastAsia="宋体" w:cs="Times New Roman"/>
              </w:rPr>
              <w:t>P</w:t>
            </w:r>
          </w:p>
        </w:tc>
      </w:tr>
      <w:tr w14:paraId="6F8E6BE4">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gridAfter w:val="1"/>
          <w:wAfter w:w="10" w:type="dxa"/>
          <w:trHeight w:val="340" w:hRule="atLeast"/>
          <w:jc w:val="center"/>
        </w:trPr>
        <w:tc>
          <w:tcPr>
            <w:tcW w:w="1137" w:type="dxa"/>
            <w:noWrap/>
            <w:vAlign w:val="center"/>
          </w:tcPr>
          <w:p w14:paraId="001E8632">
            <w:pPr>
              <w:pStyle w:val="155"/>
              <w:jc w:val="center"/>
              <w:rPr>
                <w:rFonts w:hint="default" w:hAnsi="Times New Roman" w:eastAsia="宋体" w:cs="Times New Roman"/>
              </w:rPr>
            </w:pPr>
            <w:r>
              <w:rPr>
                <w:rFonts w:hint="default" w:hAnsi="Times New Roman" w:eastAsia="宋体" w:cs="Times New Roman"/>
              </w:rPr>
              <w:t>20</w:t>
            </w:r>
          </w:p>
        </w:tc>
        <w:tc>
          <w:tcPr>
            <w:tcW w:w="1123" w:type="dxa"/>
            <w:noWrap/>
            <w:vAlign w:val="center"/>
          </w:tcPr>
          <w:p w14:paraId="3F33E862">
            <w:pPr>
              <w:pStyle w:val="155"/>
              <w:jc w:val="center"/>
              <w:rPr>
                <w:rFonts w:hint="default" w:hAnsi="Times New Roman" w:eastAsia="宋体" w:cs="Times New Roman"/>
              </w:rPr>
            </w:pPr>
            <w:r>
              <w:rPr>
                <w:rFonts w:hint="default" w:hAnsi="宋体" w:eastAsia="宋体" w:cs="Times New Roman"/>
              </w:rPr>
              <w:t>褐家鼠</w:t>
            </w:r>
          </w:p>
        </w:tc>
        <w:tc>
          <w:tcPr>
            <w:tcW w:w="2546" w:type="dxa"/>
            <w:noWrap/>
            <w:vAlign w:val="center"/>
          </w:tcPr>
          <w:p w14:paraId="114C9ECF">
            <w:pPr>
              <w:pStyle w:val="155"/>
              <w:jc w:val="center"/>
              <w:rPr>
                <w:rFonts w:hint="default" w:hAnsi="Times New Roman" w:eastAsia="宋体" w:cs="Times New Roman"/>
                <w:i/>
                <w:iCs/>
              </w:rPr>
            </w:pPr>
            <w:r>
              <w:rPr>
                <w:rFonts w:hint="default" w:hAnsi="Times New Roman" w:eastAsia="宋体" w:cs="Times New Roman"/>
                <w:i/>
                <w:iCs/>
              </w:rPr>
              <w:t>Rattus norvegicus</w:t>
            </w:r>
          </w:p>
        </w:tc>
        <w:tc>
          <w:tcPr>
            <w:tcW w:w="991" w:type="dxa"/>
            <w:noWrap/>
            <w:vAlign w:val="center"/>
          </w:tcPr>
          <w:p w14:paraId="43348C02">
            <w:pPr>
              <w:pStyle w:val="155"/>
              <w:jc w:val="center"/>
              <w:rPr>
                <w:rFonts w:hint="default" w:hAnsi="Times New Roman" w:eastAsia="宋体" w:cs="Times New Roman"/>
              </w:rPr>
            </w:pPr>
            <w:r>
              <w:rPr>
                <w:rFonts w:hint="default" w:hAnsi="Times New Roman" w:eastAsia="宋体" w:cs="Times New Roman"/>
              </w:rPr>
              <w:t>B GM</w:t>
            </w:r>
          </w:p>
        </w:tc>
        <w:tc>
          <w:tcPr>
            <w:tcW w:w="971" w:type="dxa"/>
            <w:noWrap/>
            <w:vAlign w:val="center"/>
          </w:tcPr>
          <w:p w14:paraId="52E64C82">
            <w:pPr>
              <w:pStyle w:val="155"/>
              <w:jc w:val="center"/>
              <w:rPr>
                <w:rFonts w:hint="default" w:hAnsi="Times New Roman" w:eastAsia="宋体" w:cs="Times New Roman"/>
              </w:rPr>
            </w:pPr>
          </w:p>
        </w:tc>
        <w:tc>
          <w:tcPr>
            <w:tcW w:w="971" w:type="dxa"/>
            <w:noWrap/>
            <w:vAlign w:val="center"/>
          </w:tcPr>
          <w:p w14:paraId="5DC25F3A">
            <w:pPr>
              <w:pStyle w:val="155"/>
              <w:jc w:val="center"/>
              <w:rPr>
                <w:rFonts w:hint="default" w:hAnsi="Times New Roman" w:eastAsia="宋体" w:cs="Times New Roman"/>
              </w:rPr>
            </w:pPr>
          </w:p>
        </w:tc>
        <w:tc>
          <w:tcPr>
            <w:tcW w:w="1322" w:type="dxa"/>
            <w:noWrap/>
            <w:vAlign w:val="center"/>
          </w:tcPr>
          <w:p w14:paraId="02A9F450">
            <w:pPr>
              <w:pStyle w:val="155"/>
              <w:jc w:val="center"/>
              <w:rPr>
                <w:rFonts w:hint="default" w:hAnsi="Times New Roman" w:eastAsia="宋体" w:cs="Times New Roman"/>
              </w:rPr>
            </w:pPr>
            <w:r>
              <w:rPr>
                <w:rFonts w:hint="default" w:hAnsi="Times New Roman" w:eastAsia="宋体" w:cs="Times New Roman"/>
              </w:rPr>
              <w:t>C</w:t>
            </w:r>
          </w:p>
        </w:tc>
      </w:tr>
      <w:tr w14:paraId="3371FF47">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gridAfter w:val="1"/>
          <w:wAfter w:w="10" w:type="dxa"/>
          <w:trHeight w:val="340" w:hRule="atLeast"/>
          <w:jc w:val="center"/>
        </w:trPr>
        <w:tc>
          <w:tcPr>
            <w:tcW w:w="1137" w:type="dxa"/>
            <w:noWrap/>
            <w:vAlign w:val="center"/>
          </w:tcPr>
          <w:p w14:paraId="61595385">
            <w:pPr>
              <w:pStyle w:val="155"/>
              <w:jc w:val="center"/>
              <w:rPr>
                <w:rFonts w:hint="default" w:hAnsi="Times New Roman" w:eastAsia="宋体" w:cs="Times New Roman"/>
                <w:b/>
                <w:bCs w:val="0"/>
              </w:rPr>
            </w:pPr>
            <w:r>
              <w:rPr>
                <w:rFonts w:hint="default" w:hAnsi="宋体" w:eastAsia="宋体" w:cs="Times New Roman"/>
                <w:b/>
              </w:rPr>
              <w:t>七</w:t>
            </w:r>
          </w:p>
        </w:tc>
        <w:tc>
          <w:tcPr>
            <w:tcW w:w="1123" w:type="dxa"/>
            <w:noWrap/>
            <w:vAlign w:val="center"/>
          </w:tcPr>
          <w:p w14:paraId="4F16C192">
            <w:pPr>
              <w:pStyle w:val="155"/>
              <w:jc w:val="center"/>
              <w:rPr>
                <w:rFonts w:hint="default" w:hAnsi="Times New Roman" w:eastAsia="宋体" w:cs="Times New Roman"/>
                <w:b/>
                <w:bCs w:val="0"/>
              </w:rPr>
            </w:pPr>
            <w:r>
              <w:rPr>
                <w:rFonts w:hint="default" w:hAnsi="宋体" w:eastAsia="宋体" w:cs="Times New Roman"/>
                <w:b/>
              </w:rPr>
              <w:t>偶蹄目</w:t>
            </w:r>
          </w:p>
        </w:tc>
        <w:tc>
          <w:tcPr>
            <w:tcW w:w="2546" w:type="dxa"/>
            <w:noWrap/>
            <w:vAlign w:val="center"/>
          </w:tcPr>
          <w:p w14:paraId="6040AB92">
            <w:pPr>
              <w:pStyle w:val="155"/>
              <w:jc w:val="center"/>
              <w:rPr>
                <w:rFonts w:hint="default" w:hAnsi="Times New Roman" w:eastAsia="宋体" w:cs="Times New Roman"/>
                <w:b/>
                <w:bCs w:val="0"/>
              </w:rPr>
            </w:pPr>
            <w:r>
              <w:rPr>
                <w:rFonts w:hint="default" w:hAnsi="Times New Roman" w:eastAsia="宋体" w:cs="Times New Roman"/>
                <w:b/>
              </w:rPr>
              <w:t>Artiodactyia</w:t>
            </w:r>
          </w:p>
        </w:tc>
        <w:tc>
          <w:tcPr>
            <w:tcW w:w="991" w:type="dxa"/>
            <w:noWrap/>
            <w:vAlign w:val="center"/>
          </w:tcPr>
          <w:p w14:paraId="39AACEC1">
            <w:pPr>
              <w:pStyle w:val="155"/>
              <w:jc w:val="center"/>
              <w:rPr>
                <w:rFonts w:hint="default" w:hAnsi="Times New Roman" w:eastAsia="宋体" w:cs="Times New Roman"/>
                <w:b/>
                <w:bCs w:val="0"/>
              </w:rPr>
            </w:pPr>
          </w:p>
        </w:tc>
        <w:tc>
          <w:tcPr>
            <w:tcW w:w="971" w:type="dxa"/>
            <w:noWrap/>
            <w:vAlign w:val="center"/>
          </w:tcPr>
          <w:p w14:paraId="2BA8612A">
            <w:pPr>
              <w:pStyle w:val="155"/>
              <w:jc w:val="center"/>
              <w:rPr>
                <w:rFonts w:hint="default" w:hAnsi="Times New Roman" w:eastAsia="宋体" w:cs="Times New Roman"/>
                <w:b/>
                <w:bCs w:val="0"/>
              </w:rPr>
            </w:pPr>
          </w:p>
        </w:tc>
        <w:tc>
          <w:tcPr>
            <w:tcW w:w="971" w:type="dxa"/>
            <w:noWrap/>
            <w:vAlign w:val="center"/>
          </w:tcPr>
          <w:p w14:paraId="37BED300">
            <w:pPr>
              <w:pStyle w:val="155"/>
              <w:jc w:val="center"/>
              <w:rPr>
                <w:rFonts w:hint="default" w:hAnsi="Times New Roman" w:eastAsia="宋体" w:cs="Times New Roman"/>
                <w:b/>
                <w:bCs w:val="0"/>
              </w:rPr>
            </w:pPr>
          </w:p>
        </w:tc>
        <w:tc>
          <w:tcPr>
            <w:tcW w:w="1322" w:type="dxa"/>
            <w:noWrap/>
            <w:vAlign w:val="center"/>
          </w:tcPr>
          <w:p w14:paraId="0FC0DB77">
            <w:pPr>
              <w:pStyle w:val="155"/>
              <w:jc w:val="center"/>
              <w:rPr>
                <w:rFonts w:hint="default" w:hAnsi="Times New Roman" w:eastAsia="宋体" w:cs="Times New Roman"/>
                <w:b/>
                <w:bCs w:val="0"/>
              </w:rPr>
            </w:pPr>
          </w:p>
        </w:tc>
      </w:tr>
      <w:tr w14:paraId="54C6731B">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gridAfter w:val="1"/>
          <w:wAfter w:w="10" w:type="dxa"/>
          <w:trHeight w:val="340" w:hRule="atLeast"/>
          <w:jc w:val="center"/>
        </w:trPr>
        <w:tc>
          <w:tcPr>
            <w:tcW w:w="1137" w:type="dxa"/>
            <w:noWrap/>
            <w:vAlign w:val="center"/>
          </w:tcPr>
          <w:p w14:paraId="3BBE444A">
            <w:pPr>
              <w:pStyle w:val="155"/>
              <w:jc w:val="center"/>
              <w:rPr>
                <w:rFonts w:hint="default" w:hAnsi="Times New Roman" w:eastAsia="宋体" w:cs="Times New Roman"/>
                <w:b/>
                <w:bCs w:val="0"/>
              </w:rPr>
            </w:pPr>
            <w:r>
              <w:rPr>
                <w:rFonts w:hint="default" w:hAnsi="宋体" w:eastAsia="宋体" w:cs="Times New Roman"/>
                <w:b/>
              </w:rPr>
              <w:t>（十）</w:t>
            </w:r>
          </w:p>
        </w:tc>
        <w:tc>
          <w:tcPr>
            <w:tcW w:w="1123" w:type="dxa"/>
            <w:noWrap/>
            <w:vAlign w:val="center"/>
          </w:tcPr>
          <w:p w14:paraId="1FE6FB11">
            <w:pPr>
              <w:pStyle w:val="155"/>
              <w:jc w:val="center"/>
              <w:rPr>
                <w:rFonts w:hint="default" w:hAnsi="Times New Roman" w:eastAsia="宋体" w:cs="Times New Roman"/>
                <w:b/>
                <w:bCs w:val="0"/>
              </w:rPr>
            </w:pPr>
            <w:r>
              <w:rPr>
                <w:rFonts w:hint="default" w:hAnsi="宋体" w:eastAsia="宋体" w:cs="Times New Roman"/>
                <w:b/>
              </w:rPr>
              <w:t>猪科</w:t>
            </w:r>
          </w:p>
        </w:tc>
        <w:tc>
          <w:tcPr>
            <w:tcW w:w="2546" w:type="dxa"/>
            <w:noWrap/>
            <w:vAlign w:val="center"/>
          </w:tcPr>
          <w:p w14:paraId="078CDC41">
            <w:pPr>
              <w:pStyle w:val="155"/>
              <w:jc w:val="center"/>
              <w:rPr>
                <w:rFonts w:hint="default" w:hAnsi="Times New Roman" w:eastAsia="宋体" w:cs="Times New Roman"/>
                <w:b/>
                <w:bCs w:val="0"/>
              </w:rPr>
            </w:pPr>
            <w:r>
              <w:rPr>
                <w:rFonts w:hint="default" w:hAnsi="Times New Roman" w:eastAsia="宋体" w:cs="Times New Roman"/>
                <w:b/>
              </w:rPr>
              <w:t>Suidae</w:t>
            </w:r>
          </w:p>
        </w:tc>
        <w:tc>
          <w:tcPr>
            <w:tcW w:w="991" w:type="dxa"/>
            <w:noWrap/>
            <w:vAlign w:val="center"/>
          </w:tcPr>
          <w:p w14:paraId="13E64AEA">
            <w:pPr>
              <w:pStyle w:val="155"/>
              <w:jc w:val="center"/>
              <w:rPr>
                <w:rFonts w:hint="default" w:hAnsi="Times New Roman" w:eastAsia="宋体" w:cs="Times New Roman"/>
                <w:b/>
                <w:bCs w:val="0"/>
              </w:rPr>
            </w:pPr>
          </w:p>
        </w:tc>
        <w:tc>
          <w:tcPr>
            <w:tcW w:w="971" w:type="dxa"/>
            <w:noWrap/>
            <w:vAlign w:val="center"/>
          </w:tcPr>
          <w:p w14:paraId="3824BF38">
            <w:pPr>
              <w:pStyle w:val="155"/>
              <w:jc w:val="center"/>
              <w:rPr>
                <w:rFonts w:hint="default" w:hAnsi="Times New Roman" w:eastAsia="宋体" w:cs="Times New Roman"/>
                <w:b/>
                <w:bCs w:val="0"/>
              </w:rPr>
            </w:pPr>
          </w:p>
        </w:tc>
        <w:tc>
          <w:tcPr>
            <w:tcW w:w="971" w:type="dxa"/>
            <w:noWrap/>
            <w:vAlign w:val="center"/>
          </w:tcPr>
          <w:p w14:paraId="5F467268">
            <w:pPr>
              <w:pStyle w:val="155"/>
              <w:jc w:val="center"/>
              <w:rPr>
                <w:rFonts w:hint="default" w:hAnsi="Times New Roman" w:eastAsia="宋体" w:cs="Times New Roman"/>
                <w:b/>
                <w:bCs w:val="0"/>
              </w:rPr>
            </w:pPr>
          </w:p>
        </w:tc>
        <w:tc>
          <w:tcPr>
            <w:tcW w:w="1322" w:type="dxa"/>
            <w:noWrap/>
            <w:vAlign w:val="center"/>
          </w:tcPr>
          <w:p w14:paraId="618E5DC2">
            <w:pPr>
              <w:pStyle w:val="155"/>
              <w:jc w:val="center"/>
              <w:rPr>
                <w:rFonts w:hint="default" w:hAnsi="Times New Roman" w:eastAsia="宋体" w:cs="Times New Roman"/>
                <w:b/>
                <w:bCs w:val="0"/>
              </w:rPr>
            </w:pPr>
          </w:p>
        </w:tc>
      </w:tr>
      <w:tr w14:paraId="4B1FAE44">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gridAfter w:val="1"/>
          <w:wAfter w:w="10" w:type="dxa"/>
          <w:trHeight w:val="340" w:hRule="atLeast"/>
          <w:jc w:val="center"/>
        </w:trPr>
        <w:tc>
          <w:tcPr>
            <w:tcW w:w="1137" w:type="dxa"/>
            <w:noWrap/>
            <w:vAlign w:val="center"/>
          </w:tcPr>
          <w:p w14:paraId="04EC3348">
            <w:pPr>
              <w:pStyle w:val="155"/>
              <w:jc w:val="center"/>
              <w:rPr>
                <w:rFonts w:hint="default" w:hAnsi="Times New Roman" w:eastAsia="宋体" w:cs="Times New Roman"/>
              </w:rPr>
            </w:pPr>
            <w:r>
              <w:rPr>
                <w:rFonts w:hint="default" w:hAnsi="Times New Roman" w:eastAsia="宋体" w:cs="Times New Roman"/>
              </w:rPr>
              <w:t>21</w:t>
            </w:r>
          </w:p>
        </w:tc>
        <w:tc>
          <w:tcPr>
            <w:tcW w:w="1123" w:type="dxa"/>
            <w:noWrap/>
            <w:vAlign w:val="center"/>
          </w:tcPr>
          <w:p w14:paraId="209395C4">
            <w:pPr>
              <w:pStyle w:val="155"/>
              <w:jc w:val="center"/>
              <w:rPr>
                <w:rFonts w:hint="default" w:hAnsi="Times New Roman" w:eastAsia="宋体" w:cs="Times New Roman"/>
              </w:rPr>
            </w:pPr>
            <w:r>
              <w:rPr>
                <w:rFonts w:hint="default" w:hAnsi="宋体" w:eastAsia="宋体" w:cs="Times New Roman"/>
              </w:rPr>
              <w:t>野猪</w:t>
            </w:r>
          </w:p>
        </w:tc>
        <w:tc>
          <w:tcPr>
            <w:tcW w:w="2546" w:type="dxa"/>
            <w:noWrap/>
            <w:vAlign w:val="center"/>
          </w:tcPr>
          <w:p w14:paraId="27A02CE5">
            <w:pPr>
              <w:pStyle w:val="155"/>
              <w:jc w:val="center"/>
              <w:rPr>
                <w:rFonts w:hint="default" w:hAnsi="Times New Roman" w:eastAsia="宋体" w:cs="Times New Roman"/>
              </w:rPr>
            </w:pPr>
            <w:r>
              <w:rPr>
                <w:rFonts w:hint="default" w:hAnsi="Times New Roman" w:eastAsia="宋体" w:cs="Times New Roman"/>
                <w:i/>
                <w:iCs/>
              </w:rPr>
              <w:t>Sus scrofa</w:t>
            </w:r>
          </w:p>
        </w:tc>
        <w:tc>
          <w:tcPr>
            <w:tcW w:w="991" w:type="dxa"/>
            <w:noWrap/>
            <w:vAlign w:val="center"/>
          </w:tcPr>
          <w:p w14:paraId="039AB1CB">
            <w:pPr>
              <w:pStyle w:val="155"/>
              <w:jc w:val="center"/>
              <w:rPr>
                <w:rFonts w:hint="default" w:hAnsi="Times New Roman" w:eastAsia="宋体" w:cs="Times New Roman"/>
              </w:rPr>
            </w:pPr>
            <w:r>
              <w:rPr>
                <w:rFonts w:hint="default" w:hAnsi="Times New Roman" w:eastAsia="宋体" w:cs="Times New Roman"/>
              </w:rPr>
              <w:t>F B G</w:t>
            </w:r>
          </w:p>
        </w:tc>
        <w:tc>
          <w:tcPr>
            <w:tcW w:w="971" w:type="dxa"/>
            <w:noWrap/>
            <w:vAlign w:val="center"/>
          </w:tcPr>
          <w:p w14:paraId="4C234AA2">
            <w:pPr>
              <w:pStyle w:val="155"/>
              <w:jc w:val="center"/>
              <w:rPr>
                <w:rFonts w:hint="default" w:hAnsi="Times New Roman" w:eastAsia="宋体" w:cs="Times New Roman"/>
              </w:rPr>
            </w:pPr>
            <w:r>
              <w:rPr>
                <w:rFonts w:hint="default" w:hAnsi="Times New Roman" w:eastAsia="宋体" w:cs="Times New Roman"/>
              </w:rPr>
              <w:t>++</w:t>
            </w:r>
          </w:p>
        </w:tc>
        <w:tc>
          <w:tcPr>
            <w:tcW w:w="971" w:type="dxa"/>
            <w:noWrap/>
            <w:vAlign w:val="center"/>
          </w:tcPr>
          <w:p w14:paraId="110B00E5">
            <w:pPr>
              <w:pStyle w:val="155"/>
              <w:jc w:val="center"/>
              <w:rPr>
                <w:rFonts w:hint="default" w:hAnsi="Times New Roman" w:eastAsia="宋体" w:cs="Times New Roman"/>
              </w:rPr>
            </w:pPr>
          </w:p>
        </w:tc>
        <w:tc>
          <w:tcPr>
            <w:tcW w:w="1322" w:type="dxa"/>
            <w:noWrap/>
            <w:vAlign w:val="center"/>
          </w:tcPr>
          <w:p w14:paraId="522A45ED">
            <w:pPr>
              <w:pStyle w:val="155"/>
              <w:jc w:val="center"/>
              <w:rPr>
                <w:rFonts w:hint="default" w:hAnsi="Times New Roman" w:eastAsia="宋体" w:cs="Times New Roman"/>
              </w:rPr>
            </w:pPr>
            <w:r>
              <w:rPr>
                <w:rFonts w:hint="default" w:hAnsi="Times New Roman" w:eastAsia="宋体" w:cs="Times New Roman"/>
              </w:rPr>
              <w:t>P</w:t>
            </w:r>
          </w:p>
        </w:tc>
      </w:tr>
      <w:tr w14:paraId="7AE034F6">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gridAfter w:val="1"/>
          <w:wAfter w:w="10" w:type="dxa"/>
          <w:trHeight w:val="340" w:hRule="atLeast"/>
          <w:jc w:val="center"/>
        </w:trPr>
        <w:tc>
          <w:tcPr>
            <w:tcW w:w="1137" w:type="dxa"/>
            <w:noWrap/>
            <w:vAlign w:val="center"/>
          </w:tcPr>
          <w:p w14:paraId="1EAE4454">
            <w:pPr>
              <w:pStyle w:val="155"/>
              <w:jc w:val="center"/>
              <w:rPr>
                <w:rFonts w:hint="default" w:hAnsi="Times New Roman" w:eastAsia="宋体" w:cs="Times New Roman"/>
                <w:b/>
                <w:bCs w:val="0"/>
              </w:rPr>
            </w:pPr>
            <w:r>
              <w:rPr>
                <w:rFonts w:hint="default" w:hAnsi="宋体" w:eastAsia="宋体" w:cs="Times New Roman"/>
                <w:b/>
              </w:rPr>
              <w:t>（十一）</w:t>
            </w:r>
          </w:p>
        </w:tc>
        <w:tc>
          <w:tcPr>
            <w:tcW w:w="1123" w:type="dxa"/>
            <w:noWrap/>
            <w:vAlign w:val="center"/>
          </w:tcPr>
          <w:p w14:paraId="5DAA6C75">
            <w:pPr>
              <w:pStyle w:val="155"/>
              <w:jc w:val="center"/>
              <w:rPr>
                <w:rFonts w:hint="default" w:hAnsi="Times New Roman" w:eastAsia="宋体" w:cs="Times New Roman"/>
                <w:b/>
                <w:bCs w:val="0"/>
              </w:rPr>
            </w:pPr>
            <w:r>
              <w:rPr>
                <w:rFonts w:hint="default" w:hAnsi="宋体" w:eastAsia="宋体" w:cs="Times New Roman"/>
                <w:b/>
              </w:rPr>
              <w:t>鹿科</w:t>
            </w:r>
          </w:p>
        </w:tc>
        <w:tc>
          <w:tcPr>
            <w:tcW w:w="2546" w:type="dxa"/>
            <w:noWrap/>
            <w:vAlign w:val="center"/>
          </w:tcPr>
          <w:p w14:paraId="03DCDD7D">
            <w:pPr>
              <w:pStyle w:val="155"/>
              <w:jc w:val="center"/>
              <w:rPr>
                <w:rFonts w:hint="default" w:hAnsi="Times New Roman" w:eastAsia="宋体" w:cs="Times New Roman"/>
                <w:b/>
                <w:bCs w:val="0"/>
              </w:rPr>
            </w:pPr>
            <w:r>
              <w:rPr>
                <w:rFonts w:hint="default" w:hAnsi="Times New Roman" w:eastAsia="宋体" w:cs="Times New Roman"/>
                <w:b/>
              </w:rPr>
              <w:t>Cervidae</w:t>
            </w:r>
          </w:p>
        </w:tc>
        <w:tc>
          <w:tcPr>
            <w:tcW w:w="991" w:type="dxa"/>
            <w:noWrap/>
            <w:vAlign w:val="center"/>
          </w:tcPr>
          <w:p w14:paraId="16F431A6">
            <w:pPr>
              <w:pStyle w:val="155"/>
              <w:jc w:val="center"/>
              <w:rPr>
                <w:rFonts w:hint="default" w:hAnsi="Times New Roman" w:eastAsia="宋体" w:cs="Times New Roman"/>
                <w:b/>
                <w:bCs w:val="0"/>
              </w:rPr>
            </w:pPr>
          </w:p>
        </w:tc>
        <w:tc>
          <w:tcPr>
            <w:tcW w:w="971" w:type="dxa"/>
            <w:noWrap/>
            <w:vAlign w:val="center"/>
          </w:tcPr>
          <w:p w14:paraId="7C08BA72">
            <w:pPr>
              <w:pStyle w:val="155"/>
              <w:jc w:val="center"/>
              <w:rPr>
                <w:rFonts w:hint="default" w:hAnsi="Times New Roman" w:eastAsia="宋体" w:cs="Times New Roman"/>
                <w:b/>
                <w:bCs w:val="0"/>
              </w:rPr>
            </w:pPr>
          </w:p>
        </w:tc>
        <w:tc>
          <w:tcPr>
            <w:tcW w:w="971" w:type="dxa"/>
            <w:noWrap/>
            <w:vAlign w:val="center"/>
          </w:tcPr>
          <w:p w14:paraId="7C18A346">
            <w:pPr>
              <w:pStyle w:val="155"/>
              <w:jc w:val="center"/>
              <w:rPr>
                <w:rFonts w:hint="default" w:hAnsi="Times New Roman" w:eastAsia="宋体" w:cs="Times New Roman"/>
                <w:b/>
                <w:bCs w:val="0"/>
              </w:rPr>
            </w:pPr>
          </w:p>
        </w:tc>
        <w:tc>
          <w:tcPr>
            <w:tcW w:w="1322" w:type="dxa"/>
            <w:noWrap/>
            <w:vAlign w:val="center"/>
          </w:tcPr>
          <w:p w14:paraId="0D5B3C95">
            <w:pPr>
              <w:pStyle w:val="155"/>
              <w:jc w:val="center"/>
              <w:rPr>
                <w:rFonts w:hint="default" w:hAnsi="Times New Roman" w:eastAsia="宋体" w:cs="Times New Roman"/>
                <w:b/>
                <w:bCs w:val="0"/>
              </w:rPr>
            </w:pPr>
          </w:p>
        </w:tc>
      </w:tr>
      <w:tr w14:paraId="4942AFBF">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gridAfter w:val="1"/>
          <w:wAfter w:w="10" w:type="dxa"/>
          <w:trHeight w:val="340" w:hRule="atLeast"/>
          <w:jc w:val="center"/>
        </w:trPr>
        <w:tc>
          <w:tcPr>
            <w:tcW w:w="1137" w:type="dxa"/>
            <w:noWrap/>
            <w:vAlign w:val="center"/>
          </w:tcPr>
          <w:p w14:paraId="4499504F">
            <w:pPr>
              <w:pStyle w:val="155"/>
              <w:jc w:val="center"/>
              <w:rPr>
                <w:rFonts w:hint="default" w:hAnsi="Times New Roman" w:eastAsia="宋体" w:cs="Times New Roman"/>
              </w:rPr>
            </w:pPr>
            <w:r>
              <w:rPr>
                <w:rFonts w:hint="default" w:hAnsi="Times New Roman" w:eastAsia="宋体" w:cs="Times New Roman"/>
              </w:rPr>
              <w:t>22</w:t>
            </w:r>
          </w:p>
        </w:tc>
        <w:tc>
          <w:tcPr>
            <w:tcW w:w="1123" w:type="dxa"/>
            <w:noWrap/>
            <w:vAlign w:val="center"/>
          </w:tcPr>
          <w:p w14:paraId="74FF4A12">
            <w:pPr>
              <w:pStyle w:val="155"/>
              <w:jc w:val="center"/>
              <w:rPr>
                <w:rFonts w:hint="default" w:hAnsi="Times New Roman" w:eastAsia="宋体" w:cs="Times New Roman"/>
              </w:rPr>
            </w:pPr>
            <w:r>
              <w:rPr>
                <w:rFonts w:hint="default" w:hAnsi="宋体" w:eastAsia="宋体" w:cs="Times New Roman"/>
              </w:rPr>
              <w:t>狍</w:t>
            </w:r>
          </w:p>
        </w:tc>
        <w:tc>
          <w:tcPr>
            <w:tcW w:w="2546" w:type="dxa"/>
            <w:noWrap/>
            <w:vAlign w:val="center"/>
          </w:tcPr>
          <w:p w14:paraId="62565727">
            <w:pPr>
              <w:pStyle w:val="155"/>
              <w:jc w:val="center"/>
              <w:rPr>
                <w:rFonts w:hint="default" w:hAnsi="Times New Roman" w:eastAsia="宋体" w:cs="Times New Roman"/>
                <w:i/>
                <w:iCs/>
              </w:rPr>
            </w:pPr>
            <w:r>
              <w:rPr>
                <w:rFonts w:hint="default" w:hAnsi="Times New Roman" w:eastAsia="宋体" w:cs="Times New Roman"/>
                <w:i/>
                <w:iCs/>
              </w:rPr>
              <w:t>Capreoluspygargus</w:t>
            </w:r>
          </w:p>
        </w:tc>
        <w:tc>
          <w:tcPr>
            <w:tcW w:w="991" w:type="dxa"/>
            <w:noWrap/>
            <w:vAlign w:val="center"/>
          </w:tcPr>
          <w:p w14:paraId="7AF8B96C">
            <w:pPr>
              <w:pStyle w:val="155"/>
              <w:jc w:val="center"/>
              <w:rPr>
                <w:rFonts w:hint="default" w:hAnsi="Times New Roman" w:eastAsia="宋体" w:cs="Times New Roman"/>
              </w:rPr>
            </w:pPr>
            <w:r>
              <w:rPr>
                <w:rFonts w:hint="default" w:hAnsi="Times New Roman" w:eastAsia="宋体" w:cs="Times New Roman"/>
              </w:rPr>
              <w:t>F B</w:t>
            </w:r>
          </w:p>
        </w:tc>
        <w:tc>
          <w:tcPr>
            <w:tcW w:w="971" w:type="dxa"/>
            <w:noWrap/>
            <w:vAlign w:val="center"/>
          </w:tcPr>
          <w:p w14:paraId="2496DB8E">
            <w:pPr>
              <w:pStyle w:val="155"/>
              <w:jc w:val="center"/>
              <w:rPr>
                <w:rFonts w:hint="default" w:hAnsi="Times New Roman" w:eastAsia="宋体" w:cs="Times New Roman"/>
              </w:rPr>
            </w:pPr>
            <w:r>
              <w:rPr>
                <w:rFonts w:hint="default" w:hAnsi="Times New Roman" w:eastAsia="宋体" w:cs="Times New Roman"/>
              </w:rPr>
              <w:t>+</w:t>
            </w:r>
          </w:p>
        </w:tc>
        <w:tc>
          <w:tcPr>
            <w:tcW w:w="971" w:type="dxa"/>
            <w:noWrap/>
            <w:vAlign w:val="center"/>
          </w:tcPr>
          <w:p w14:paraId="25EE3545">
            <w:pPr>
              <w:pStyle w:val="155"/>
              <w:jc w:val="center"/>
              <w:rPr>
                <w:rFonts w:hint="default" w:hAnsi="Times New Roman" w:eastAsia="宋体" w:cs="Times New Roman"/>
              </w:rPr>
            </w:pPr>
          </w:p>
        </w:tc>
        <w:tc>
          <w:tcPr>
            <w:tcW w:w="1322" w:type="dxa"/>
            <w:noWrap/>
            <w:vAlign w:val="center"/>
          </w:tcPr>
          <w:p w14:paraId="5CC9126F">
            <w:pPr>
              <w:pStyle w:val="155"/>
              <w:jc w:val="center"/>
              <w:rPr>
                <w:rFonts w:hint="default" w:hAnsi="Times New Roman" w:eastAsia="宋体" w:cs="Times New Roman"/>
              </w:rPr>
            </w:pPr>
            <w:r>
              <w:rPr>
                <w:rFonts w:hint="default" w:hAnsi="Times New Roman" w:eastAsia="宋体" w:cs="Times New Roman"/>
              </w:rPr>
              <w:t>P</w:t>
            </w:r>
          </w:p>
        </w:tc>
      </w:tr>
    </w:tbl>
    <w:p w14:paraId="0A253A13">
      <w:pPr>
        <w:spacing w:line="240" w:lineRule="auto"/>
        <w:ind w:firstLine="0" w:firstLineChars="0"/>
        <w:rPr>
          <w:rFonts w:cs="Times New Roman"/>
          <w:sz w:val="21"/>
          <w:szCs w:val="21"/>
        </w:rPr>
      </w:pPr>
      <w:r>
        <w:rPr>
          <w:rFonts w:hAnsi="Times New Roman" w:eastAsia="宋体" w:cs="Times New Roman"/>
          <w:sz w:val="21"/>
          <w:szCs w:val="21"/>
        </w:rPr>
        <w:t>注：栖息生境：F表示森林；B表示灌丛；G表示草甸草地；R表示河流沼泽；M表示农田居民点；</w:t>
      </w:r>
    </w:p>
    <w:p w14:paraId="4AD8C447">
      <w:pPr>
        <w:spacing w:line="240" w:lineRule="auto"/>
        <w:ind w:firstLine="420"/>
        <w:rPr>
          <w:rFonts w:cs="Times New Roman"/>
          <w:sz w:val="21"/>
          <w:szCs w:val="21"/>
        </w:rPr>
      </w:pPr>
      <w:r>
        <w:rPr>
          <w:rFonts w:hAnsi="Times New Roman" w:eastAsia="宋体" w:cs="Times New Roman"/>
          <w:sz w:val="21"/>
          <w:szCs w:val="21"/>
        </w:rPr>
        <w:t>数    量：+++—优势种；++—常见种；+—稀有种；O—绝迹或文献记载。</w:t>
      </w:r>
    </w:p>
    <w:p w14:paraId="433AF8C4">
      <w:pPr>
        <w:spacing w:line="240" w:lineRule="auto"/>
        <w:ind w:firstLine="420"/>
        <w:rPr>
          <w:rFonts w:cs="Times New Roman"/>
          <w:sz w:val="21"/>
          <w:szCs w:val="21"/>
        </w:rPr>
      </w:pPr>
      <w:r>
        <w:rPr>
          <w:rFonts w:hAnsi="Times New Roman" w:eastAsia="宋体" w:cs="Times New Roman"/>
          <w:sz w:val="21"/>
          <w:szCs w:val="21"/>
        </w:rPr>
        <w:t>区    系：P—古北种；O—东洋种；C—广布种。</w:t>
      </w:r>
    </w:p>
    <w:p w14:paraId="5FE2D20F">
      <w:pPr>
        <w:spacing w:line="240" w:lineRule="auto"/>
        <w:ind w:firstLine="420"/>
        <w:rPr>
          <w:rFonts w:cs="Times New Roman"/>
          <w:sz w:val="21"/>
          <w:szCs w:val="21"/>
        </w:rPr>
      </w:pPr>
      <w:r>
        <w:rPr>
          <w:rFonts w:hAnsi="Times New Roman" w:eastAsia="宋体" w:cs="Times New Roman"/>
          <w:sz w:val="21"/>
          <w:szCs w:val="21"/>
        </w:rPr>
        <w:t>保护情况：一：表示国家一级保护动物；二：表示国家二级保护动物。</w:t>
      </w:r>
    </w:p>
    <w:p w14:paraId="2DBA9412">
      <w:pPr>
        <w:ind w:firstLine="480"/>
      </w:pPr>
      <w:r>
        <w:rPr>
          <w:rFonts w:hint="eastAsia"/>
        </w:rPr>
        <w:t>本区动物区系明显地表现出温带森林、农田城市动物群的特征：北方型哺乳类与东北型哺乳类相混杂。北方型哺乳类包括普通</w:t>
      </w:r>
      <w:r>
        <w:rPr>
          <w:rFonts w:hint="eastAsia" w:ascii="仿宋_GB2312" w:hAnsi="宋体" w:eastAsia="宋体"/>
        </w:rPr>
        <w:t>鼩鼱</w:t>
      </w:r>
      <w:r>
        <w:rPr>
          <w:rFonts w:hint="eastAsia"/>
        </w:rPr>
        <w:t>（</w:t>
      </w:r>
      <w:r>
        <w:rPr>
          <w:i/>
          <w:iCs/>
        </w:rPr>
        <w:t>Sorex araneus</w:t>
      </w:r>
      <w:r>
        <w:rPr>
          <w:rFonts w:hint="eastAsia"/>
        </w:rPr>
        <w:t>）等，它们都曾广泛分布于阔叶林带以及森林苔原带，是环北极耐寒动物群的典型代表。东北型哺乳类有食肉目鼬科的黄鼬（</w:t>
      </w:r>
      <w:r>
        <w:rPr>
          <w:rFonts w:hint="eastAsia"/>
          <w:i/>
          <w:iCs/>
        </w:rPr>
        <w:t>Mustela sibirica</w:t>
      </w:r>
      <w:r>
        <w:rPr>
          <w:rFonts w:hint="eastAsia"/>
        </w:rPr>
        <w:t>）等。</w:t>
      </w:r>
    </w:p>
    <w:p w14:paraId="0BF9B66D">
      <w:pPr>
        <w:ind w:firstLine="480"/>
      </w:pPr>
      <w:r>
        <w:rPr>
          <w:rFonts w:hint="eastAsia"/>
        </w:rPr>
        <w:t>评价区哺乳类动物的生境主要为包括乔灌木林、草地、农田等。啮齿类动物是地球自然生态系统中适应性最强的物种，森林、草甸、农田、村落等各类生境都是其生存的场所，也决定了评价区依存啮齿类动物生存的物种（包括哺乳类、鸟类、爬行类等）的丰度。食肉目种类的丰富度与啮齿类的种群数量间存在线性的联系。啮齿类、草食性动物的生境中，必然伴随着食肉目、猛禽等动物的存在。此外，纷杂的植被资源，为草食性动物以及其他杂食性哺乳类提供了优质的食物、庇护所和生存空间，决定了哺乳类种群的丰富和多样。每种生境中都会存在一种或多种野生动物与之相适应，从而构成完整的生态系统以及其内部的能量交换、物种的遗传和变异等自然规律。</w:t>
      </w:r>
    </w:p>
    <w:p w14:paraId="5FE4E58D">
      <w:pPr>
        <w:ind w:firstLine="480"/>
      </w:pPr>
      <w:bookmarkStart w:id="332" w:name="_Toc8214"/>
      <w:bookmarkStart w:id="333" w:name="_Toc17523"/>
      <w:bookmarkStart w:id="334" w:name="_Toc11776"/>
      <w:r>
        <w:t>①生态类型</w:t>
      </w:r>
      <w:bookmarkEnd w:id="332"/>
      <w:bookmarkEnd w:id="333"/>
      <w:bookmarkEnd w:id="334"/>
    </w:p>
    <w:p w14:paraId="5683CD0F">
      <w:pPr>
        <w:ind w:firstLine="480"/>
      </w:pPr>
      <w:r>
        <w:t>a 半地下生活型（穴居型，主要在地面活动觅食、栖息、避敌于洞穴中，有的也在地下寻找食物）：</w:t>
      </w:r>
      <w:r>
        <w:rPr>
          <w:rFonts w:hAnsi="Times New Roman" w:cs="Times New Roman"/>
        </w:rPr>
        <w:t>普通田鼠（</w:t>
      </w:r>
      <w:r>
        <w:rPr>
          <w:rFonts w:hAnsi="Times New Roman" w:cs="Times New Roman"/>
          <w:i/>
          <w:iCs/>
        </w:rPr>
        <w:t>Microtus arvalis</w:t>
      </w:r>
      <w:r>
        <w:rPr>
          <w:rFonts w:hAnsi="Times New Roman" w:cs="Times New Roman"/>
        </w:rPr>
        <w:t>）</w:t>
      </w:r>
      <w:r>
        <w:rPr>
          <w:rFonts w:hAnsi="Times New Roman" w:cs="Times New Roman"/>
          <w:i/>
          <w:iCs/>
        </w:rPr>
        <w:t>、</w:t>
      </w:r>
      <w:r>
        <w:rPr>
          <w:rFonts w:hAnsi="Times New Roman" w:cs="Times New Roman"/>
        </w:rPr>
        <w:t>黑线姬鼠（</w:t>
      </w:r>
      <w:r>
        <w:rPr>
          <w:rFonts w:hAnsi="Times New Roman" w:cs="Times New Roman"/>
          <w:i/>
          <w:iCs/>
        </w:rPr>
        <w:t>Apodemus agrarius</w:t>
      </w:r>
      <w:r>
        <w:rPr>
          <w:rFonts w:hAnsi="Times New Roman" w:cs="Times New Roman"/>
        </w:rPr>
        <w:t>）、褐家鼠（</w:t>
      </w:r>
      <w:r>
        <w:rPr>
          <w:rFonts w:hAnsi="Times New Roman" w:cs="Times New Roman"/>
          <w:i/>
          <w:iCs/>
        </w:rPr>
        <w:t>Rattus norvegicus</w:t>
      </w:r>
      <w:r>
        <w:rPr>
          <w:rFonts w:hAnsi="Times New Roman" w:cs="Times New Roman"/>
        </w:rPr>
        <w:t>）</w:t>
      </w:r>
      <w:r>
        <w:rPr>
          <w:rFonts w:hAnsi="Times New Roman" w:cs="Times New Roman"/>
          <w:i/>
          <w:iCs/>
        </w:rPr>
        <w:t>、</w:t>
      </w:r>
      <w:r>
        <w:rPr>
          <w:rFonts w:hAnsi="Times New Roman" w:cs="Times New Roman"/>
        </w:rPr>
        <w:t>黑线仓鼠（</w:t>
      </w:r>
      <w:r>
        <w:rPr>
          <w:rFonts w:hAnsi="Times New Roman" w:cs="Times New Roman"/>
          <w:i/>
          <w:iCs/>
        </w:rPr>
        <w:t>Cricetulusbarabensis</w:t>
      </w:r>
      <w:r>
        <w:rPr>
          <w:rFonts w:hAnsi="Times New Roman" w:cs="Times New Roman"/>
        </w:rPr>
        <w:t>）</w:t>
      </w:r>
      <w:r>
        <w:rPr>
          <w:rFonts w:hAnsi="Times New Roman" w:cs="Times New Roman"/>
          <w:i/>
          <w:iCs/>
        </w:rPr>
        <w:t>、</w:t>
      </w:r>
      <w:r>
        <w:rPr>
          <w:rFonts w:hAnsi="Times New Roman" w:cs="Times New Roman"/>
        </w:rPr>
        <w:t>棕背</w:t>
      </w:r>
      <w:r>
        <w:rPr>
          <w:rFonts w:ascii="宋体" w:hAnsi="宋体" w:eastAsia="宋体" w:cs="Times New Roman"/>
        </w:rPr>
        <w:t>䶄</w:t>
      </w:r>
      <w:r>
        <w:rPr>
          <w:rFonts w:hAnsi="Times New Roman" w:cs="Times New Roman"/>
        </w:rPr>
        <w:t>（</w:t>
      </w:r>
      <w:r>
        <w:rPr>
          <w:rFonts w:hAnsi="Times New Roman" w:cs="Times New Roman"/>
          <w:i/>
          <w:iCs/>
        </w:rPr>
        <w:t>Myodes rufocanus </w:t>
      </w:r>
      <w:r>
        <w:rPr>
          <w:rFonts w:hAnsi="Times New Roman" w:cs="Times New Roman"/>
        </w:rPr>
        <w:t>）</w:t>
      </w:r>
      <w:r>
        <w:rPr>
          <w:rFonts w:hAnsi="Times New Roman" w:cs="Times New Roman"/>
          <w:i/>
          <w:iCs/>
        </w:rPr>
        <w:t>、</w:t>
      </w:r>
      <w:r>
        <w:rPr>
          <w:rFonts w:hAnsi="Times New Roman" w:cs="Times New Roman"/>
        </w:rPr>
        <w:t>红背</w:t>
      </w:r>
      <w:r>
        <w:rPr>
          <w:rFonts w:ascii="宋体" w:hAnsi="宋体" w:eastAsia="宋体" w:cs="Times New Roman"/>
        </w:rPr>
        <w:t>䶄</w:t>
      </w:r>
      <w:r>
        <w:rPr>
          <w:rFonts w:hAnsi="Times New Roman" w:cs="Times New Roman"/>
        </w:rPr>
        <w:t>（</w:t>
      </w:r>
      <w:r>
        <w:rPr>
          <w:rFonts w:hAnsi="Times New Roman" w:cs="Times New Roman"/>
          <w:i/>
          <w:iCs/>
        </w:rPr>
        <w:t>Myodes rutilus</w:t>
      </w:r>
      <w:r>
        <w:rPr>
          <w:rFonts w:hAnsi="Times New Roman" w:cs="Times New Roman"/>
        </w:rPr>
        <w:t>）</w:t>
      </w:r>
      <w:r>
        <w:rPr>
          <w:rFonts w:hint="eastAsia" w:hAnsi="Times New Roman" w:cs="Times New Roman"/>
        </w:rPr>
        <w:t>等</w:t>
      </w:r>
      <w:r>
        <w:rPr>
          <w:rFonts w:hAnsi="Times New Roman" w:cs="Times New Roman"/>
        </w:rPr>
        <w:t>，主要分布在评价范围内的农田、居民点及林地中。</w:t>
      </w:r>
    </w:p>
    <w:p w14:paraId="7D0BAD94">
      <w:pPr>
        <w:ind w:firstLine="480"/>
      </w:pPr>
      <w:r>
        <w:t>b 地面生活型（主要在地面上活动、觅食）：包括黄鼬</w:t>
      </w:r>
      <w:r>
        <w:rPr>
          <w:rFonts w:hint="eastAsia"/>
        </w:rPr>
        <w:t>（</w:t>
      </w:r>
      <w:r>
        <w:rPr>
          <w:rFonts w:hint="eastAsia"/>
          <w:i/>
          <w:iCs/>
        </w:rPr>
        <w:t>Mustela sibirica</w:t>
      </w:r>
      <w:r>
        <w:rPr>
          <w:rFonts w:hint="eastAsia"/>
        </w:rPr>
        <w:t>）等</w:t>
      </w:r>
      <w:r>
        <w:t>。</w:t>
      </w:r>
      <w:r>
        <w:rPr>
          <w:rFonts w:hAnsi="Times New Roman" w:cs="Times New Roman"/>
        </w:rPr>
        <w:t>主要分布于</w:t>
      </w:r>
      <w:r>
        <w:rPr>
          <w:rFonts w:hint="eastAsia" w:hAnsi="Times New Roman" w:cs="Times New Roman"/>
        </w:rPr>
        <w:t>倭勒根</w:t>
      </w:r>
      <w:r>
        <w:rPr>
          <w:rFonts w:hAnsi="Times New Roman" w:cs="Times New Roman"/>
        </w:rPr>
        <w:t>河两岸灌丛及林区</w:t>
      </w:r>
      <w:r>
        <w:t>。</w:t>
      </w:r>
    </w:p>
    <w:p w14:paraId="6987542E">
      <w:pPr>
        <w:ind w:firstLine="480"/>
      </w:pPr>
      <w:r>
        <w:t>c 岩洞栖息型（在岩洞中倒挂栖息的小型兽类）：</w:t>
      </w:r>
      <w:r>
        <w:rPr>
          <w:rFonts w:hint="eastAsia"/>
        </w:rPr>
        <w:t>普通</w:t>
      </w:r>
      <w:r>
        <w:t>蝙蝠</w:t>
      </w:r>
      <w:r>
        <w:rPr>
          <w:rFonts w:hint="eastAsia"/>
        </w:rPr>
        <w:t>（</w:t>
      </w:r>
      <w:r>
        <w:rPr>
          <w:i/>
          <w:iCs/>
        </w:rPr>
        <w:t>Vespertilio murinus</w:t>
      </w:r>
      <w:r>
        <w:rPr>
          <w:rFonts w:hint="eastAsia"/>
        </w:rPr>
        <w:t>）</w:t>
      </w:r>
      <w:r>
        <w:t>主要分布在评价区范围的山洞、树洞及废弃的房屋等处栖息，夜晚出来活动觅食。</w:t>
      </w:r>
    </w:p>
    <w:p w14:paraId="5ACCBFA7">
      <w:pPr>
        <w:ind w:firstLine="480"/>
      </w:pPr>
      <w:r>
        <w:rPr>
          <w:rFonts w:hint="eastAsia"/>
        </w:rPr>
        <w:t xml:space="preserve">d </w:t>
      </w:r>
      <w:r>
        <w:t>树栖型（主要在树上栖息、觅食）：有松鼠</w:t>
      </w:r>
      <w:r>
        <w:rPr>
          <w:rFonts w:hint="eastAsia"/>
        </w:rPr>
        <w:t>（</w:t>
      </w:r>
      <w:r>
        <w:rPr>
          <w:rFonts w:hint="eastAsia"/>
          <w:i/>
          <w:iCs/>
        </w:rPr>
        <w:t>Sciurus vuigaris）</w:t>
      </w:r>
      <w:r>
        <w:rPr>
          <w:rFonts w:hint="eastAsia"/>
        </w:rPr>
        <w:t>等</w:t>
      </w:r>
      <w:r>
        <w:t>主要活动于评价区的森林、林缘及灌丛，其中松鼠也见于居民点周边。</w:t>
      </w:r>
    </w:p>
    <w:p w14:paraId="592D985A">
      <w:pPr>
        <w:ind w:firstLine="480"/>
      </w:pPr>
      <w:bookmarkStart w:id="335" w:name="_Toc9909"/>
      <w:r>
        <w:rPr>
          <w:rFonts w:hint="eastAsia"/>
        </w:rPr>
        <w:t>（2）爬行类</w:t>
      </w:r>
      <w:bookmarkEnd w:id="335"/>
      <w:r>
        <w:rPr>
          <w:rFonts w:hint="eastAsia"/>
        </w:rPr>
        <w:t>、两栖类</w:t>
      </w:r>
    </w:p>
    <w:p w14:paraId="0A6DBDEE">
      <w:pPr>
        <w:ind w:firstLine="480"/>
      </w:pPr>
      <w:r>
        <w:rPr>
          <w:rFonts w:hint="eastAsia"/>
        </w:rPr>
        <w:t>受到寒冷气候条件的限制，本项目评价区内两栖类及爬行类动物组成简单，种类少。评价区内两栖、爬行类仍然主要分布在天然林生境。两栖类广泛分布于区内的河流之中，爬行类则常见于灌木林及草甸中。据统计本区共录有两栖动物有</w:t>
      </w:r>
      <w:r>
        <w:t>1</w:t>
      </w:r>
      <w:r>
        <w:rPr>
          <w:rFonts w:hint="eastAsia"/>
        </w:rPr>
        <w:t>目3科6种，爬行类动物有</w:t>
      </w:r>
      <w:r>
        <w:t>1</w:t>
      </w:r>
      <w:r>
        <w:rPr>
          <w:rFonts w:hint="eastAsia"/>
        </w:rPr>
        <w:t>目2科5种。从动物地理区系看，两栖动物为古北界和广布种，以东北区的成分为主。中华蟾蜍（</w:t>
      </w:r>
      <w:r>
        <w:rPr>
          <w:i/>
          <w:iCs/>
        </w:rPr>
        <w:t>Bufo gargarizans</w:t>
      </w:r>
      <w:r>
        <w:rPr>
          <w:rFonts w:hint="eastAsia"/>
        </w:rPr>
        <w:t>）为本区优势种，数量较多。6种两栖动物中，中华蟾蜍（</w:t>
      </w:r>
      <w:r>
        <w:rPr>
          <w:i/>
          <w:iCs/>
        </w:rPr>
        <w:t>Bufo gargarizans</w:t>
      </w:r>
      <w:r>
        <w:rPr>
          <w:rFonts w:hint="eastAsia"/>
        </w:rPr>
        <w:t>）广泛分布于古北界的东北区、华北区和蒙新区；黑龙江林蛙分布于东北区和新蒙区。在5种爬行动物中，均为古北种。</w:t>
      </w:r>
    </w:p>
    <w:p w14:paraId="5D2257C7">
      <w:pPr>
        <w:pStyle w:val="178"/>
      </w:pPr>
      <w:r>
        <w:t>表4.3-</w:t>
      </w:r>
      <w:r>
        <w:rPr>
          <w:rFonts w:hint="eastAsia"/>
        </w:rPr>
        <w:t>14</w:t>
      </w:r>
      <w:r>
        <w:t xml:space="preserve">  评价区爬行类动物名录</w:t>
      </w:r>
    </w:p>
    <w:tbl>
      <w:tblPr>
        <w:tblStyle w:val="36"/>
        <w:tblW w:w="4999" w:type="pct"/>
        <w:jc w:val="center"/>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Layout w:type="fixed"/>
        <w:tblCellMar>
          <w:top w:w="0" w:type="dxa"/>
          <w:left w:w="0" w:type="dxa"/>
          <w:bottom w:w="0" w:type="dxa"/>
          <w:right w:w="0" w:type="dxa"/>
        </w:tblCellMar>
      </w:tblPr>
      <w:tblGrid>
        <w:gridCol w:w="865"/>
        <w:gridCol w:w="1201"/>
        <w:gridCol w:w="2322"/>
        <w:gridCol w:w="905"/>
        <w:gridCol w:w="887"/>
        <w:gridCol w:w="887"/>
        <w:gridCol w:w="1217"/>
      </w:tblGrid>
      <w:tr w14:paraId="40BF640C">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865" w:type="dxa"/>
            <w:noWrap/>
            <w:vAlign w:val="center"/>
          </w:tcPr>
          <w:p w14:paraId="2AF499EA">
            <w:pPr>
              <w:spacing w:line="240" w:lineRule="auto"/>
              <w:ind w:firstLine="0" w:firstLineChars="0"/>
              <w:jc w:val="center"/>
              <w:rPr>
                <w:rFonts w:hAnsi="Times New Roman" w:eastAsia="宋体" w:cs="Times New Roman"/>
                <w:b/>
                <w:bCs w:val="0"/>
                <w:sz w:val="21"/>
                <w:szCs w:val="21"/>
              </w:rPr>
            </w:pPr>
            <w:r>
              <w:rPr>
                <w:rFonts w:hAnsi="宋体" w:eastAsia="宋体" w:cs="Times New Roman"/>
                <w:b/>
                <w:sz w:val="21"/>
                <w:szCs w:val="21"/>
              </w:rPr>
              <w:t>序号</w:t>
            </w:r>
          </w:p>
        </w:tc>
        <w:tc>
          <w:tcPr>
            <w:tcW w:w="1201" w:type="dxa"/>
            <w:noWrap/>
            <w:vAlign w:val="center"/>
          </w:tcPr>
          <w:p w14:paraId="6F5FD566">
            <w:pPr>
              <w:spacing w:line="240" w:lineRule="auto"/>
              <w:ind w:firstLine="0" w:firstLineChars="0"/>
              <w:jc w:val="center"/>
              <w:rPr>
                <w:rFonts w:hAnsi="Times New Roman" w:eastAsia="宋体" w:cs="Times New Roman"/>
                <w:b/>
                <w:bCs w:val="0"/>
                <w:sz w:val="21"/>
                <w:szCs w:val="21"/>
              </w:rPr>
            </w:pPr>
            <w:r>
              <w:rPr>
                <w:rFonts w:hAnsi="宋体" w:eastAsia="宋体" w:cs="Times New Roman"/>
                <w:b/>
                <w:sz w:val="21"/>
                <w:szCs w:val="21"/>
              </w:rPr>
              <w:t>名称</w:t>
            </w:r>
          </w:p>
        </w:tc>
        <w:tc>
          <w:tcPr>
            <w:tcW w:w="2322" w:type="dxa"/>
            <w:noWrap/>
            <w:vAlign w:val="center"/>
          </w:tcPr>
          <w:p w14:paraId="014FDADE">
            <w:pPr>
              <w:spacing w:line="240" w:lineRule="auto"/>
              <w:ind w:firstLine="0" w:firstLineChars="0"/>
              <w:jc w:val="center"/>
              <w:rPr>
                <w:rFonts w:hAnsi="Times New Roman" w:eastAsia="宋体" w:cs="Times New Roman"/>
                <w:b/>
                <w:bCs w:val="0"/>
                <w:sz w:val="21"/>
                <w:szCs w:val="21"/>
              </w:rPr>
            </w:pPr>
            <w:r>
              <w:rPr>
                <w:rFonts w:hAnsi="宋体" w:eastAsia="宋体" w:cs="Times New Roman"/>
                <w:b/>
                <w:sz w:val="21"/>
                <w:szCs w:val="21"/>
              </w:rPr>
              <w:t>学名</w:t>
            </w:r>
          </w:p>
        </w:tc>
        <w:tc>
          <w:tcPr>
            <w:tcW w:w="905" w:type="dxa"/>
            <w:noWrap/>
            <w:vAlign w:val="center"/>
          </w:tcPr>
          <w:p w14:paraId="502939C8">
            <w:pPr>
              <w:spacing w:line="240" w:lineRule="auto"/>
              <w:ind w:firstLine="0" w:firstLineChars="0"/>
              <w:jc w:val="center"/>
              <w:rPr>
                <w:rFonts w:hAnsi="Times New Roman" w:eastAsia="宋体" w:cs="Times New Roman"/>
                <w:b/>
                <w:bCs w:val="0"/>
                <w:sz w:val="21"/>
                <w:szCs w:val="21"/>
              </w:rPr>
            </w:pPr>
            <w:r>
              <w:rPr>
                <w:rFonts w:hAnsi="宋体" w:eastAsia="宋体" w:cs="Times New Roman"/>
                <w:b/>
                <w:sz w:val="21"/>
                <w:szCs w:val="21"/>
              </w:rPr>
              <w:t>生境</w:t>
            </w:r>
          </w:p>
        </w:tc>
        <w:tc>
          <w:tcPr>
            <w:tcW w:w="887" w:type="dxa"/>
            <w:noWrap/>
            <w:vAlign w:val="center"/>
          </w:tcPr>
          <w:p w14:paraId="72292A83">
            <w:pPr>
              <w:spacing w:line="240" w:lineRule="auto"/>
              <w:ind w:firstLine="0" w:firstLineChars="0"/>
              <w:jc w:val="center"/>
              <w:rPr>
                <w:rFonts w:hAnsi="Times New Roman" w:eastAsia="宋体" w:cs="Times New Roman"/>
                <w:b/>
                <w:bCs w:val="0"/>
                <w:sz w:val="21"/>
                <w:szCs w:val="21"/>
              </w:rPr>
            </w:pPr>
            <w:r>
              <w:rPr>
                <w:rFonts w:hAnsi="宋体" w:eastAsia="宋体" w:cs="Times New Roman"/>
                <w:b/>
                <w:sz w:val="21"/>
                <w:szCs w:val="21"/>
              </w:rPr>
              <w:t>数量</w:t>
            </w:r>
          </w:p>
        </w:tc>
        <w:tc>
          <w:tcPr>
            <w:tcW w:w="887" w:type="dxa"/>
            <w:noWrap/>
            <w:vAlign w:val="center"/>
          </w:tcPr>
          <w:p w14:paraId="37747BD9">
            <w:pPr>
              <w:spacing w:line="240" w:lineRule="auto"/>
              <w:ind w:firstLine="0" w:firstLineChars="0"/>
              <w:jc w:val="center"/>
              <w:rPr>
                <w:rFonts w:hAnsi="Times New Roman" w:eastAsia="宋体" w:cs="Times New Roman"/>
                <w:b/>
                <w:bCs w:val="0"/>
                <w:sz w:val="21"/>
                <w:szCs w:val="21"/>
              </w:rPr>
            </w:pPr>
            <w:r>
              <w:rPr>
                <w:rFonts w:hAnsi="宋体" w:eastAsia="宋体" w:cs="Times New Roman"/>
                <w:b/>
                <w:sz w:val="21"/>
                <w:szCs w:val="21"/>
              </w:rPr>
              <w:t>保护级别</w:t>
            </w:r>
          </w:p>
        </w:tc>
        <w:tc>
          <w:tcPr>
            <w:tcW w:w="1217" w:type="dxa"/>
            <w:noWrap/>
            <w:vAlign w:val="center"/>
          </w:tcPr>
          <w:p w14:paraId="40B429FA">
            <w:pPr>
              <w:spacing w:line="240" w:lineRule="auto"/>
              <w:ind w:firstLine="0" w:firstLineChars="0"/>
              <w:jc w:val="center"/>
              <w:rPr>
                <w:rFonts w:hAnsi="Times New Roman" w:eastAsia="宋体" w:cs="Times New Roman"/>
                <w:b/>
                <w:bCs w:val="0"/>
                <w:sz w:val="21"/>
                <w:szCs w:val="21"/>
              </w:rPr>
            </w:pPr>
            <w:r>
              <w:rPr>
                <w:rFonts w:hAnsi="宋体" w:eastAsia="宋体" w:cs="Times New Roman"/>
                <w:b/>
                <w:sz w:val="21"/>
                <w:szCs w:val="21"/>
              </w:rPr>
              <w:t>分布型</w:t>
            </w:r>
          </w:p>
        </w:tc>
      </w:tr>
      <w:tr w14:paraId="2E8045C9">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865" w:type="dxa"/>
            <w:noWrap/>
            <w:vAlign w:val="center"/>
          </w:tcPr>
          <w:p w14:paraId="5D323D9B">
            <w:pPr>
              <w:spacing w:line="240" w:lineRule="auto"/>
              <w:ind w:firstLine="0" w:firstLineChars="0"/>
              <w:jc w:val="center"/>
              <w:rPr>
                <w:rFonts w:hAnsi="Times New Roman" w:eastAsia="宋体" w:cs="Times New Roman"/>
                <w:b/>
                <w:bCs w:val="0"/>
                <w:sz w:val="21"/>
                <w:szCs w:val="21"/>
              </w:rPr>
            </w:pPr>
            <w:r>
              <w:rPr>
                <w:rFonts w:hAnsi="宋体" w:eastAsia="宋体" w:cs="Times New Roman"/>
                <w:b/>
                <w:sz w:val="21"/>
                <w:szCs w:val="21"/>
              </w:rPr>
              <w:t>一</w:t>
            </w:r>
          </w:p>
        </w:tc>
        <w:tc>
          <w:tcPr>
            <w:tcW w:w="1201" w:type="dxa"/>
            <w:noWrap/>
            <w:vAlign w:val="center"/>
          </w:tcPr>
          <w:p w14:paraId="58A1826F">
            <w:pPr>
              <w:spacing w:line="240" w:lineRule="auto"/>
              <w:ind w:firstLine="0" w:firstLineChars="0"/>
              <w:jc w:val="center"/>
              <w:rPr>
                <w:rFonts w:hAnsi="Times New Roman" w:eastAsia="宋体" w:cs="Times New Roman"/>
                <w:b/>
                <w:bCs w:val="0"/>
                <w:sz w:val="21"/>
                <w:szCs w:val="21"/>
              </w:rPr>
            </w:pPr>
            <w:r>
              <w:rPr>
                <w:rFonts w:hAnsi="宋体" w:eastAsia="宋体" w:cs="Times New Roman"/>
                <w:b/>
                <w:sz w:val="21"/>
                <w:szCs w:val="21"/>
              </w:rPr>
              <w:t>有鳞目</w:t>
            </w:r>
          </w:p>
        </w:tc>
        <w:tc>
          <w:tcPr>
            <w:tcW w:w="2322" w:type="dxa"/>
            <w:noWrap/>
            <w:vAlign w:val="center"/>
          </w:tcPr>
          <w:p w14:paraId="59041A78">
            <w:pPr>
              <w:spacing w:line="240" w:lineRule="auto"/>
              <w:ind w:firstLine="0" w:firstLineChars="0"/>
              <w:jc w:val="center"/>
              <w:rPr>
                <w:rFonts w:hAnsi="Times New Roman" w:eastAsia="宋体" w:cs="Times New Roman"/>
                <w:b/>
                <w:bCs w:val="0"/>
                <w:i/>
                <w:iCs/>
                <w:sz w:val="21"/>
                <w:szCs w:val="21"/>
              </w:rPr>
            </w:pPr>
            <w:r>
              <w:rPr>
                <w:rFonts w:hAnsi="Times New Roman" w:eastAsia="宋体" w:cs="Times New Roman"/>
                <w:b/>
                <w:sz w:val="21"/>
                <w:szCs w:val="21"/>
              </w:rPr>
              <w:t>SQUAMATA</w:t>
            </w:r>
          </w:p>
        </w:tc>
        <w:tc>
          <w:tcPr>
            <w:tcW w:w="905" w:type="dxa"/>
            <w:noWrap/>
            <w:vAlign w:val="center"/>
          </w:tcPr>
          <w:p w14:paraId="28C0595F">
            <w:pPr>
              <w:spacing w:line="240" w:lineRule="auto"/>
              <w:ind w:firstLine="0" w:firstLineChars="0"/>
              <w:jc w:val="center"/>
              <w:rPr>
                <w:rFonts w:hAnsi="Times New Roman" w:eastAsia="宋体" w:cs="Times New Roman"/>
                <w:sz w:val="21"/>
                <w:szCs w:val="21"/>
              </w:rPr>
            </w:pPr>
          </w:p>
        </w:tc>
        <w:tc>
          <w:tcPr>
            <w:tcW w:w="887" w:type="dxa"/>
            <w:noWrap/>
            <w:vAlign w:val="center"/>
          </w:tcPr>
          <w:p w14:paraId="6C27AF6A">
            <w:pPr>
              <w:spacing w:line="240" w:lineRule="auto"/>
              <w:ind w:firstLine="0" w:firstLineChars="0"/>
              <w:jc w:val="center"/>
              <w:rPr>
                <w:rFonts w:hAnsi="Times New Roman" w:eastAsia="宋体" w:cs="Times New Roman"/>
                <w:sz w:val="21"/>
                <w:szCs w:val="21"/>
              </w:rPr>
            </w:pPr>
          </w:p>
        </w:tc>
        <w:tc>
          <w:tcPr>
            <w:tcW w:w="887" w:type="dxa"/>
            <w:noWrap/>
            <w:vAlign w:val="center"/>
          </w:tcPr>
          <w:p w14:paraId="3051FFDD">
            <w:pPr>
              <w:spacing w:line="240" w:lineRule="auto"/>
              <w:ind w:firstLine="0" w:firstLineChars="0"/>
              <w:jc w:val="center"/>
              <w:rPr>
                <w:rFonts w:hAnsi="Times New Roman" w:eastAsia="宋体" w:cs="Times New Roman"/>
                <w:sz w:val="21"/>
                <w:szCs w:val="21"/>
              </w:rPr>
            </w:pPr>
          </w:p>
        </w:tc>
        <w:tc>
          <w:tcPr>
            <w:tcW w:w="1217" w:type="dxa"/>
            <w:noWrap/>
            <w:vAlign w:val="center"/>
          </w:tcPr>
          <w:p w14:paraId="2FA09AA8">
            <w:pPr>
              <w:spacing w:line="240" w:lineRule="auto"/>
              <w:ind w:firstLine="0" w:firstLineChars="0"/>
              <w:jc w:val="center"/>
              <w:rPr>
                <w:rFonts w:hAnsi="Times New Roman" w:eastAsia="宋体" w:cs="Times New Roman"/>
                <w:sz w:val="21"/>
                <w:szCs w:val="21"/>
              </w:rPr>
            </w:pPr>
          </w:p>
        </w:tc>
      </w:tr>
      <w:tr w14:paraId="70476532">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865" w:type="dxa"/>
            <w:noWrap/>
            <w:vAlign w:val="center"/>
          </w:tcPr>
          <w:p w14:paraId="772C3936">
            <w:pPr>
              <w:spacing w:line="240" w:lineRule="auto"/>
              <w:ind w:firstLine="0" w:firstLineChars="0"/>
              <w:jc w:val="center"/>
              <w:rPr>
                <w:rFonts w:hAnsi="Times New Roman" w:eastAsia="宋体" w:cs="Times New Roman"/>
                <w:b/>
                <w:bCs w:val="0"/>
                <w:sz w:val="21"/>
                <w:szCs w:val="21"/>
              </w:rPr>
            </w:pPr>
            <w:r>
              <w:rPr>
                <w:rFonts w:hAnsi="宋体" w:eastAsia="宋体" w:cs="Times New Roman"/>
                <w:b/>
                <w:sz w:val="21"/>
                <w:szCs w:val="21"/>
              </w:rPr>
              <w:t>（一）</w:t>
            </w:r>
          </w:p>
        </w:tc>
        <w:tc>
          <w:tcPr>
            <w:tcW w:w="1201" w:type="dxa"/>
            <w:noWrap/>
            <w:vAlign w:val="center"/>
          </w:tcPr>
          <w:p w14:paraId="029F8E2F">
            <w:pPr>
              <w:spacing w:line="240" w:lineRule="auto"/>
              <w:ind w:firstLine="0" w:firstLineChars="0"/>
              <w:jc w:val="center"/>
              <w:rPr>
                <w:rFonts w:hAnsi="Times New Roman" w:eastAsia="宋体" w:cs="Times New Roman"/>
                <w:b/>
                <w:bCs w:val="0"/>
                <w:sz w:val="21"/>
                <w:szCs w:val="21"/>
              </w:rPr>
            </w:pPr>
            <w:r>
              <w:rPr>
                <w:rFonts w:hAnsi="宋体" w:eastAsia="宋体" w:cs="Times New Roman"/>
                <w:b/>
                <w:sz w:val="21"/>
                <w:szCs w:val="21"/>
              </w:rPr>
              <w:t>蜥蜴科</w:t>
            </w:r>
          </w:p>
        </w:tc>
        <w:tc>
          <w:tcPr>
            <w:tcW w:w="2322" w:type="dxa"/>
            <w:noWrap/>
            <w:vAlign w:val="center"/>
          </w:tcPr>
          <w:p w14:paraId="32B4552A">
            <w:pPr>
              <w:spacing w:line="240" w:lineRule="auto"/>
              <w:ind w:firstLine="0" w:firstLineChars="0"/>
              <w:jc w:val="center"/>
              <w:rPr>
                <w:rFonts w:hAnsi="Times New Roman" w:eastAsia="宋体" w:cs="Times New Roman"/>
                <w:b/>
                <w:bCs w:val="0"/>
                <w:sz w:val="21"/>
                <w:szCs w:val="21"/>
              </w:rPr>
            </w:pPr>
            <w:r>
              <w:rPr>
                <w:rFonts w:hAnsi="Times New Roman" w:eastAsia="宋体" w:cs="Times New Roman"/>
                <w:b/>
                <w:sz w:val="21"/>
                <w:szCs w:val="21"/>
              </w:rPr>
              <w:t>Lacertidac</w:t>
            </w:r>
          </w:p>
        </w:tc>
        <w:tc>
          <w:tcPr>
            <w:tcW w:w="905" w:type="dxa"/>
            <w:noWrap/>
            <w:vAlign w:val="center"/>
          </w:tcPr>
          <w:p w14:paraId="1C3F0BFC">
            <w:pPr>
              <w:spacing w:line="240" w:lineRule="auto"/>
              <w:ind w:firstLine="0" w:firstLineChars="0"/>
              <w:jc w:val="center"/>
              <w:rPr>
                <w:rFonts w:hAnsi="Times New Roman" w:eastAsia="宋体" w:cs="Times New Roman"/>
                <w:sz w:val="21"/>
                <w:szCs w:val="21"/>
              </w:rPr>
            </w:pPr>
          </w:p>
        </w:tc>
        <w:tc>
          <w:tcPr>
            <w:tcW w:w="887" w:type="dxa"/>
            <w:noWrap/>
            <w:vAlign w:val="center"/>
          </w:tcPr>
          <w:p w14:paraId="3D8BB332">
            <w:pPr>
              <w:spacing w:line="240" w:lineRule="auto"/>
              <w:ind w:firstLine="0" w:firstLineChars="0"/>
              <w:jc w:val="center"/>
              <w:rPr>
                <w:rFonts w:hAnsi="Times New Roman" w:eastAsia="宋体" w:cs="Times New Roman"/>
                <w:sz w:val="21"/>
                <w:szCs w:val="21"/>
              </w:rPr>
            </w:pPr>
          </w:p>
        </w:tc>
        <w:tc>
          <w:tcPr>
            <w:tcW w:w="887" w:type="dxa"/>
            <w:noWrap/>
            <w:vAlign w:val="center"/>
          </w:tcPr>
          <w:p w14:paraId="392F22A1">
            <w:pPr>
              <w:spacing w:line="240" w:lineRule="auto"/>
              <w:ind w:firstLine="0" w:firstLineChars="0"/>
              <w:jc w:val="center"/>
              <w:rPr>
                <w:rFonts w:hAnsi="Times New Roman" w:eastAsia="宋体" w:cs="Times New Roman"/>
                <w:sz w:val="21"/>
                <w:szCs w:val="21"/>
              </w:rPr>
            </w:pPr>
          </w:p>
        </w:tc>
        <w:tc>
          <w:tcPr>
            <w:tcW w:w="1217" w:type="dxa"/>
            <w:noWrap/>
            <w:vAlign w:val="center"/>
          </w:tcPr>
          <w:p w14:paraId="0F64A172">
            <w:pPr>
              <w:spacing w:line="240" w:lineRule="auto"/>
              <w:ind w:firstLine="0" w:firstLineChars="0"/>
              <w:jc w:val="center"/>
              <w:rPr>
                <w:rFonts w:hAnsi="Times New Roman" w:eastAsia="宋体" w:cs="Times New Roman"/>
                <w:sz w:val="21"/>
                <w:szCs w:val="21"/>
              </w:rPr>
            </w:pPr>
          </w:p>
        </w:tc>
      </w:tr>
      <w:tr w14:paraId="172972D9">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865" w:type="dxa"/>
            <w:noWrap/>
            <w:vAlign w:val="center"/>
          </w:tcPr>
          <w:p w14:paraId="200842A5">
            <w:pPr>
              <w:spacing w:line="240" w:lineRule="auto"/>
              <w:ind w:firstLine="0" w:firstLineChars="0"/>
              <w:jc w:val="center"/>
              <w:rPr>
                <w:rFonts w:hAnsi="Times New Roman" w:eastAsia="宋体" w:cs="Times New Roman"/>
                <w:b/>
                <w:bCs w:val="0"/>
                <w:sz w:val="21"/>
                <w:szCs w:val="21"/>
              </w:rPr>
            </w:pPr>
            <w:r>
              <w:rPr>
                <w:rFonts w:hAnsi="Times New Roman" w:eastAsia="宋体" w:cs="Times New Roman"/>
                <w:b/>
                <w:sz w:val="21"/>
                <w:szCs w:val="21"/>
              </w:rPr>
              <w:t>1</w:t>
            </w:r>
          </w:p>
        </w:tc>
        <w:tc>
          <w:tcPr>
            <w:tcW w:w="1201" w:type="dxa"/>
            <w:noWrap/>
            <w:vAlign w:val="center"/>
          </w:tcPr>
          <w:p w14:paraId="23A2C112">
            <w:pPr>
              <w:spacing w:line="240" w:lineRule="auto"/>
              <w:ind w:firstLine="0" w:firstLineChars="0"/>
              <w:jc w:val="center"/>
              <w:rPr>
                <w:rFonts w:hAnsi="Times New Roman" w:eastAsia="宋体" w:cs="Times New Roman"/>
                <w:b/>
                <w:bCs w:val="0"/>
                <w:sz w:val="21"/>
                <w:szCs w:val="21"/>
              </w:rPr>
            </w:pPr>
            <w:r>
              <w:rPr>
                <w:rFonts w:hAnsi="宋体" w:eastAsia="宋体" w:cs="Times New Roman"/>
                <w:sz w:val="21"/>
                <w:szCs w:val="21"/>
              </w:rPr>
              <w:t>胎生蜥蜴</w:t>
            </w:r>
          </w:p>
        </w:tc>
        <w:tc>
          <w:tcPr>
            <w:tcW w:w="2322" w:type="dxa"/>
            <w:noWrap/>
            <w:vAlign w:val="center"/>
          </w:tcPr>
          <w:p w14:paraId="59C4FDAD">
            <w:pPr>
              <w:spacing w:line="240" w:lineRule="auto"/>
              <w:ind w:firstLine="0" w:firstLineChars="0"/>
              <w:jc w:val="center"/>
              <w:rPr>
                <w:rFonts w:hAnsi="Times New Roman" w:eastAsia="宋体" w:cs="Times New Roman"/>
                <w:b/>
                <w:bCs w:val="0"/>
                <w:sz w:val="21"/>
                <w:szCs w:val="21"/>
              </w:rPr>
            </w:pPr>
            <w:r>
              <w:rPr>
                <w:rFonts w:hAnsi="Times New Roman" w:eastAsia="宋体" w:cs="Times New Roman"/>
                <w:i/>
                <w:iCs/>
                <w:sz w:val="21"/>
                <w:szCs w:val="21"/>
              </w:rPr>
              <w:t>Zootoca vivipara</w:t>
            </w:r>
          </w:p>
        </w:tc>
        <w:tc>
          <w:tcPr>
            <w:tcW w:w="905" w:type="dxa"/>
            <w:noWrap/>
            <w:vAlign w:val="center"/>
          </w:tcPr>
          <w:p w14:paraId="210C7D5E">
            <w:pPr>
              <w:spacing w:line="240" w:lineRule="auto"/>
              <w:ind w:firstLine="0" w:firstLineChars="0"/>
              <w:jc w:val="center"/>
              <w:rPr>
                <w:rFonts w:hAnsi="Times New Roman" w:eastAsia="宋体" w:cs="Times New Roman"/>
                <w:sz w:val="21"/>
                <w:szCs w:val="21"/>
              </w:rPr>
            </w:pPr>
            <w:r>
              <w:rPr>
                <w:rFonts w:hAnsi="Times New Roman" w:eastAsia="宋体" w:cs="Times New Roman"/>
                <w:sz w:val="21"/>
                <w:szCs w:val="21"/>
              </w:rPr>
              <w:t>FGB R</w:t>
            </w:r>
          </w:p>
        </w:tc>
        <w:tc>
          <w:tcPr>
            <w:tcW w:w="887" w:type="dxa"/>
            <w:noWrap/>
            <w:vAlign w:val="center"/>
          </w:tcPr>
          <w:p w14:paraId="0A8FE027">
            <w:pPr>
              <w:spacing w:line="240" w:lineRule="auto"/>
              <w:ind w:firstLine="0" w:firstLineChars="0"/>
              <w:jc w:val="center"/>
              <w:rPr>
                <w:rFonts w:hAnsi="Times New Roman" w:eastAsia="宋体" w:cs="Times New Roman"/>
                <w:sz w:val="21"/>
                <w:szCs w:val="21"/>
              </w:rPr>
            </w:pPr>
            <w:r>
              <w:rPr>
                <w:rFonts w:hAnsi="Times New Roman" w:eastAsia="宋体" w:cs="Times New Roman"/>
                <w:sz w:val="21"/>
                <w:szCs w:val="21"/>
              </w:rPr>
              <w:t>+</w:t>
            </w:r>
          </w:p>
        </w:tc>
        <w:tc>
          <w:tcPr>
            <w:tcW w:w="887" w:type="dxa"/>
            <w:noWrap/>
            <w:vAlign w:val="center"/>
          </w:tcPr>
          <w:p w14:paraId="1CB4080F">
            <w:pPr>
              <w:spacing w:line="240" w:lineRule="auto"/>
              <w:ind w:firstLine="0" w:firstLineChars="0"/>
              <w:jc w:val="center"/>
              <w:rPr>
                <w:rFonts w:hAnsi="Times New Roman" w:eastAsia="宋体" w:cs="Times New Roman"/>
                <w:sz w:val="21"/>
                <w:szCs w:val="21"/>
              </w:rPr>
            </w:pPr>
          </w:p>
        </w:tc>
        <w:tc>
          <w:tcPr>
            <w:tcW w:w="1217" w:type="dxa"/>
            <w:noWrap/>
            <w:vAlign w:val="center"/>
          </w:tcPr>
          <w:p w14:paraId="38038099">
            <w:pPr>
              <w:spacing w:line="240" w:lineRule="auto"/>
              <w:ind w:firstLine="0" w:firstLineChars="0"/>
              <w:jc w:val="center"/>
              <w:rPr>
                <w:rFonts w:hAnsi="Times New Roman" w:eastAsia="宋体" w:cs="Times New Roman"/>
                <w:sz w:val="21"/>
                <w:szCs w:val="21"/>
              </w:rPr>
            </w:pPr>
            <w:r>
              <w:rPr>
                <w:rFonts w:hAnsi="Times New Roman" w:eastAsia="宋体" w:cs="Times New Roman"/>
                <w:sz w:val="21"/>
                <w:szCs w:val="21"/>
              </w:rPr>
              <w:t>P</w:t>
            </w:r>
          </w:p>
        </w:tc>
      </w:tr>
      <w:tr w14:paraId="245B03B0">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865" w:type="dxa"/>
            <w:noWrap/>
            <w:vAlign w:val="center"/>
          </w:tcPr>
          <w:p w14:paraId="50D68679">
            <w:pPr>
              <w:spacing w:line="240" w:lineRule="auto"/>
              <w:ind w:firstLine="0" w:firstLineChars="0"/>
              <w:jc w:val="center"/>
              <w:rPr>
                <w:rFonts w:hAnsi="Times New Roman" w:eastAsia="宋体" w:cs="Times New Roman"/>
                <w:b/>
                <w:bCs w:val="0"/>
                <w:sz w:val="21"/>
                <w:szCs w:val="21"/>
              </w:rPr>
            </w:pPr>
            <w:r>
              <w:rPr>
                <w:rFonts w:hAnsi="Times New Roman" w:eastAsia="宋体" w:cs="Times New Roman"/>
                <w:b/>
                <w:sz w:val="21"/>
                <w:szCs w:val="21"/>
              </w:rPr>
              <w:t>2</w:t>
            </w:r>
          </w:p>
        </w:tc>
        <w:tc>
          <w:tcPr>
            <w:tcW w:w="1201" w:type="dxa"/>
            <w:noWrap/>
            <w:vAlign w:val="center"/>
          </w:tcPr>
          <w:p w14:paraId="172E8406">
            <w:pPr>
              <w:spacing w:line="240" w:lineRule="auto"/>
              <w:ind w:firstLine="0" w:firstLineChars="0"/>
              <w:jc w:val="center"/>
              <w:rPr>
                <w:rFonts w:hAnsi="Times New Roman" w:eastAsia="宋体" w:cs="Times New Roman"/>
                <w:b/>
                <w:bCs w:val="0"/>
                <w:sz w:val="21"/>
                <w:szCs w:val="21"/>
              </w:rPr>
            </w:pPr>
            <w:r>
              <w:rPr>
                <w:rFonts w:hAnsi="宋体" w:eastAsia="宋体" w:cs="Times New Roman"/>
                <w:sz w:val="21"/>
                <w:szCs w:val="21"/>
              </w:rPr>
              <w:t>黑龙江草蜥</w:t>
            </w:r>
          </w:p>
        </w:tc>
        <w:tc>
          <w:tcPr>
            <w:tcW w:w="2322" w:type="dxa"/>
            <w:noWrap/>
            <w:vAlign w:val="center"/>
          </w:tcPr>
          <w:p w14:paraId="16695054">
            <w:pPr>
              <w:spacing w:line="240" w:lineRule="auto"/>
              <w:ind w:firstLine="0" w:firstLineChars="0"/>
              <w:jc w:val="center"/>
              <w:rPr>
                <w:rFonts w:hAnsi="Times New Roman" w:eastAsia="宋体" w:cs="Times New Roman"/>
                <w:b/>
                <w:bCs w:val="0"/>
                <w:sz w:val="21"/>
                <w:szCs w:val="21"/>
              </w:rPr>
            </w:pPr>
            <w:r>
              <w:rPr>
                <w:rFonts w:hAnsi="Times New Roman" w:eastAsia="宋体" w:cs="Times New Roman"/>
                <w:i/>
                <w:iCs/>
                <w:sz w:val="21"/>
                <w:szCs w:val="21"/>
              </w:rPr>
              <w:t>Takydromus amurensis</w:t>
            </w:r>
          </w:p>
        </w:tc>
        <w:tc>
          <w:tcPr>
            <w:tcW w:w="905" w:type="dxa"/>
            <w:noWrap/>
            <w:vAlign w:val="center"/>
          </w:tcPr>
          <w:p w14:paraId="66174C34">
            <w:pPr>
              <w:spacing w:line="240" w:lineRule="auto"/>
              <w:ind w:firstLine="0" w:firstLineChars="0"/>
              <w:jc w:val="center"/>
              <w:rPr>
                <w:rFonts w:hAnsi="Times New Roman" w:eastAsia="宋体" w:cs="Times New Roman"/>
                <w:sz w:val="21"/>
                <w:szCs w:val="21"/>
              </w:rPr>
            </w:pPr>
            <w:r>
              <w:rPr>
                <w:rFonts w:hAnsi="Times New Roman" w:eastAsia="宋体" w:cs="Times New Roman"/>
                <w:sz w:val="21"/>
                <w:szCs w:val="21"/>
              </w:rPr>
              <w:t>GB R</w:t>
            </w:r>
          </w:p>
        </w:tc>
        <w:tc>
          <w:tcPr>
            <w:tcW w:w="887" w:type="dxa"/>
            <w:noWrap/>
            <w:vAlign w:val="center"/>
          </w:tcPr>
          <w:p w14:paraId="67F7D8DF">
            <w:pPr>
              <w:spacing w:line="240" w:lineRule="auto"/>
              <w:ind w:firstLine="0" w:firstLineChars="0"/>
              <w:jc w:val="center"/>
              <w:rPr>
                <w:rFonts w:hAnsi="Times New Roman" w:eastAsia="宋体" w:cs="Times New Roman"/>
                <w:sz w:val="21"/>
                <w:szCs w:val="21"/>
              </w:rPr>
            </w:pPr>
            <w:r>
              <w:rPr>
                <w:rFonts w:hAnsi="Times New Roman" w:eastAsia="宋体" w:cs="Times New Roman"/>
                <w:sz w:val="21"/>
                <w:szCs w:val="21"/>
              </w:rPr>
              <w:t>++</w:t>
            </w:r>
          </w:p>
        </w:tc>
        <w:tc>
          <w:tcPr>
            <w:tcW w:w="887" w:type="dxa"/>
            <w:noWrap/>
            <w:vAlign w:val="center"/>
          </w:tcPr>
          <w:p w14:paraId="0705A98F">
            <w:pPr>
              <w:spacing w:line="240" w:lineRule="auto"/>
              <w:ind w:firstLine="0" w:firstLineChars="0"/>
              <w:jc w:val="center"/>
              <w:rPr>
                <w:rFonts w:hAnsi="Times New Roman" w:eastAsia="宋体" w:cs="Times New Roman"/>
                <w:sz w:val="21"/>
                <w:szCs w:val="21"/>
              </w:rPr>
            </w:pPr>
          </w:p>
        </w:tc>
        <w:tc>
          <w:tcPr>
            <w:tcW w:w="1217" w:type="dxa"/>
            <w:noWrap/>
            <w:vAlign w:val="center"/>
          </w:tcPr>
          <w:p w14:paraId="6A98FD15">
            <w:pPr>
              <w:spacing w:line="240" w:lineRule="auto"/>
              <w:ind w:firstLine="0" w:firstLineChars="0"/>
              <w:jc w:val="center"/>
              <w:rPr>
                <w:rFonts w:hAnsi="Times New Roman" w:eastAsia="宋体" w:cs="Times New Roman"/>
                <w:sz w:val="21"/>
                <w:szCs w:val="21"/>
              </w:rPr>
            </w:pPr>
            <w:r>
              <w:rPr>
                <w:rFonts w:hAnsi="Times New Roman" w:eastAsia="宋体" w:cs="Times New Roman"/>
                <w:sz w:val="21"/>
                <w:szCs w:val="21"/>
              </w:rPr>
              <w:t>P</w:t>
            </w:r>
          </w:p>
        </w:tc>
      </w:tr>
      <w:tr w14:paraId="16ACEBE2">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865" w:type="dxa"/>
            <w:noWrap/>
            <w:vAlign w:val="center"/>
          </w:tcPr>
          <w:p w14:paraId="10E568A1">
            <w:pPr>
              <w:spacing w:line="240" w:lineRule="auto"/>
              <w:ind w:firstLine="0" w:firstLineChars="0"/>
              <w:jc w:val="center"/>
              <w:rPr>
                <w:rFonts w:hAnsi="Times New Roman" w:eastAsia="宋体" w:cs="Times New Roman"/>
                <w:b/>
                <w:bCs w:val="0"/>
                <w:sz w:val="21"/>
                <w:szCs w:val="21"/>
              </w:rPr>
            </w:pPr>
            <w:r>
              <w:rPr>
                <w:rFonts w:hAnsi="Times New Roman" w:eastAsia="宋体" w:cs="Times New Roman"/>
                <w:b/>
                <w:sz w:val="21"/>
                <w:szCs w:val="21"/>
              </w:rPr>
              <w:t>3</w:t>
            </w:r>
          </w:p>
        </w:tc>
        <w:tc>
          <w:tcPr>
            <w:tcW w:w="1201" w:type="dxa"/>
            <w:noWrap/>
            <w:vAlign w:val="center"/>
          </w:tcPr>
          <w:p w14:paraId="68B34566">
            <w:pPr>
              <w:spacing w:line="240" w:lineRule="auto"/>
              <w:ind w:firstLine="0" w:firstLineChars="0"/>
              <w:jc w:val="center"/>
              <w:rPr>
                <w:rFonts w:hAnsi="Times New Roman" w:eastAsia="宋体" w:cs="Times New Roman"/>
                <w:b/>
                <w:bCs w:val="0"/>
                <w:sz w:val="21"/>
                <w:szCs w:val="21"/>
              </w:rPr>
            </w:pPr>
            <w:r>
              <w:rPr>
                <w:rFonts w:hAnsi="宋体" w:eastAsia="宋体" w:cs="Times New Roman"/>
                <w:sz w:val="21"/>
                <w:szCs w:val="21"/>
              </w:rPr>
              <w:t>丽斑麻蜥</w:t>
            </w:r>
          </w:p>
        </w:tc>
        <w:tc>
          <w:tcPr>
            <w:tcW w:w="2322" w:type="dxa"/>
            <w:noWrap/>
            <w:vAlign w:val="center"/>
          </w:tcPr>
          <w:p w14:paraId="6CE51AB3">
            <w:pPr>
              <w:spacing w:line="240" w:lineRule="auto"/>
              <w:ind w:firstLine="0" w:firstLineChars="0"/>
              <w:jc w:val="center"/>
              <w:rPr>
                <w:rFonts w:hAnsi="Times New Roman" w:eastAsia="宋体" w:cs="Times New Roman"/>
                <w:b/>
                <w:bCs w:val="0"/>
                <w:sz w:val="21"/>
                <w:szCs w:val="21"/>
              </w:rPr>
            </w:pPr>
            <w:r>
              <w:rPr>
                <w:rFonts w:hAnsi="Times New Roman" w:eastAsia="宋体" w:cs="Times New Roman"/>
                <w:i/>
                <w:iCs/>
                <w:sz w:val="21"/>
                <w:szCs w:val="21"/>
              </w:rPr>
              <w:t>Eremias argus</w:t>
            </w:r>
          </w:p>
        </w:tc>
        <w:tc>
          <w:tcPr>
            <w:tcW w:w="905" w:type="dxa"/>
            <w:noWrap/>
            <w:vAlign w:val="center"/>
          </w:tcPr>
          <w:p w14:paraId="446B5EE4">
            <w:pPr>
              <w:spacing w:line="240" w:lineRule="auto"/>
              <w:ind w:firstLine="0" w:firstLineChars="0"/>
              <w:jc w:val="center"/>
              <w:rPr>
                <w:rFonts w:hAnsi="Times New Roman" w:eastAsia="宋体" w:cs="Times New Roman"/>
                <w:sz w:val="21"/>
                <w:szCs w:val="21"/>
              </w:rPr>
            </w:pPr>
            <w:r>
              <w:rPr>
                <w:rFonts w:hAnsi="Times New Roman" w:eastAsia="宋体" w:cs="Times New Roman"/>
                <w:sz w:val="21"/>
                <w:szCs w:val="21"/>
              </w:rPr>
              <w:t>G R</w:t>
            </w:r>
          </w:p>
        </w:tc>
        <w:tc>
          <w:tcPr>
            <w:tcW w:w="887" w:type="dxa"/>
            <w:noWrap/>
            <w:vAlign w:val="center"/>
          </w:tcPr>
          <w:p w14:paraId="1F3C5284">
            <w:pPr>
              <w:spacing w:line="240" w:lineRule="auto"/>
              <w:ind w:firstLine="0" w:firstLineChars="0"/>
              <w:jc w:val="center"/>
              <w:rPr>
                <w:rFonts w:hAnsi="Times New Roman" w:eastAsia="宋体" w:cs="Times New Roman"/>
                <w:sz w:val="21"/>
                <w:szCs w:val="21"/>
              </w:rPr>
            </w:pPr>
            <w:r>
              <w:rPr>
                <w:rFonts w:hAnsi="Times New Roman" w:eastAsia="宋体" w:cs="Times New Roman"/>
                <w:sz w:val="21"/>
                <w:szCs w:val="21"/>
              </w:rPr>
              <w:t>++</w:t>
            </w:r>
          </w:p>
        </w:tc>
        <w:tc>
          <w:tcPr>
            <w:tcW w:w="887" w:type="dxa"/>
            <w:noWrap/>
            <w:vAlign w:val="center"/>
          </w:tcPr>
          <w:p w14:paraId="58C9596B">
            <w:pPr>
              <w:spacing w:line="240" w:lineRule="auto"/>
              <w:ind w:firstLine="0" w:firstLineChars="0"/>
              <w:jc w:val="center"/>
              <w:rPr>
                <w:rFonts w:hAnsi="Times New Roman" w:eastAsia="宋体" w:cs="Times New Roman"/>
                <w:sz w:val="21"/>
                <w:szCs w:val="21"/>
              </w:rPr>
            </w:pPr>
          </w:p>
        </w:tc>
        <w:tc>
          <w:tcPr>
            <w:tcW w:w="1217" w:type="dxa"/>
            <w:noWrap/>
            <w:vAlign w:val="center"/>
          </w:tcPr>
          <w:p w14:paraId="163EBC70">
            <w:pPr>
              <w:spacing w:line="240" w:lineRule="auto"/>
              <w:ind w:firstLine="0" w:firstLineChars="0"/>
              <w:jc w:val="center"/>
              <w:rPr>
                <w:rFonts w:hAnsi="Times New Roman" w:eastAsia="宋体" w:cs="Times New Roman"/>
                <w:sz w:val="21"/>
                <w:szCs w:val="21"/>
              </w:rPr>
            </w:pPr>
            <w:r>
              <w:rPr>
                <w:rFonts w:hAnsi="Times New Roman" w:eastAsia="宋体" w:cs="Times New Roman"/>
                <w:sz w:val="21"/>
                <w:szCs w:val="21"/>
              </w:rPr>
              <w:t>P</w:t>
            </w:r>
          </w:p>
        </w:tc>
      </w:tr>
      <w:tr w14:paraId="7C0D2738">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865" w:type="dxa"/>
            <w:noWrap/>
            <w:vAlign w:val="center"/>
          </w:tcPr>
          <w:p w14:paraId="186F811B">
            <w:pPr>
              <w:spacing w:line="240" w:lineRule="auto"/>
              <w:ind w:firstLine="0" w:firstLineChars="0"/>
              <w:jc w:val="center"/>
              <w:rPr>
                <w:rFonts w:hAnsi="Times New Roman" w:eastAsia="宋体" w:cs="Times New Roman"/>
                <w:b/>
                <w:bCs w:val="0"/>
                <w:sz w:val="21"/>
                <w:szCs w:val="21"/>
              </w:rPr>
            </w:pPr>
            <w:r>
              <w:rPr>
                <w:rFonts w:hAnsi="宋体" w:eastAsia="宋体" w:cs="Times New Roman"/>
                <w:b/>
                <w:sz w:val="21"/>
                <w:szCs w:val="21"/>
              </w:rPr>
              <w:t>（二）</w:t>
            </w:r>
          </w:p>
        </w:tc>
        <w:tc>
          <w:tcPr>
            <w:tcW w:w="1201" w:type="dxa"/>
            <w:noWrap/>
            <w:vAlign w:val="center"/>
          </w:tcPr>
          <w:p w14:paraId="57F2C68D">
            <w:pPr>
              <w:spacing w:line="240" w:lineRule="auto"/>
              <w:ind w:firstLine="0" w:firstLineChars="0"/>
              <w:jc w:val="center"/>
              <w:rPr>
                <w:rFonts w:hAnsi="Times New Roman" w:eastAsia="宋体" w:cs="Times New Roman"/>
                <w:b/>
                <w:bCs w:val="0"/>
                <w:sz w:val="21"/>
                <w:szCs w:val="21"/>
              </w:rPr>
            </w:pPr>
            <w:r>
              <w:rPr>
                <w:rFonts w:hAnsi="宋体" w:eastAsia="宋体" w:cs="Times New Roman"/>
                <w:b/>
                <w:sz w:val="21"/>
                <w:szCs w:val="21"/>
              </w:rPr>
              <w:t>游蛇科</w:t>
            </w:r>
          </w:p>
        </w:tc>
        <w:tc>
          <w:tcPr>
            <w:tcW w:w="2322" w:type="dxa"/>
            <w:noWrap/>
            <w:vAlign w:val="center"/>
          </w:tcPr>
          <w:p w14:paraId="033FA32B">
            <w:pPr>
              <w:spacing w:line="240" w:lineRule="auto"/>
              <w:ind w:firstLine="0" w:firstLineChars="0"/>
              <w:jc w:val="center"/>
              <w:rPr>
                <w:rFonts w:hAnsi="Times New Roman" w:eastAsia="宋体" w:cs="Times New Roman"/>
                <w:b/>
                <w:bCs w:val="0"/>
                <w:i/>
                <w:iCs/>
                <w:sz w:val="21"/>
                <w:szCs w:val="21"/>
              </w:rPr>
            </w:pPr>
            <w:r>
              <w:rPr>
                <w:rFonts w:hAnsi="Times New Roman" w:eastAsia="宋体" w:cs="Times New Roman"/>
                <w:b/>
                <w:sz w:val="21"/>
                <w:szCs w:val="21"/>
              </w:rPr>
              <w:t>Colubridae</w:t>
            </w:r>
          </w:p>
        </w:tc>
        <w:tc>
          <w:tcPr>
            <w:tcW w:w="905" w:type="dxa"/>
            <w:noWrap/>
            <w:vAlign w:val="center"/>
          </w:tcPr>
          <w:p w14:paraId="75417AAC">
            <w:pPr>
              <w:spacing w:line="240" w:lineRule="auto"/>
              <w:ind w:firstLine="0" w:firstLineChars="0"/>
              <w:jc w:val="center"/>
              <w:rPr>
                <w:rFonts w:hAnsi="Times New Roman" w:eastAsia="宋体" w:cs="Times New Roman"/>
                <w:sz w:val="21"/>
                <w:szCs w:val="21"/>
              </w:rPr>
            </w:pPr>
          </w:p>
        </w:tc>
        <w:tc>
          <w:tcPr>
            <w:tcW w:w="887" w:type="dxa"/>
            <w:noWrap/>
            <w:vAlign w:val="center"/>
          </w:tcPr>
          <w:p w14:paraId="1EC3BCAF">
            <w:pPr>
              <w:spacing w:line="240" w:lineRule="auto"/>
              <w:ind w:firstLine="0" w:firstLineChars="0"/>
              <w:jc w:val="center"/>
              <w:rPr>
                <w:rFonts w:hAnsi="Times New Roman" w:eastAsia="宋体" w:cs="Times New Roman"/>
                <w:sz w:val="21"/>
                <w:szCs w:val="21"/>
              </w:rPr>
            </w:pPr>
          </w:p>
        </w:tc>
        <w:tc>
          <w:tcPr>
            <w:tcW w:w="887" w:type="dxa"/>
            <w:noWrap/>
            <w:vAlign w:val="center"/>
          </w:tcPr>
          <w:p w14:paraId="67E8EF7B">
            <w:pPr>
              <w:spacing w:line="240" w:lineRule="auto"/>
              <w:ind w:firstLine="0" w:firstLineChars="0"/>
              <w:jc w:val="center"/>
              <w:rPr>
                <w:rFonts w:hAnsi="Times New Roman" w:eastAsia="宋体" w:cs="Times New Roman"/>
                <w:sz w:val="21"/>
                <w:szCs w:val="21"/>
              </w:rPr>
            </w:pPr>
          </w:p>
        </w:tc>
        <w:tc>
          <w:tcPr>
            <w:tcW w:w="1217" w:type="dxa"/>
            <w:noWrap/>
            <w:vAlign w:val="center"/>
          </w:tcPr>
          <w:p w14:paraId="32F12546">
            <w:pPr>
              <w:spacing w:line="240" w:lineRule="auto"/>
              <w:ind w:firstLine="0" w:firstLineChars="0"/>
              <w:jc w:val="center"/>
              <w:rPr>
                <w:rFonts w:hAnsi="Times New Roman" w:eastAsia="宋体" w:cs="Times New Roman"/>
                <w:sz w:val="21"/>
                <w:szCs w:val="21"/>
              </w:rPr>
            </w:pPr>
          </w:p>
        </w:tc>
      </w:tr>
      <w:tr w14:paraId="28C3ECEE">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865" w:type="dxa"/>
            <w:noWrap/>
            <w:vAlign w:val="center"/>
          </w:tcPr>
          <w:p w14:paraId="01B2BAC9">
            <w:pPr>
              <w:spacing w:line="240" w:lineRule="auto"/>
              <w:ind w:firstLine="0" w:firstLineChars="0"/>
              <w:jc w:val="center"/>
              <w:rPr>
                <w:rFonts w:hAnsi="Times New Roman" w:eastAsia="宋体" w:cs="Times New Roman"/>
                <w:b/>
                <w:bCs w:val="0"/>
                <w:sz w:val="21"/>
                <w:szCs w:val="21"/>
              </w:rPr>
            </w:pPr>
            <w:r>
              <w:rPr>
                <w:rFonts w:hAnsi="Times New Roman" w:eastAsia="宋体" w:cs="Times New Roman"/>
                <w:b/>
                <w:sz w:val="21"/>
                <w:szCs w:val="21"/>
              </w:rPr>
              <w:t>4</w:t>
            </w:r>
          </w:p>
        </w:tc>
        <w:tc>
          <w:tcPr>
            <w:tcW w:w="1201" w:type="dxa"/>
            <w:noWrap/>
            <w:vAlign w:val="center"/>
          </w:tcPr>
          <w:p w14:paraId="6ADD03AA">
            <w:pPr>
              <w:spacing w:line="240" w:lineRule="auto"/>
              <w:ind w:firstLine="0" w:firstLineChars="0"/>
              <w:jc w:val="center"/>
              <w:rPr>
                <w:rFonts w:hAnsi="Times New Roman" w:eastAsia="宋体" w:cs="Times New Roman"/>
                <w:b/>
                <w:bCs w:val="0"/>
                <w:sz w:val="21"/>
                <w:szCs w:val="21"/>
              </w:rPr>
            </w:pPr>
            <w:r>
              <w:rPr>
                <w:rFonts w:hAnsi="宋体" w:eastAsia="宋体" w:cs="Times New Roman"/>
                <w:sz w:val="21"/>
                <w:szCs w:val="21"/>
              </w:rPr>
              <w:t>白条锦蛇</w:t>
            </w:r>
          </w:p>
        </w:tc>
        <w:tc>
          <w:tcPr>
            <w:tcW w:w="2322" w:type="dxa"/>
            <w:noWrap/>
            <w:vAlign w:val="center"/>
          </w:tcPr>
          <w:p w14:paraId="6585D140">
            <w:pPr>
              <w:spacing w:line="240" w:lineRule="auto"/>
              <w:ind w:firstLine="0" w:firstLineChars="0"/>
              <w:jc w:val="center"/>
              <w:rPr>
                <w:rFonts w:hAnsi="Times New Roman" w:eastAsia="宋体" w:cs="Times New Roman"/>
                <w:b/>
                <w:bCs w:val="0"/>
                <w:i/>
                <w:iCs/>
                <w:sz w:val="21"/>
                <w:szCs w:val="21"/>
              </w:rPr>
            </w:pPr>
            <w:r>
              <w:rPr>
                <w:rFonts w:hAnsi="Times New Roman" w:eastAsia="宋体" w:cs="Times New Roman"/>
                <w:i/>
                <w:iCs/>
                <w:sz w:val="21"/>
                <w:szCs w:val="21"/>
              </w:rPr>
              <w:t>Elaphe dione</w:t>
            </w:r>
          </w:p>
        </w:tc>
        <w:tc>
          <w:tcPr>
            <w:tcW w:w="905" w:type="dxa"/>
            <w:noWrap/>
            <w:vAlign w:val="center"/>
          </w:tcPr>
          <w:p w14:paraId="7246E8B7">
            <w:pPr>
              <w:spacing w:line="240" w:lineRule="auto"/>
              <w:ind w:firstLine="0" w:firstLineChars="0"/>
              <w:jc w:val="center"/>
              <w:rPr>
                <w:rFonts w:hAnsi="Times New Roman" w:eastAsia="宋体" w:cs="Times New Roman"/>
                <w:sz w:val="21"/>
                <w:szCs w:val="21"/>
              </w:rPr>
            </w:pPr>
            <w:r>
              <w:rPr>
                <w:rFonts w:hAnsi="Times New Roman" w:eastAsia="宋体" w:cs="Times New Roman"/>
                <w:sz w:val="21"/>
                <w:szCs w:val="21"/>
              </w:rPr>
              <w:t>FGB R</w:t>
            </w:r>
          </w:p>
        </w:tc>
        <w:tc>
          <w:tcPr>
            <w:tcW w:w="887" w:type="dxa"/>
            <w:noWrap/>
            <w:vAlign w:val="center"/>
          </w:tcPr>
          <w:p w14:paraId="137C7CA9">
            <w:pPr>
              <w:spacing w:line="240" w:lineRule="auto"/>
              <w:ind w:firstLine="0" w:firstLineChars="0"/>
              <w:jc w:val="center"/>
              <w:rPr>
                <w:rFonts w:hAnsi="Times New Roman" w:eastAsia="宋体" w:cs="Times New Roman"/>
                <w:sz w:val="21"/>
                <w:szCs w:val="21"/>
              </w:rPr>
            </w:pPr>
            <w:r>
              <w:rPr>
                <w:rFonts w:hAnsi="Times New Roman" w:eastAsia="宋体" w:cs="Times New Roman"/>
                <w:sz w:val="21"/>
                <w:szCs w:val="21"/>
              </w:rPr>
              <w:t>+</w:t>
            </w:r>
          </w:p>
        </w:tc>
        <w:tc>
          <w:tcPr>
            <w:tcW w:w="887" w:type="dxa"/>
            <w:noWrap/>
            <w:vAlign w:val="center"/>
          </w:tcPr>
          <w:p w14:paraId="6D0E4C13">
            <w:pPr>
              <w:spacing w:line="240" w:lineRule="auto"/>
              <w:ind w:firstLine="0" w:firstLineChars="0"/>
              <w:jc w:val="center"/>
              <w:rPr>
                <w:rFonts w:hAnsi="Times New Roman" w:eastAsia="宋体" w:cs="Times New Roman"/>
                <w:sz w:val="21"/>
                <w:szCs w:val="21"/>
              </w:rPr>
            </w:pPr>
          </w:p>
        </w:tc>
        <w:tc>
          <w:tcPr>
            <w:tcW w:w="1217" w:type="dxa"/>
            <w:noWrap/>
            <w:vAlign w:val="center"/>
          </w:tcPr>
          <w:p w14:paraId="5DC3B632">
            <w:pPr>
              <w:spacing w:line="240" w:lineRule="auto"/>
              <w:ind w:firstLine="0" w:firstLineChars="0"/>
              <w:jc w:val="center"/>
              <w:rPr>
                <w:rFonts w:hAnsi="Times New Roman" w:eastAsia="宋体" w:cs="Times New Roman"/>
                <w:sz w:val="21"/>
                <w:szCs w:val="21"/>
              </w:rPr>
            </w:pPr>
            <w:r>
              <w:rPr>
                <w:rFonts w:hAnsi="Times New Roman" w:eastAsia="宋体" w:cs="Times New Roman"/>
                <w:sz w:val="21"/>
                <w:szCs w:val="21"/>
              </w:rPr>
              <w:t>P</w:t>
            </w:r>
          </w:p>
        </w:tc>
      </w:tr>
      <w:tr w14:paraId="3F9B0A66">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865" w:type="dxa"/>
            <w:noWrap/>
            <w:vAlign w:val="center"/>
          </w:tcPr>
          <w:p w14:paraId="63BAC829">
            <w:pPr>
              <w:spacing w:line="240" w:lineRule="auto"/>
              <w:ind w:firstLine="0" w:firstLineChars="0"/>
              <w:jc w:val="center"/>
              <w:rPr>
                <w:rFonts w:hAnsi="Times New Roman" w:eastAsia="宋体" w:cs="Times New Roman"/>
                <w:b/>
                <w:bCs w:val="0"/>
                <w:sz w:val="21"/>
                <w:szCs w:val="21"/>
              </w:rPr>
            </w:pPr>
            <w:r>
              <w:rPr>
                <w:rFonts w:hAnsi="Times New Roman" w:eastAsia="宋体" w:cs="Times New Roman"/>
                <w:b/>
                <w:sz w:val="21"/>
                <w:szCs w:val="21"/>
              </w:rPr>
              <w:t>5</w:t>
            </w:r>
          </w:p>
        </w:tc>
        <w:tc>
          <w:tcPr>
            <w:tcW w:w="1201" w:type="dxa"/>
            <w:noWrap/>
            <w:vAlign w:val="center"/>
          </w:tcPr>
          <w:p w14:paraId="19A65E0A">
            <w:pPr>
              <w:spacing w:line="240" w:lineRule="auto"/>
              <w:ind w:firstLine="0" w:firstLineChars="0"/>
              <w:jc w:val="center"/>
              <w:rPr>
                <w:rFonts w:hAnsi="Times New Roman" w:eastAsia="宋体" w:cs="Times New Roman"/>
                <w:b/>
                <w:bCs w:val="0"/>
                <w:sz w:val="21"/>
                <w:szCs w:val="21"/>
              </w:rPr>
            </w:pPr>
            <w:r>
              <w:rPr>
                <w:rFonts w:hAnsi="宋体" w:eastAsia="宋体" w:cs="Times New Roman"/>
                <w:sz w:val="21"/>
                <w:szCs w:val="21"/>
              </w:rPr>
              <w:t>红点锦蛇</w:t>
            </w:r>
          </w:p>
        </w:tc>
        <w:tc>
          <w:tcPr>
            <w:tcW w:w="2322" w:type="dxa"/>
            <w:noWrap/>
            <w:vAlign w:val="center"/>
          </w:tcPr>
          <w:p w14:paraId="0A508A65">
            <w:pPr>
              <w:spacing w:line="240" w:lineRule="auto"/>
              <w:ind w:firstLine="0" w:firstLineChars="0"/>
              <w:jc w:val="center"/>
              <w:rPr>
                <w:rFonts w:hAnsi="Times New Roman" w:eastAsia="宋体" w:cs="Times New Roman"/>
                <w:b/>
                <w:bCs w:val="0"/>
                <w:i/>
                <w:iCs/>
                <w:sz w:val="21"/>
                <w:szCs w:val="21"/>
              </w:rPr>
            </w:pPr>
            <w:r>
              <w:rPr>
                <w:rFonts w:hAnsi="Times New Roman" w:eastAsia="宋体" w:cs="Times New Roman"/>
                <w:i/>
                <w:iCs/>
                <w:sz w:val="21"/>
                <w:szCs w:val="21"/>
              </w:rPr>
              <w:t>Elaphe rufodorsata</w:t>
            </w:r>
          </w:p>
        </w:tc>
        <w:tc>
          <w:tcPr>
            <w:tcW w:w="905" w:type="dxa"/>
            <w:noWrap/>
            <w:vAlign w:val="center"/>
          </w:tcPr>
          <w:p w14:paraId="1EEEC22F">
            <w:pPr>
              <w:spacing w:line="240" w:lineRule="auto"/>
              <w:ind w:firstLine="0" w:firstLineChars="0"/>
              <w:jc w:val="center"/>
              <w:rPr>
                <w:rFonts w:hAnsi="Times New Roman" w:eastAsia="宋体" w:cs="Times New Roman"/>
                <w:sz w:val="21"/>
                <w:szCs w:val="21"/>
              </w:rPr>
            </w:pPr>
            <w:r>
              <w:rPr>
                <w:rFonts w:hAnsi="Times New Roman" w:eastAsia="宋体" w:cs="Times New Roman"/>
                <w:sz w:val="21"/>
                <w:szCs w:val="21"/>
              </w:rPr>
              <w:t>GB R</w:t>
            </w:r>
          </w:p>
        </w:tc>
        <w:tc>
          <w:tcPr>
            <w:tcW w:w="887" w:type="dxa"/>
            <w:noWrap/>
            <w:vAlign w:val="center"/>
          </w:tcPr>
          <w:p w14:paraId="5F9C4DD0">
            <w:pPr>
              <w:spacing w:line="240" w:lineRule="auto"/>
              <w:ind w:firstLine="0" w:firstLineChars="0"/>
              <w:jc w:val="center"/>
              <w:rPr>
                <w:rFonts w:hAnsi="Times New Roman" w:eastAsia="宋体" w:cs="Times New Roman"/>
                <w:sz w:val="21"/>
                <w:szCs w:val="21"/>
              </w:rPr>
            </w:pPr>
            <w:r>
              <w:rPr>
                <w:rFonts w:hAnsi="Times New Roman" w:eastAsia="宋体" w:cs="Times New Roman"/>
                <w:sz w:val="21"/>
                <w:szCs w:val="21"/>
              </w:rPr>
              <w:t>+</w:t>
            </w:r>
          </w:p>
        </w:tc>
        <w:tc>
          <w:tcPr>
            <w:tcW w:w="887" w:type="dxa"/>
            <w:noWrap/>
            <w:vAlign w:val="center"/>
          </w:tcPr>
          <w:p w14:paraId="667AD945">
            <w:pPr>
              <w:spacing w:line="240" w:lineRule="auto"/>
              <w:ind w:firstLine="0" w:firstLineChars="0"/>
              <w:jc w:val="center"/>
              <w:rPr>
                <w:rFonts w:hAnsi="Times New Roman" w:eastAsia="宋体" w:cs="Times New Roman"/>
                <w:sz w:val="21"/>
                <w:szCs w:val="21"/>
              </w:rPr>
            </w:pPr>
          </w:p>
        </w:tc>
        <w:tc>
          <w:tcPr>
            <w:tcW w:w="1217" w:type="dxa"/>
            <w:noWrap/>
            <w:vAlign w:val="center"/>
          </w:tcPr>
          <w:p w14:paraId="7B89BAEA">
            <w:pPr>
              <w:spacing w:line="240" w:lineRule="auto"/>
              <w:ind w:firstLine="0" w:firstLineChars="0"/>
              <w:jc w:val="center"/>
              <w:rPr>
                <w:rFonts w:hAnsi="Times New Roman" w:eastAsia="宋体" w:cs="Times New Roman"/>
                <w:sz w:val="21"/>
                <w:szCs w:val="21"/>
              </w:rPr>
            </w:pPr>
            <w:r>
              <w:rPr>
                <w:rFonts w:hAnsi="Times New Roman" w:eastAsia="宋体" w:cs="Times New Roman"/>
                <w:sz w:val="21"/>
                <w:szCs w:val="21"/>
              </w:rPr>
              <w:t>P</w:t>
            </w:r>
          </w:p>
        </w:tc>
      </w:tr>
    </w:tbl>
    <w:p w14:paraId="5FD6DD19">
      <w:pPr>
        <w:spacing w:line="240" w:lineRule="auto"/>
        <w:ind w:firstLine="0" w:firstLineChars="0"/>
        <w:rPr>
          <w:sz w:val="21"/>
          <w:szCs w:val="21"/>
        </w:rPr>
      </w:pPr>
      <w:r>
        <w:rPr>
          <w:sz w:val="21"/>
          <w:szCs w:val="21"/>
        </w:rPr>
        <w:t>注：栖息生境：F表示森林</w:t>
      </w:r>
      <w:r>
        <w:rPr>
          <w:rFonts w:hint="eastAsia"/>
          <w:sz w:val="21"/>
          <w:szCs w:val="21"/>
        </w:rPr>
        <w:t>；</w:t>
      </w:r>
      <w:r>
        <w:rPr>
          <w:sz w:val="21"/>
          <w:szCs w:val="21"/>
        </w:rPr>
        <w:t>B表示灌丛</w:t>
      </w:r>
      <w:r>
        <w:rPr>
          <w:rFonts w:hint="eastAsia"/>
          <w:sz w:val="21"/>
          <w:szCs w:val="21"/>
        </w:rPr>
        <w:t>；</w:t>
      </w:r>
      <w:r>
        <w:rPr>
          <w:sz w:val="21"/>
          <w:szCs w:val="21"/>
        </w:rPr>
        <w:t>G表示草甸草地</w:t>
      </w:r>
      <w:r>
        <w:rPr>
          <w:rFonts w:hint="eastAsia"/>
          <w:sz w:val="21"/>
          <w:szCs w:val="21"/>
        </w:rPr>
        <w:t>；</w:t>
      </w:r>
      <w:r>
        <w:rPr>
          <w:sz w:val="21"/>
          <w:szCs w:val="21"/>
        </w:rPr>
        <w:t>R表示河流沼泽</w:t>
      </w:r>
      <w:r>
        <w:rPr>
          <w:rFonts w:hint="eastAsia"/>
          <w:sz w:val="21"/>
          <w:szCs w:val="21"/>
        </w:rPr>
        <w:t>；</w:t>
      </w:r>
      <w:r>
        <w:rPr>
          <w:sz w:val="21"/>
          <w:szCs w:val="21"/>
        </w:rPr>
        <w:t>M表示农田居民点</w:t>
      </w:r>
      <w:r>
        <w:rPr>
          <w:rFonts w:hint="eastAsia"/>
          <w:sz w:val="21"/>
          <w:szCs w:val="21"/>
        </w:rPr>
        <w:t>；</w:t>
      </w:r>
    </w:p>
    <w:p w14:paraId="31DF9E54">
      <w:pPr>
        <w:spacing w:line="240" w:lineRule="auto"/>
        <w:ind w:firstLine="420"/>
        <w:rPr>
          <w:sz w:val="21"/>
          <w:szCs w:val="21"/>
        </w:rPr>
      </w:pPr>
      <w:r>
        <w:rPr>
          <w:sz w:val="21"/>
          <w:szCs w:val="21"/>
        </w:rPr>
        <w:t>数</w:t>
      </w:r>
      <w:r>
        <w:rPr>
          <w:rFonts w:hint="eastAsia"/>
          <w:sz w:val="21"/>
          <w:szCs w:val="21"/>
        </w:rPr>
        <w:t xml:space="preserve">    量：</w:t>
      </w:r>
      <w:r>
        <w:rPr>
          <w:sz w:val="21"/>
          <w:szCs w:val="21"/>
        </w:rPr>
        <w:t>+++—</w:t>
      </w:r>
      <w:r>
        <w:rPr>
          <w:rFonts w:hint="eastAsia"/>
          <w:sz w:val="21"/>
          <w:szCs w:val="21"/>
        </w:rPr>
        <w:t>优势种；</w:t>
      </w:r>
      <w:r>
        <w:rPr>
          <w:sz w:val="21"/>
          <w:szCs w:val="21"/>
        </w:rPr>
        <w:t>++—</w:t>
      </w:r>
      <w:r>
        <w:rPr>
          <w:rFonts w:hint="eastAsia"/>
          <w:sz w:val="21"/>
          <w:szCs w:val="21"/>
        </w:rPr>
        <w:t>常见种；</w:t>
      </w:r>
      <w:r>
        <w:rPr>
          <w:sz w:val="21"/>
          <w:szCs w:val="21"/>
        </w:rPr>
        <w:t>+—</w:t>
      </w:r>
      <w:r>
        <w:rPr>
          <w:rFonts w:hint="eastAsia"/>
          <w:sz w:val="21"/>
          <w:szCs w:val="21"/>
        </w:rPr>
        <w:t>稀有种；</w:t>
      </w:r>
      <w:r>
        <w:rPr>
          <w:sz w:val="21"/>
          <w:szCs w:val="21"/>
        </w:rPr>
        <w:t>O—</w:t>
      </w:r>
      <w:r>
        <w:rPr>
          <w:rFonts w:hint="eastAsia"/>
          <w:sz w:val="21"/>
          <w:szCs w:val="21"/>
        </w:rPr>
        <w:t>绝迹或文献记载。</w:t>
      </w:r>
    </w:p>
    <w:p w14:paraId="441A69BB">
      <w:pPr>
        <w:spacing w:line="240" w:lineRule="auto"/>
        <w:ind w:firstLine="420"/>
        <w:rPr>
          <w:sz w:val="21"/>
          <w:szCs w:val="21"/>
        </w:rPr>
      </w:pPr>
      <w:r>
        <w:rPr>
          <w:sz w:val="21"/>
          <w:szCs w:val="21"/>
        </w:rPr>
        <w:t>区    系：P—古北种；O—东洋种；C—广布种。</w:t>
      </w:r>
    </w:p>
    <w:p w14:paraId="1F38421F">
      <w:pPr>
        <w:spacing w:line="240" w:lineRule="auto"/>
        <w:ind w:firstLine="420"/>
        <w:rPr>
          <w:sz w:val="21"/>
          <w:szCs w:val="21"/>
        </w:rPr>
      </w:pPr>
      <w:r>
        <w:rPr>
          <w:sz w:val="21"/>
          <w:szCs w:val="21"/>
        </w:rPr>
        <w:t>保护情况：一：表示国家一级保护动物</w:t>
      </w:r>
      <w:r>
        <w:rPr>
          <w:rFonts w:hint="eastAsia"/>
          <w:sz w:val="21"/>
          <w:szCs w:val="21"/>
        </w:rPr>
        <w:t>；</w:t>
      </w:r>
      <w:r>
        <w:rPr>
          <w:sz w:val="21"/>
          <w:szCs w:val="21"/>
        </w:rPr>
        <w:t>二：表示国家二级保护动物。</w:t>
      </w:r>
    </w:p>
    <w:p w14:paraId="3F3618CD">
      <w:pPr>
        <w:pStyle w:val="178"/>
      </w:pPr>
      <w:bookmarkStart w:id="336" w:name="_Toc18269"/>
      <w:r>
        <w:t>表4.3-</w:t>
      </w:r>
      <w:r>
        <w:rPr>
          <w:rFonts w:hint="eastAsia"/>
        </w:rPr>
        <w:t>15</w:t>
      </w:r>
      <w:r>
        <w:t xml:space="preserve">  评价区两栖类名录</w:t>
      </w:r>
    </w:p>
    <w:tbl>
      <w:tblPr>
        <w:tblStyle w:val="36"/>
        <w:tblW w:w="4999" w:type="pct"/>
        <w:jc w:val="center"/>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Layout w:type="fixed"/>
        <w:tblCellMar>
          <w:top w:w="0" w:type="dxa"/>
          <w:left w:w="0" w:type="dxa"/>
          <w:bottom w:w="0" w:type="dxa"/>
          <w:right w:w="0" w:type="dxa"/>
        </w:tblCellMar>
      </w:tblPr>
      <w:tblGrid>
        <w:gridCol w:w="1039"/>
        <w:gridCol w:w="1102"/>
        <w:gridCol w:w="2409"/>
        <w:gridCol w:w="865"/>
        <w:gridCol w:w="765"/>
        <w:gridCol w:w="887"/>
        <w:gridCol w:w="1217"/>
      </w:tblGrid>
      <w:tr w14:paraId="0A65137B">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tblHeader/>
          <w:jc w:val="center"/>
        </w:trPr>
        <w:tc>
          <w:tcPr>
            <w:tcW w:w="1039" w:type="dxa"/>
            <w:noWrap/>
            <w:vAlign w:val="center"/>
          </w:tcPr>
          <w:p w14:paraId="51F08511">
            <w:pPr>
              <w:spacing w:line="240" w:lineRule="auto"/>
              <w:ind w:firstLine="0" w:firstLineChars="0"/>
              <w:jc w:val="center"/>
              <w:rPr>
                <w:rFonts w:hAnsi="Times New Roman" w:eastAsia="宋体" w:cs="Times New Roman"/>
                <w:b/>
                <w:bCs w:val="0"/>
                <w:sz w:val="21"/>
                <w:szCs w:val="21"/>
              </w:rPr>
            </w:pPr>
            <w:r>
              <w:rPr>
                <w:rFonts w:hAnsi="宋体" w:eastAsia="宋体" w:cs="Times New Roman"/>
                <w:b/>
                <w:sz w:val="21"/>
                <w:szCs w:val="21"/>
              </w:rPr>
              <w:t>序号</w:t>
            </w:r>
          </w:p>
        </w:tc>
        <w:tc>
          <w:tcPr>
            <w:tcW w:w="1102" w:type="dxa"/>
            <w:noWrap/>
            <w:vAlign w:val="center"/>
          </w:tcPr>
          <w:p w14:paraId="6E89C6DF">
            <w:pPr>
              <w:spacing w:line="240" w:lineRule="auto"/>
              <w:ind w:firstLine="0" w:firstLineChars="0"/>
              <w:jc w:val="center"/>
              <w:rPr>
                <w:rFonts w:hAnsi="Times New Roman" w:eastAsia="宋体" w:cs="Times New Roman"/>
                <w:b/>
                <w:bCs w:val="0"/>
                <w:sz w:val="21"/>
                <w:szCs w:val="21"/>
              </w:rPr>
            </w:pPr>
            <w:r>
              <w:rPr>
                <w:rFonts w:hAnsi="宋体" w:eastAsia="宋体" w:cs="Times New Roman"/>
                <w:b/>
                <w:sz w:val="21"/>
                <w:szCs w:val="21"/>
              </w:rPr>
              <w:t>名称</w:t>
            </w:r>
          </w:p>
        </w:tc>
        <w:tc>
          <w:tcPr>
            <w:tcW w:w="2409" w:type="dxa"/>
            <w:noWrap/>
            <w:vAlign w:val="center"/>
          </w:tcPr>
          <w:p w14:paraId="64911F14">
            <w:pPr>
              <w:spacing w:line="240" w:lineRule="auto"/>
              <w:ind w:firstLine="0" w:firstLineChars="0"/>
              <w:jc w:val="center"/>
              <w:rPr>
                <w:rFonts w:hAnsi="Times New Roman" w:eastAsia="宋体" w:cs="Times New Roman"/>
                <w:b/>
                <w:bCs w:val="0"/>
                <w:sz w:val="21"/>
                <w:szCs w:val="21"/>
              </w:rPr>
            </w:pPr>
            <w:r>
              <w:rPr>
                <w:rFonts w:hAnsi="宋体" w:eastAsia="宋体" w:cs="Times New Roman"/>
                <w:b/>
                <w:sz w:val="21"/>
                <w:szCs w:val="21"/>
              </w:rPr>
              <w:t>学名</w:t>
            </w:r>
          </w:p>
        </w:tc>
        <w:tc>
          <w:tcPr>
            <w:tcW w:w="865" w:type="dxa"/>
            <w:noWrap/>
            <w:vAlign w:val="center"/>
          </w:tcPr>
          <w:p w14:paraId="2349E4F3">
            <w:pPr>
              <w:spacing w:line="240" w:lineRule="auto"/>
              <w:ind w:firstLine="0" w:firstLineChars="0"/>
              <w:jc w:val="center"/>
              <w:rPr>
                <w:rFonts w:hAnsi="Times New Roman" w:eastAsia="宋体" w:cs="Times New Roman"/>
                <w:b/>
                <w:bCs w:val="0"/>
                <w:sz w:val="21"/>
                <w:szCs w:val="21"/>
              </w:rPr>
            </w:pPr>
            <w:r>
              <w:rPr>
                <w:rFonts w:hAnsi="宋体" w:eastAsia="宋体" w:cs="Times New Roman"/>
                <w:b/>
                <w:sz w:val="21"/>
                <w:szCs w:val="21"/>
              </w:rPr>
              <w:t>生境</w:t>
            </w:r>
          </w:p>
        </w:tc>
        <w:tc>
          <w:tcPr>
            <w:tcW w:w="765" w:type="dxa"/>
            <w:noWrap/>
            <w:vAlign w:val="center"/>
          </w:tcPr>
          <w:p w14:paraId="7E846240">
            <w:pPr>
              <w:spacing w:line="240" w:lineRule="auto"/>
              <w:ind w:firstLine="0" w:firstLineChars="0"/>
              <w:jc w:val="center"/>
              <w:rPr>
                <w:rFonts w:hAnsi="Times New Roman" w:eastAsia="宋体" w:cs="Times New Roman"/>
                <w:b/>
                <w:bCs w:val="0"/>
                <w:sz w:val="21"/>
                <w:szCs w:val="21"/>
              </w:rPr>
            </w:pPr>
            <w:r>
              <w:rPr>
                <w:rFonts w:hAnsi="宋体" w:eastAsia="宋体" w:cs="Times New Roman"/>
                <w:b/>
                <w:sz w:val="21"/>
                <w:szCs w:val="21"/>
              </w:rPr>
              <w:t>数量</w:t>
            </w:r>
          </w:p>
        </w:tc>
        <w:tc>
          <w:tcPr>
            <w:tcW w:w="887" w:type="dxa"/>
            <w:noWrap/>
            <w:vAlign w:val="center"/>
          </w:tcPr>
          <w:p w14:paraId="7C5218ED">
            <w:pPr>
              <w:spacing w:line="240" w:lineRule="auto"/>
              <w:ind w:firstLine="0" w:firstLineChars="0"/>
              <w:jc w:val="center"/>
              <w:rPr>
                <w:rFonts w:hAnsi="Times New Roman" w:eastAsia="宋体" w:cs="Times New Roman"/>
                <w:b/>
                <w:bCs w:val="0"/>
                <w:sz w:val="21"/>
                <w:szCs w:val="21"/>
              </w:rPr>
            </w:pPr>
            <w:r>
              <w:rPr>
                <w:rFonts w:hAnsi="宋体" w:eastAsia="宋体" w:cs="Times New Roman"/>
                <w:b/>
                <w:sz w:val="21"/>
                <w:szCs w:val="21"/>
              </w:rPr>
              <w:t>保护级别</w:t>
            </w:r>
          </w:p>
        </w:tc>
        <w:tc>
          <w:tcPr>
            <w:tcW w:w="1217" w:type="dxa"/>
            <w:noWrap/>
            <w:vAlign w:val="center"/>
          </w:tcPr>
          <w:p w14:paraId="1615FFA0">
            <w:pPr>
              <w:spacing w:line="240" w:lineRule="auto"/>
              <w:ind w:firstLine="0" w:firstLineChars="0"/>
              <w:jc w:val="center"/>
              <w:rPr>
                <w:rFonts w:hAnsi="Times New Roman" w:eastAsia="宋体" w:cs="Times New Roman"/>
                <w:b/>
                <w:bCs w:val="0"/>
                <w:sz w:val="21"/>
                <w:szCs w:val="21"/>
              </w:rPr>
            </w:pPr>
            <w:r>
              <w:rPr>
                <w:rFonts w:hAnsi="宋体" w:eastAsia="宋体" w:cs="Times New Roman"/>
                <w:b/>
                <w:sz w:val="21"/>
                <w:szCs w:val="21"/>
              </w:rPr>
              <w:t>分布型</w:t>
            </w:r>
          </w:p>
        </w:tc>
      </w:tr>
      <w:tr w14:paraId="6571B9D4">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39" w:type="dxa"/>
            <w:noWrap/>
            <w:vAlign w:val="center"/>
          </w:tcPr>
          <w:p w14:paraId="10972C38">
            <w:pPr>
              <w:spacing w:line="240" w:lineRule="auto"/>
              <w:ind w:firstLine="0" w:firstLineChars="0"/>
              <w:jc w:val="center"/>
              <w:rPr>
                <w:rFonts w:hAnsi="Times New Roman" w:eastAsia="宋体" w:cs="Times New Roman"/>
                <w:b/>
                <w:bCs w:val="0"/>
                <w:sz w:val="21"/>
                <w:szCs w:val="21"/>
              </w:rPr>
            </w:pPr>
            <w:r>
              <w:rPr>
                <w:rFonts w:hAnsi="宋体" w:eastAsia="宋体" w:cs="Times New Roman"/>
                <w:b/>
                <w:sz w:val="21"/>
                <w:szCs w:val="21"/>
              </w:rPr>
              <w:t>一</w:t>
            </w:r>
          </w:p>
        </w:tc>
        <w:tc>
          <w:tcPr>
            <w:tcW w:w="1102" w:type="dxa"/>
            <w:noWrap/>
            <w:vAlign w:val="center"/>
          </w:tcPr>
          <w:p w14:paraId="4BE60A47">
            <w:pPr>
              <w:spacing w:line="240" w:lineRule="auto"/>
              <w:ind w:firstLine="0" w:firstLineChars="0"/>
              <w:jc w:val="center"/>
              <w:rPr>
                <w:rFonts w:hAnsi="Times New Roman" w:eastAsia="宋体" w:cs="Times New Roman"/>
                <w:b/>
                <w:bCs w:val="0"/>
                <w:sz w:val="21"/>
                <w:szCs w:val="21"/>
              </w:rPr>
            </w:pPr>
            <w:r>
              <w:rPr>
                <w:rFonts w:hAnsi="宋体" w:eastAsia="宋体" w:cs="Times New Roman"/>
                <w:b/>
                <w:sz w:val="21"/>
                <w:szCs w:val="21"/>
              </w:rPr>
              <w:t>无尾目</w:t>
            </w:r>
          </w:p>
        </w:tc>
        <w:tc>
          <w:tcPr>
            <w:tcW w:w="2409" w:type="dxa"/>
            <w:noWrap/>
            <w:vAlign w:val="center"/>
          </w:tcPr>
          <w:p w14:paraId="4A0F5DE9">
            <w:pPr>
              <w:spacing w:line="240" w:lineRule="auto"/>
              <w:ind w:firstLine="0" w:firstLineChars="0"/>
              <w:jc w:val="center"/>
              <w:rPr>
                <w:rFonts w:hAnsi="Times New Roman" w:eastAsia="宋体" w:cs="Times New Roman"/>
                <w:b/>
                <w:bCs w:val="0"/>
                <w:i/>
                <w:iCs/>
                <w:sz w:val="21"/>
                <w:szCs w:val="21"/>
              </w:rPr>
            </w:pPr>
            <w:r>
              <w:rPr>
                <w:rFonts w:hAnsi="Times New Roman" w:eastAsia="宋体" w:cs="Times New Roman"/>
                <w:b/>
                <w:sz w:val="21"/>
                <w:szCs w:val="21"/>
              </w:rPr>
              <w:t>ANURA</w:t>
            </w:r>
          </w:p>
        </w:tc>
        <w:tc>
          <w:tcPr>
            <w:tcW w:w="865" w:type="dxa"/>
            <w:noWrap/>
            <w:vAlign w:val="center"/>
          </w:tcPr>
          <w:p w14:paraId="3FF47752">
            <w:pPr>
              <w:spacing w:line="240" w:lineRule="auto"/>
              <w:ind w:firstLine="0" w:firstLineChars="0"/>
              <w:jc w:val="center"/>
              <w:rPr>
                <w:rFonts w:hAnsi="Times New Roman" w:eastAsia="宋体" w:cs="Times New Roman"/>
                <w:sz w:val="21"/>
                <w:szCs w:val="21"/>
              </w:rPr>
            </w:pPr>
          </w:p>
        </w:tc>
        <w:tc>
          <w:tcPr>
            <w:tcW w:w="765" w:type="dxa"/>
            <w:noWrap/>
            <w:vAlign w:val="center"/>
          </w:tcPr>
          <w:p w14:paraId="5C024794">
            <w:pPr>
              <w:spacing w:line="240" w:lineRule="auto"/>
              <w:ind w:firstLine="0" w:firstLineChars="0"/>
              <w:jc w:val="center"/>
              <w:rPr>
                <w:rFonts w:hAnsi="Times New Roman" w:eastAsia="宋体" w:cs="Times New Roman"/>
                <w:sz w:val="21"/>
                <w:szCs w:val="21"/>
              </w:rPr>
            </w:pPr>
          </w:p>
        </w:tc>
        <w:tc>
          <w:tcPr>
            <w:tcW w:w="887" w:type="dxa"/>
            <w:noWrap/>
            <w:vAlign w:val="center"/>
          </w:tcPr>
          <w:p w14:paraId="085219F9">
            <w:pPr>
              <w:spacing w:line="240" w:lineRule="auto"/>
              <w:ind w:firstLine="0" w:firstLineChars="0"/>
              <w:jc w:val="center"/>
              <w:rPr>
                <w:rFonts w:hAnsi="Times New Roman" w:eastAsia="宋体" w:cs="Times New Roman"/>
                <w:sz w:val="21"/>
                <w:szCs w:val="21"/>
              </w:rPr>
            </w:pPr>
          </w:p>
        </w:tc>
        <w:tc>
          <w:tcPr>
            <w:tcW w:w="1217" w:type="dxa"/>
            <w:noWrap/>
            <w:vAlign w:val="center"/>
          </w:tcPr>
          <w:p w14:paraId="418E30FB">
            <w:pPr>
              <w:spacing w:line="240" w:lineRule="auto"/>
              <w:ind w:firstLine="0" w:firstLineChars="0"/>
              <w:jc w:val="center"/>
              <w:rPr>
                <w:rFonts w:hAnsi="Times New Roman" w:eastAsia="宋体" w:cs="Times New Roman"/>
                <w:sz w:val="21"/>
                <w:szCs w:val="21"/>
              </w:rPr>
            </w:pPr>
          </w:p>
        </w:tc>
      </w:tr>
      <w:tr w14:paraId="3611EC50">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39" w:type="dxa"/>
            <w:noWrap/>
            <w:vAlign w:val="center"/>
          </w:tcPr>
          <w:p w14:paraId="3D103EDB">
            <w:pPr>
              <w:spacing w:line="240" w:lineRule="auto"/>
              <w:ind w:firstLine="0" w:firstLineChars="0"/>
              <w:jc w:val="center"/>
              <w:rPr>
                <w:rFonts w:hAnsi="Times New Roman" w:eastAsia="宋体" w:cs="Times New Roman"/>
                <w:b/>
                <w:bCs w:val="0"/>
                <w:sz w:val="21"/>
                <w:szCs w:val="21"/>
              </w:rPr>
            </w:pPr>
            <w:r>
              <w:rPr>
                <w:rFonts w:hAnsi="宋体" w:eastAsia="宋体" w:cs="Times New Roman"/>
                <w:b/>
                <w:sz w:val="21"/>
                <w:szCs w:val="21"/>
              </w:rPr>
              <w:t>（一）</w:t>
            </w:r>
          </w:p>
        </w:tc>
        <w:tc>
          <w:tcPr>
            <w:tcW w:w="1102" w:type="dxa"/>
            <w:noWrap/>
            <w:vAlign w:val="center"/>
          </w:tcPr>
          <w:p w14:paraId="42A638BE">
            <w:pPr>
              <w:spacing w:line="240" w:lineRule="auto"/>
              <w:ind w:firstLine="0" w:firstLineChars="0"/>
              <w:jc w:val="center"/>
              <w:rPr>
                <w:rFonts w:hAnsi="Times New Roman" w:eastAsia="宋体" w:cs="Times New Roman"/>
                <w:b/>
                <w:bCs w:val="0"/>
                <w:sz w:val="21"/>
                <w:szCs w:val="21"/>
              </w:rPr>
            </w:pPr>
            <w:r>
              <w:rPr>
                <w:rFonts w:hAnsi="宋体" w:eastAsia="宋体" w:cs="Times New Roman"/>
                <w:b/>
                <w:sz w:val="21"/>
                <w:szCs w:val="21"/>
              </w:rPr>
              <w:t>蟾蜍科</w:t>
            </w:r>
          </w:p>
        </w:tc>
        <w:tc>
          <w:tcPr>
            <w:tcW w:w="2409" w:type="dxa"/>
            <w:noWrap/>
            <w:vAlign w:val="center"/>
          </w:tcPr>
          <w:p w14:paraId="1813FEFC">
            <w:pPr>
              <w:spacing w:line="240" w:lineRule="auto"/>
              <w:ind w:firstLine="0" w:firstLineChars="0"/>
              <w:jc w:val="center"/>
              <w:rPr>
                <w:rFonts w:hAnsi="Times New Roman" w:eastAsia="宋体" w:cs="Times New Roman"/>
                <w:b/>
                <w:bCs w:val="0"/>
                <w:i/>
                <w:iCs/>
                <w:sz w:val="21"/>
                <w:szCs w:val="21"/>
              </w:rPr>
            </w:pPr>
            <w:r>
              <w:rPr>
                <w:rFonts w:hAnsi="Times New Roman" w:eastAsia="宋体" w:cs="Times New Roman"/>
                <w:b/>
                <w:sz w:val="21"/>
                <w:szCs w:val="21"/>
              </w:rPr>
              <w:t>Bufonidae</w:t>
            </w:r>
          </w:p>
        </w:tc>
        <w:tc>
          <w:tcPr>
            <w:tcW w:w="865" w:type="dxa"/>
            <w:noWrap/>
            <w:vAlign w:val="center"/>
          </w:tcPr>
          <w:p w14:paraId="77DF47BA">
            <w:pPr>
              <w:spacing w:line="240" w:lineRule="auto"/>
              <w:ind w:firstLine="0" w:firstLineChars="0"/>
              <w:jc w:val="center"/>
              <w:rPr>
                <w:rFonts w:hAnsi="Times New Roman" w:eastAsia="宋体" w:cs="Times New Roman"/>
                <w:sz w:val="21"/>
                <w:szCs w:val="21"/>
              </w:rPr>
            </w:pPr>
          </w:p>
        </w:tc>
        <w:tc>
          <w:tcPr>
            <w:tcW w:w="765" w:type="dxa"/>
            <w:noWrap/>
            <w:vAlign w:val="center"/>
          </w:tcPr>
          <w:p w14:paraId="3F8176E5">
            <w:pPr>
              <w:spacing w:line="240" w:lineRule="auto"/>
              <w:ind w:firstLine="0" w:firstLineChars="0"/>
              <w:jc w:val="center"/>
              <w:rPr>
                <w:rFonts w:hAnsi="Times New Roman" w:eastAsia="宋体" w:cs="Times New Roman"/>
                <w:sz w:val="21"/>
                <w:szCs w:val="21"/>
              </w:rPr>
            </w:pPr>
          </w:p>
        </w:tc>
        <w:tc>
          <w:tcPr>
            <w:tcW w:w="887" w:type="dxa"/>
            <w:noWrap/>
            <w:vAlign w:val="center"/>
          </w:tcPr>
          <w:p w14:paraId="3454A110">
            <w:pPr>
              <w:spacing w:line="240" w:lineRule="auto"/>
              <w:ind w:firstLine="0" w:firstLineChars="0"/>
              <w:jc w:val="center"/>
              <w:rPr>
                <w:rFonts w:hAnsi="Times New Roman" w:eastAsia="宋体" w:cs="Times New Roman"/>
                <w:sz w:val="21"/>
                <w:szCs w:val="21"/>
              </w:rPr>
            </w:pPr>
          </w:p>
        </w:tc>
        <w:tc>
          <w:tcPr>
            <w:tcW w:w="1217" w:type="dxa"/>
            <w:noWrap/>
            <w:vAlign w:val="center"/>
          </w:tcPr>
          <w:p w14:paraId="2D74CC6C">
            <w:pPr>
              <w:spacing w:line="240" w:lineRule="auto"/>
              <w:ind w:firstLine="0" w:firstLineChars="0"/>
              <w:jc w:val="center"/>
              <w:rPr>
                <w:rFonts w:hAnsi="Times New Roman" w:eastAsia="宋体" w:cs="Times New Roman"/>
                <w:sz w:val="21"/>
                <w:szCs w:val="21"/>
              </w:rPr>
            </w:pPr>
          </w:p>
        </w:tc>
      </w:tr>
      <w:tr w14:paraId="7293632E">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39" w:type="dxa"/>
            <w:noWrap/>
            <w:vAlign w:val="center"/>
          </w:tcPr>
          <w:p w14:paraId="07E6A16E">
            <w:pPr>
              <w:spacing w:line="240" w:lineRule="auto"/>
              <w:ind w:firstLine="0" w:firstLineChars="0"/>
              <w:jc w:val="center"/>
              <w:rPr>
                <w:rFonts w:hAnsi="Times New Roman" w:eastAsia="宋体" w:cs="Times New Roman"/>
                <w:sz w:val="21"/>
                <w:szCs w:val="21"/>
              </w:rPr>
            </w:pPr>
            <w:r>
              <w:rPr>
                <w:rFonts w:hAnsi="Times New Roman" w:eastAsia="宋体" w:cs="Times New Roman"/>
                <w:sz w:val="21"/>
                <w:szCs w:val="21"/>
              </w:rPr>
              <w:t>1</w:t>
            </w:r>
          </w:p>
        </w:tc>
        <w:tc>
          <w:tcPr>
            <w:tcW w:w="1102" w:type="dxa"/>
            <w:noWrap/>
            <w:vAlign w:val="center"/>
          </w:tcPr>
          <w:p w14:paraId="4B3DAC29">
            <w:pPr>
              <w:spacing w:line="240" w:lineRule="auto"/>
              <w:ind w:firstLine="0" w:firstLineChars="0"/>
              <w:jc w:val="center"/>
              <w:rPr>
                <w:rFonts w:hAnsi="Times New Roman" w:eastAsia="宋体" w:cs="Times New Roman"/>
                <w:sz w:val="21"/>
                <w:szCs w:val="21"/>
              </w:rPr>
            </w:pPr>
            <w:r>
              <w:rPr>
                <w:rFonts w:hAnsi="宋体" w:eastAsia="宋体" w:cs="Times New Roman"/>
                <w:sz w:val="21"/>
                <w:szCs w:val="21"/>
              </w:rPr>
              <w:t>中华蟾蜍</w:t>
            </w:r>
          </w:p>
        </w:tc>
        <w:tc>
          <w:tcPr>
            <w:tcW w:w="2409" w:type="dxa"/>
            <w:noWrap/>
            <w:vAlign w:val="center"/>
          </w:tcPr>
          <w:p w14:paraId="1FF7B062">
            <w:pPr>
              <w:spacing w:line="240" w:lineRule="auto"/>
              <w:ind w:firstLine="0" w:firstLineChars="0"/>
              <w:jc w:val="center"/>
              <w:rPr>
                <w:rFonts w:hAnsi="Times New Roman" w:eastAsia="宋体" w:cs="Times New Roman"/>
                <w:i/>
                <w:iCs/>
                <w:sz w:val="21"/>
                <w:szCs w:val="21"/>
              </w:rPr>
            </w:pPr>
            <w:r>
              <w:rPr>
                <w:rFonts w:hAnsi="Times New Roman" w:eastAsia="宋体" w:cs="Times New Roman"/>
                <w:i/>
                <w:iCs/>
                <w:sz w:val="21"/>
                <w:szCs w:val="21"/>
              </w:rPr>
              <w:t>Bufo gargarizans</w:t>
            </w:r>
          </w:p>
        </w:tc>
        <w:tc>
          <w:tcPr>
            <w:tcW w:w="865" w:type="dxa"/>
            <w:shd w:val="clear" w:color="auto" w:fill="auto"/>
            <w:noWrap/>
            <w:vAlign w:val="center"/>
          </w:tcPr>
          <w:p w14:paraId="39D0CCB6">
            <w:pPr>
              <w:spacing w:line="240" w:lineRule="auto"/>
              <w:ind w:firstLine="0" w:firstLineChars="0"/>
              <w:jc w:val="center"/>
              <w:rPr>
                <w:rFonts w:hAnsi="Times New Roman" w:eastAsia="宋体" w:cs="Times New Roman"/>
                <w:sz w:val="21"/>
                <w:szCs w:val="21"/>
              </w:rPr>
            </w:pPr>
            <w:r>
              <w:rPr>
                <w:rFonts w:hAnsi="Times New Roman" w:eastAsia="宋体" w:cs="Times New Roman"/>
                <w:sz w:val="21"/>
                <w:szCs w:val="21"/>
              </w:rPr>
              <w:t>B G R</w:t>
            </w:r>
          </w:p>
        </w:tc>
        <w:tc>
          <w:tcPr>
            <w:tcW w:w="765" w:type="dxa"/>
            <w:shd w:val="clear" w:color="auto" w:fill="auto"/>
            <w:noWrap/>
            <w:vAlign w:val="center"/>
          </w:tcPr>
          <w:p w14:paraId="73DAA2EE">
            <w:pPr>
              <w:spacing w:line="240" w:lineRule="auto"/>
              <w:ind w:firstLine="0" w:firstLineChars="0"/>
              <w:jc w:val="center"/>
              <w:rPr>
                <w:rFonts w:hAnsi="Times New Roman" w:eastAsia="宋体" w:cs="Times New Roman"/>
                <w:sz w:val="21"/>
                <w:szCs w:val="21"/>
              </w:rPr>
            </w:pPr>
            <w:r>
              <w:rPr>
                <w:rFonts w:hAnsi="Times New Roman" w:eastAsia="宋体" w:cs="Times New Roman"/>
                <w:sz w:val="21"/>
                <w:szCs w:val="21"/>
              </w:rPr>
              <w:t>+++</w:t>
            </w:r>
          </w:p>
        </w:tc>
        <w:tc>
          <w:tcPr>
            <w:tcW w:w="887" w:type="dxa"/>
            <w:shd w:val="clear" w:color="auto" w:fill="auto"/>
            <w:noWrap/>
            <w:vAlign w:val="center"/>
          </w:tcPr>
          <w:p w14:paraId="78CE9737">
            <w:pPr>
              <w:spacing w:line="240" w:lineRule="auto"/>
              <w:ind w:firstLine="0" w:firstLineChars="0"/>
              <w:jc w:val="center"/>
              <w:rPr>
                <w:rFonts w:hAnsi="Times New Roman" w:eastAsia="宋体" w:cs="Times New Roman"/>
                <w:sz w:val="21"/>
                <w:szCs w:val="21"/>
              </w:rPr>
            </w:pPr>
          </w:p>
        </w:tc>
        <w:tc>
          <w:tcPr>
            <w:tcW w:w="1217" w:type="dxa"/>
            <w:shd w:val="clear" w:color="auto" w:fill="auto"/>
            <w:noWrap/>
            <w:vAlign w:val="center"/>
          </w:tcPr>
          <w:p w14:paraId="4529382D">
            <w:pPr>
              <w:spacing w:line="240" w:lineRule="auto"/>
              <w:ind w:firstLine="0" w:firstLineChars="0"/>
              <w:jc w:val="center"/>
              <w:rPr>
                <w:rFonts w:hAnsi="Times New Roman" w:eastAsia="宋体" w:cs="Times New Roman"/>
                <w:sz w:val="21"/>
                <w:szCs w:val="21"/>
              </w:rPr>
            </w:pPr>
            <w:r>
              <w:rPr>
                <w:rFonts w:hAnsi="Times New Roman" w:eastAsia="宋体" w:cs="Times New Roman"/>
                <w:sz w:val="21"/>
                <w:szCs w:val="21"/>
              </w:rPr>
              <w:t>P</w:t>
            </w:r>
          </w:p>
        </w:tc>
      </w:tr>
      <w:tr w14:paraId="44226B58">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39" w:type="dxa"/>
            <w:noWrap/>
            <w:vAlign w:val="center"/>
          </w:tcPr>
          <w:p w14:paraId="450408C1">
            <w:pPr>
              <w:spacing w:line="240" w:lineRule="auto"/>
              <w:ind w:firstLine="0" w:firstLineChars="0"/>
              <w:jc w:val="center"/>
              <w:rPr>
                <w:rFonts w:hAnsi="Times New Roman" w:eastAsia="宋体" w:cs="Times New Roman"/>
                <w:b/>
                <w:bCs w:val="0"/>
                <w:sz w:val="21"/>
                <w:szCs w:val="21"/>
              </w:rPr>
            </w:pPr>
            <w:r>
              <w:rPr>
                <w:rFonts w:hAnsi="Times New Roman" w:eastAsia="宋体" w:cs="Times New Roman"/>
                <w:sz w:val="21"/>
                <w:szCs w:val="21"/>
              </w:rPr>
              <w:t>2</w:t>
            </w:r>
          </w:p>
        </w:tc>
        <w:tc>
          <w:tcPr>
            <w:tcW w:w="1102" w:type="dxa"/>
            <w:noWrap/>
            <w:vAlign w:val="center"/>
          </w:tcPr>
          <w:p w14:paraId="6F21EDBE">
            <w:pPr>
              <w:spacing w:line="240" w:lineRule="auto"/>
              <w:ind w:firstLine="0" w:firstLineChars="0"/>
              <w:jc w:val="center"/>
              <w:rPr>
                <w:rFonts w:hAnsi="Times New Roman" w:eastAsia="宋体" w:cs="Times New Roman"/>
                <w:b/>
                <w:bCs w:val="0"/>
                <w:sz w:val="21"/>
                <w:szCs w:val="21"/>
              </w:rPr>
            </w:pPr>
            <w:r>
              <w:rPr>
                <w:rFonts w:hAnsi="宋体" w:eastAsia="宋体" w:cs="Times New Roman"/>
                <w:sz w:val="21"/>
                <w:szCs w:val="21"/>
              </w:rPr>
              <w:t>花背蟾蜍</w:t>
            </w:r>
          </w:p>
        </w:tc>
        <w:tc>
          <w:tcPr>
            <w:tcW w:w="2409" w:type="dxa"/>
            <w:noWrap/>
            <w:vAlign w:val="center"/>
          </w:tcPr>
          <w:p w14:paraId="704E1E4E">
            <w:pPr>
              <w:spacing w:line="240" w:lineRule="auto"/>
              <w:ind w:firstLine="0" w:firstLineChars="0"/>
              <w:jc w:val="center"/>
              <w:rPr>
                <w:rFonts w:hAnsi="Times New Roman" w:eastAsia="宋体" w:cs="Times New Roman"/>
                <w:b/>
                <w:bCs w:val="0"/>
                <w:i/>
                <w:iCs/>
                <w:sz w:val="21"/>
                <w:szCs w:val="21"/>
              </w:rPr>
            </w:pPr>
            <w:r>
              <w:rPr>
                <w:rFonts w:hAnsi="Times New Roman" w:eastAsia="宋体" w:cs="Times New Roman"/>
                <w:i/>
                <w:iCs/>
                <w:sz w:val="21"/>
                <w:szCs w:val="21"/>
              </w:rPr>
              <w:t>Bufo raddei Strauch</w:t>
            </w:r>
          </w:p>
        </w:tc>
        <w:tc>
          <w:tcPr>
            <w:tcW w:w="865" w:type="dxa"/>
            <w:noWrap/>
            <w:vAlign w:val="center"/>
          </w:tcPr>
          <w:p w14:paraId="0BAEDDE9">
            <w:pPr>
              <w:spacing w:line="240" w:lineRule="auto"/>
              <w:ind w:firstLine="0" w:firstLineChars="0"/>
              <w:jc w:val="center"/>
              <w:rPr>
                <w:rFonts w:hAnsi="Times New Roman" w:eastAsia="宋体" w:cs="Times New Roman"/>
                <w:sz w:val="21"/>
                <w:szCs w:val="21"/>
              </w:rPr>
            </w:pPr>
            <w:r>
              <w:rPr>
                <w:rFonts w:hAnsi="Times New Roman" w:eastAsia="宋体" w:cs="Times New Roman"/>
                <w:sz w:val="21"/>
                <w:szCs w:val="21"/>
              </w:rPr>
              <w:t>B G R</w:t>
            </w:r>
          </w:p>
        </w:tc>
        <w:tc>
          <w:tcPr>
            <w:tcW w:w="765" w:type="dxa"/>
            <w:noWrap/>
            <w:vAlign w:val="center"/>
          </w:tcPr>
          <w:p w14:paraId="4E1C0982">
            <w:pPr>
              <w:spacing w:line="240" w:lineRule="auto"/>
              <w:ind w:firstLine="0" w:firstLineChars="0"/>
              <w:jc w:val="center"/>
              <w:rPr>
                <w:rFonts w:hAnsi="Times New Roman" w:eastAsia="宋体" w:cs="Times New Roman"/>
                <w:sz w:val="21"/>
                <w:szCs w:val="21"/>
              </w:rPr>
            </w:pPr>
            <w:r>
              <w:rPr>
                <w:rFonts w:hAnsi="Times New Roman" w:eastAsia="宋体" w:cs="Times New Roman"/>
                <w:sz w:val="21"/>
                <w:szCs w:val="21"/>
              </w:rPr>
              <w:t>+</w:t>
            </w:r>
          </w:p>
        </w:tc>
        <w:tc>
          <w:tcPr>
            <w:tcW w:w="887" w:type="dxa"/>
            <w:noWrap/>
            <w:vAlign w:val="center"/>
          </w:tcPr>
          <w:p w14:paraId="728D4C84">
            <w:pPr>
              <w:spacing w:line="240" w:lineRule="auto"/>
              <w:ind w:firstLine="0" w:firstLineChars="0"/>
              <w:jc w:val="center"/>
              <w:rPr>
                <w:rFonts w:hAnsi="Times New Roman" w:eastAsia="宋体" w:cs="Times New Roman"/>
                <w:sz w:val="21"/>
                <w:szCs w:val="21"/>
              </w:rPr>
            </w:pPr>
          </w:p>
        </w:tc>
        <w:tc>
          <w:tcPr>
            <w:tcW w:w="1217" w:type="dxa"/>
            <w:noWrap/>
            <w:vAlign w:val="center"/>
          </w:tcPr>
          <w:p w14:paraId="5C3458B0">
            <w:pPr>
              <w:spacing w:line="240" w:lineRule="auto"/>
              <w:ind w:firstLine="0" w:firstLineChars="0"/>
              <w:jc w:val="center"/>
              <w:rPr>
                <w:rFonts w:hAnsi="Times New Roman" w:eastAsia="宋体" w:cs="Times New Roman"/>
                <w:sz w:val="21"/>
                <w:szCs w:val="21"/>
              </w:rPr>
            </w:pPr>
            <w:r>
              <w:rPr>
                <w:rFonts w:hAnsi="Times New Roman" w:eastAsia="宋体" w:cs="Times New Roman"/>
                <w:sz w:val="21"/>
                <w:szCs w:val="21"/>
              </w:rPr>
              <w:t>P</w:t>
            </w:r>
          </w:p>
        </w:tc>
      </w:tr>
      <w:tr w14:paraId="2A231481">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39" w:type="dxa"/>
            <w:noWrap/>
            <w:vAlign w:val="center"/>
          </w:tcPr>
          <w:p w14:paraId="1554A351">
            <w:pPr>
              <w:spacing w:line="240" w:lineRule="auto"/>
              <w:ind w:firstLine="0" w:firstLineChars="0"/>
              <w:jc w:val="center"/>
              <w:rPr>
                <w:rFonts w:hAnsi="Times New Roman" w:eastAsia="宋体" w:cs="Times New Roman"/>
                <w:b/>
                <w:bCs w:val="0"/>
                <w:sz w:val="21"/>
                <w:szCs w:val="21"/>
              </w:rPr>
            </w:pPr>
            <w:r>
              <w:rPr>
                <w:rFonts w:hAnsi="宋体" w:eastAsia="宋体" w:cs="Times New Roman"/>
                <w:b/>
                <w:sz w:val="21"/>
                <w:szCs w:val="21"/>
              </w:rPr>
              <w:t>（二）</w:t>
            </w:r>
          </w:p>
        </w:tc>
        <w:tc>
          <w:tcPr>
            <w:tcW w:w="1102" w:type="dxa"/>
            <w:noWrap/>
            <w:vAlign w:val="center"/>
          </w:tcPr>
          <w:p w14:paraId="213538D4">
            <w:pPr>
              <w:spacing w:line="240" w:lineRule="auto"/>
              <w:ind w:firstLine="0" w:firstLineChars="0"/>
              <w:jc w:val="center"/>
              <w:rPr>
                <w:rFonts w:hAnsi="Times New Roman" w:eastAsia="宋体" w:cs="Times New Roman"/>
                <w:b/>
                <w:bCs w:val="0"/>
                <w:sz w:val="21"/>
                <w:szCs w:val="21"/>
              </w:rPr>
            </w:pPr>
            <w:r>
              <w:rPr>
                <w:rFonts w:hAnsi="宋体" w:eastAsia="宋体" w:cs="Times New Roman"/>
                <w:b/>
                <w:sz w:val="21"/>
                <w:szCs w:val="21"/>
              </w:rPr>
              <w:t>雨蛙科</w:t>
            </w:r>
          </w:p>
        </w:tc>
        <w:tc>
          <w:tcPr>
            <w:tcW w:w="2409" w:type="dxa"/>
            <w:noWrap/>
            <w:vAlign w:val="center"/>
          </w:tcPr>
          <w:p w14:paraId="0402EF92">
            <w:pPr>
              <w:spacing w:line="240" w:lineRule="auto"/>
              <w:ind w:firstLine="0" w:firstLineChars="0"/>
              <w:jc w:val="center"/>
              <w:rPr>
                <w:rFonts w:hAnsi="Times New Roman" w:eastAsia="宋体" w:cs="Times New Roman"/>
                <w:b/>
                <w:bCs w:val="0"/>
                <w:i/>
                <w:iCs/>
                <w:sz w:val="21"/>
                <w:szCs w:val="21"/>
              </w:rPr>
            </w:pPr>
            <w:r>
              <w:rPr>
                <w:rFonts w:hAnsi="Times New Roman" w:eastAsia="宋体" w:cs="Times New Roman"/>
                <w:b/>
                <w:sz w:val="21"/>
                <w:szCs w:val="21"/>
              </w:rPr>
              <w:t>Hylidae</w:t>
            </w:r>
          </w:p>
        </w:tc>
        <w:tc>
          <w:tcPr>
            <w:tcW w:w="865" w:type="dxa"/>
            <w:noWrap/>
            <w:vAlign w:val="center"/>
          </w:tcPr>
          <w:p w14:paraId="6328D78F">
            <w:pPr>
              <w:spacing w:line="240" w:lineRule="auto"/>
              <w:ind w:firstLine="0" w:firstLineChars="0"/>
              <w:jc w:val="center"/>
              <w:rPr>
                <w:rFonts w:hAnsi="Times New Roman" w:eastAsia="宋体" w:cs="Times New Roman"/>
                <w:sz w:val="21"/>
                <w:szCs w:val="21"/>
              </w:rPr>
            </w:pPr>
          </w:p>
        </w:tc>
        <w:tc>
          <w:tcPr>
            <w:tcW w:w="765" w:type="dxa"/>
            <w:noWrap/>
            <w:vAlign w:val="center"/>
          </w:tcPr>
          <w:p w14:paraId="3AAD62E7">
            <w:pPr>
              <w:spacing w:line="240" w:lineRule="auto"/>
              <w:ind w:firstLine="0" w:firstLineChars="0"/>
              <w:jc w:val="center"/>
              <w:rPr>
                <w:rFonts w:hAnsi="Times New Roman" w:eastAsia="宋体" w:cs="Times New Roman"/>
                <w:sz w:val="21"/>
                <w:szCs w:val="21"/>
              </w:rPr>
            </w:pPr>
          </w:p>
        </w:tc>
        <w:tc>
          <w:tcPr>
            <w:tcW w:w="887" w:type="dxa"/>
            <w:noWrap/>
            <w:vAlign w:val="center"/>
          </w:tcPr>
          <w:p w14:paraId="00054D17">
            <w:pPr>
              <w:spacing w:line="240" w:lineRule="auto"/>
              <w:ind w:firstLine="0" w:firstLineChars="0"/>
              <w:jc w:val="center"/>
              <w:rPr>
                <w:rFonts w:hAnsi="Times New Roman" w:eastAsia="宋体" w:cs="Times New Roman"/>
                <w:sz w:val="21"/>
                <w:szCs w:val="21"/>
              </w:rPr>
            </w:pPr>
          </w:p>
        </w:tc>
        <w:tc>
          <w:tcPr>
            <w:tcW w:w="1217" w:type="dxa"/>
            <w:noWrap/>
            <w:vAlign w:val="center"/>
          </w:tcPr>
          <w:p w14:paraId="69B8D525">
            <w:pPr>
              <w:spacing w:line="240" w:lineRule="auto"/>
              <w:ind w:firstLine="0" w:firstLineChars="0"/>
              <w:jc w:val="center"/>
              <w:rPr>
                <w:rFonts w:hAnsi="Times New Roman" w:eastAsia="宋体" w:cs="Times New Roman"/>
                <w:sz w:val="21"/>
                <w:szCs w:val="21"/>
              </w:rPr>
            </w:pPr>
          </w:p>
        </w:tc>
      </w:tr>
      <w:tr w14:paraId="709C91DD">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39" w:type="dxa"/>
            <w:noWrap/>
            <w:vAlign w:val="center"/>
          </w:tcPr>
          <w:p w14:paraId="79609AE8">
            <w:pPr>
              <w:spacing w:line="240" w:lineRule="auto"/>
              <w:ind w:firstLine="0" w:firstLineChars="0"/>
              <w:jc w:val="center"/>
              <w:rPr>
                <w:rFonts w:hAnsi="Times New Roman" w:eastAsia="宋体" w:cs="Times New Roman"/>
                <w:b/>
                <w:bCs w:val="0"/>
                <w:sz w:val="21"/>
                <w:szCs w:val="21"/>
              </w:rPr>
            </w:pPr>
            <w:r>
              <w:rPr>
                <w:rFonts w:hAnsi="Times New Roman" w:eastAsia="宋体" w:cs="Times New Roman"/>
                <w:sz w:val="21"/>
                <w:szCs w:val="21"/>
              </w:rPr>
              <w:t>3</w:t>
            </w:r>
          </w:p>
        </w:tc>
        <w:tc>
          <w:tcPr>
            <w:tcW w:w="1102" w:type="dxa"/>
            <w:noWrap/>
            <w:vAlign w:val="center"/>
          </w:tcPr>
          <w:p w14:paraId="48D70F84">
            <w:pPr>
              <w:spacing w:line="240" w:lineRule="auto"/>
              <w:ind w:firstLine="0" w:firstLineChars="0"/>
              <w:jc w:val="center"/>
              <w:rPr>
                <w:rFonts w:hAnsi="Times New Roman" w:eastAsia="宋体" w:cs="Times New Roman"/>
                <w:sz w:val="21"/>
                <w:szCs w:val="21"/>
              </w:rPr>
            </w:pPr>
            <w:r>
              <w:rPr>
                <w:rFonts w:hAnsi="宋体" w:eastAsia="宋体" w:cs="Times New Roman"/>
                <w:sz w:val="21"/>
                <w:szCs w:val="21"/>
              </w:rPr>
              <w:t>东北雨蛙</w:t>
            </w:r>
          </w:p>
        </w:tc>
        <w:tc>
          <w:tcPr>
            <w:tcW w:w="2409" w:type="dxa"/>
            <w:noWrap/>
            <w:vAlign w:val="center"/>
          </w:tcPr>
          <w:p w14:paraId="5818DC78">
            <w:pPr>
              <w:spacing w:line="240" w:lineRule="auto"/>
              <w:ind w:firstLine="0" w:firstLineChars="0"/>
              <w:jc w:val="center"/>
              <w:rPr>
                <w:rFonts w:hAnsi="Times New Roman" w:eastAsia="宋体" w:cs="Times New Roman"/>
                <w:i/>
                <w:iCs/>
                <w:sz w:val="21"/>
                <w:szCs w:val="21"/>
              </w:rPr>
            </w:pPr>
            <w:r>
              <w:rPr>
                <w:rFonts w:hAnsi="Times New Roman" w:eastAsia="宋体" w:cs="Times New Roman"/>
                <w:i/>
                <w:iCs/>
                <w:sz w:val="21"/>
                <w:szCs w:val="21"/>
              </w:rPr>
              <w:t>Hyla ussuriensis</w:t>
            </w:r>
          </w:p>
        </w:tc>
        <w:tc>
          <w:tcPr>
            <w:tcW w:w="865" w:type="dxa"/>
            <w:noWrap/>
            <w:vAlign w:val="center"/>
          </w:tcPr>
          <w:p w14:paraId="3661D882">
            <w:pPr>
              <w:spacing w:line="240" w:lineRule="auto"/>
              <w:ind w:firstLine="0" w:firstLineChars="0"/>
              <w:jc w:val="center"/>
              <w:rPr>
                <w:rFonts w:hAnsi="Times New Roman" w:eastAsia="宋体" w:cs="Times New Roman"/>
                <w:sz w:val="21"/>
                <w:szCs w:val="21"/>
              </w:rPr>
            </w:pPr>
            <w:r>
              <w:rPr>
                <w:rFonts w:hAnsi="Times New Roman" w:eastAsia="宋体" w:cs="Times New Roman"/>
                <w:sz w:val="21"/>
                <w:szCs w:val="21"/>
              </w:rPr>
              <w:t>B G R</w:t>
            </w:r>
          </w:p>
        </w:tc>
        <w:tc>
          <w:tcPr>
            <w:tcW w:w="765" w:type="dxa"/>
            <w:noWrap/>
            <w:vAlign w:val="center"/>
          </w:tcPr>
          <w:p w14:paraId="0F2EA4CB">
            <w:pPr>
              <w:spacing w:line="240" w:lineRule="auto"/>
              <w:ind w:firstLine="0" w:firstLineChars="0"/>
              <w:jc w:val="center"/>
              <w:rPr>
                <w:rFonts w:hAnsi="Times New Roman" w:eastAsia="宋体" w:cs="Times New Roman"/>
                <w:sz w:val="21"/>
                <w:szCs w:val="21"/>
              </w:rPr>
            </w:pPr>
            <w:r>
              <w:rPr>
                <w:rFonts w:hAnsi="Times New Roman" w:eastAsia="宋体" w:cs="Times New Roman"/>
                <w:sz w:val="21"/>
                <w:szCs w:val="21"/>
              </w:rPr>
              <w:t>+</w:t>
            </w:r>
          </w:p>
        </w:tc>
        <w:tc>
          <w:tcPr>
            <w:tcW w:w="887" w:type="dxa"/>
            <w:noWrap/>
            <w:vAlign w:val="center"/>
          </w:tcPr>
          <w:p w14:paraId="0D33263D">
            <w:pPr>
              <w:spacing w:line="240" w:lineRule="auto"/>
              <w:ind w:firstLine="0" w:firstLineChars="0"/>
              <w:jc w:val="center"/>
              <w:rPr>
                <w:rFonts w:hAnsi="Times New Roman" w:eastAsia="宋体" w:cs="Times New Roman"/>
                <w:sz w:val="21"/>
                <w:szCs w:val="21"/>
              </w:rPr>
            </w:pPr>
          </w:p>
        </w:tc>
        <w:tc>
          <w:tcPr>
            <w:tcW w:w="1217" w:type="dxa"/>
            <w:noWrap/>
            <w:vAlign w:val="center"/>
          </w:tcPr>
          <w:p w14:paraId="5AF673AA">
            <w:pPr>
              <w:spacing w:line="240" w:lineRule="auto"/>
              <w:ind w:firstLine="0" w:firstLineChars="0"/>
              <w:jc w:val="center"/>
              <w:rPr>
                <w:rFonts w:hAnsi="Times New Roman" w:eastAsia="宋体" w:cs="Times New Roman"/>
                <w:sz w:val="21"/>
                <w:szCs w:val="21"/>
              </w:rPr>
            </w:pPr>
            <w:r>
              <w:rPr>
                <w:rFonts w:hAnsi="Times New Roman" w:eastAsia="宋体" w:cs="Times New Roman"/>
                <w:sz w:val="21"/>
                <w:szCs w:val="21"/>
              </w:rPr>
              <w:t>P</w:t>
            </w:r>
          </w:p>
        </w:tc>
      </w:tr>
      <w:tr w14:paraId="5E819D2E">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39" w:type="dxa"/>
            <w:noWrap/>
            <w:vAlign w:val="center"/>
          </w:tcPr>
          <w:p w14:paraId="25718C6C">
            <w:pPr>
              <w:spacing w:line="240" w:lineRule="auto"/>
              <w:ind w:firstLine="0" w:firstLineChars="0"/>
              <w:jc w:val="center"/>
              <w:rPr>
                <w:rFonts w:hAnsi="Times New Roman" w:eastAsia="宋体" w:cs="Times New Roman"/>
                <w:sz w:val="21"/>
                <w:szCs w:val="21"/>
              </w:rPr>
            </w:pPr>
            <w:r>
              <w:rPr>
                <w:rFonts w:hAnsi="Times New Roman" w:eastAsia="宋体" w:cs="Times New Roman"/>
                <w:sz w:val="21"/>
                <w:szCs w:val="21"/>
              </w:rPr>
              <w:t>4</w:t>
            </w:r>
          </w:p>
        </w:tc>
        <w:tc>
          <w:tcPr>
            <w:tcW w:w="1102" w:type="dxa"/>
            <w:noWrap/>
            <w:vAlign w:val="center"/>
          </w:tcPr>
          <w:p w14:paraId="5B6EBEF0">
            <w:pPr>
              <w:spacing w:line="240" w:lineRule="auto"/>
              <w:ind w:firstLine="0" w:firstLineChars="0"/>
              <w:jc w:val="center"/>
              <w:rPr>
                <w:rFonts w:hAnsi="Times New Roman" w:eastAsia="宋体" w:cs="Times New Roman"/>
                <w:sz w:val="21"/>
                <w:szCs w:val="21"/>
              </w:rPr>
            </w:pPr>
            <w:r>
              <w:rPr>
                <w:rFonts w:hAnsi="宋体" w:eastAsia="宋体" w:cs="Times New Roman"/>
                <w:sz w:val="21"/>
                <w:szCs w:val="21"/>
              </w:rPr>
              <w:t>无斑雨蛙</w:t>
            </w:r>
          </w:p>
        </w:tc>
        <w:tc>
          <w:tcPr>
            <w:tcW w:w="2409" w:type="dxa"/>
            <w:noWrap/>
            <w:vAlign w:val="center"/>
          </w:tcPr>
          <w:p w14:paraId="075C7E0C">
            <w:pPr>
              <w:spacing w:line="240" w:lineRule="auto"/>
              <w:ind w:firstLine="0" w:firstLineChars="0"/>
              <w:jc w:val="center"/>
              <w:rPr>
                <w:rFonts w:hAnsi="Times New Roman" w:eastAsia="宋体" w:cs="Times New Roman"/>
                <w:i/>
                <w:iCs/>
                <w:sz w:val="21"/>
                <w:szCs w:val="21"/>
              </w:rPr>
            </w:pPr>
            <w:r>
              <w:rPr>
                <w:rFonts w:hAnsi="Times New Roman" w:eastAsia="宋体" w:cs="Times New Roman"/>
                <w:i/>
                <w:iCs/>
                <w:sz w:val="21"/>
                <w:szCs w:val="21"/>
              </w:rPr>
              <w:t>Hyla arborea immaculata</w:t>
            </w:r>
          </w:p>
        </w:tc>
        <w:tc>
          <w:tcPr>
            <w:tcW w:w="865" w:type="dxa"/>
            <w:noWrap/>
            <w:vAlign w:val="center"/>
          </w:tcPr>
          <w:p w14:paraId="776654F9">
            <w:pPr>
              <w:spacing w:line="240" w:lineRule="auto"/>
              <w:ind w:firstLine="0" w:firstLineChars="0"/>
              <w:jc w:val="center"/>
              <w:rPr>
                <w:rFonts w:hAnsi="Times New Roman" w:eastAsia="宋体" w:cs="Times New Roman"/>
                <w:sz w:val="21"/>
                <w:szCs w:val="21"/>
              </w:rPr>
            </w:pPr>
            <w:r>
              <w:rPr>
                <w:rFonts w:hAnsi="Times New Roman" w:eastAsia="宋体" w:cs="Times New Roman"/>
                <w:sz w:val="21"/>
                <w:szCs w:val="21"/>
              </w:rPr>
              <w:t>B G R</w:t>
            </w:r>
          </w:p>
        </w:tc>
        <w:tc>
          <w:tcPr>
            <w:tcW w:w="765" w:type="dxa"/>
            <w:noWrap/>
            <w:vAlign w:val="center"/>
          </w:tcPr>
          <w:p w14:paraId="250414E3">
            <w:pPr>
              <w:spacing w:line="240" w:lineRule="auto"/>
              <w:ind w:firstLine="0" w:firstLineChars="0"/>
              <w:jc w:val="center"/>
              <w:rPr>
                <w:rFonts w:hAnsi="Times New Roman" w:eastAsia="宋体" w:cs="Times New Roman"/>
                <w:sz w:val="21"/>
                <w:szCs w:val="21"/>
              </w:rPr>
            </w:pPr>
            <w:r>
              <w:rPr>
                <w:rFonts w:hAnsi="Times New Roman" w:eastAsia="宋体" w:cs="Times New Roman"/>
                <w:sz w:val="21"/>
                <w:szCs w:val="21"/>
              </w:rPr>
              <w:t>+</w:t>
            </w:r>
          </w:p>
        </w:tc>
        <w:tc>
          <w:tcPr>
            <w:tcW w:w="887" w:type="dxa"/>
            <w:noWrap/>
            <w:vAlign w:val="center"/>
          </w:tcPr>
          <w:p w14:paraId="7D488212">
            <w:pPr>
              <w:spacing w:line="240" w:lineRule="auto"/>
              <w:ind w:firstLine="0" w:firstLineChars="0"/>
              <w:jc w:val="center"/>
              <w:rPr>
                <w:rFonts w:hAnsi="Times New Roman" w:eastAsia="宋体" w:cs="Times New Roman"/>
                <w:sz w:val="21"/>
                <w:szCs w:val="21"/>
              </w:rPr>
            </w:pPr>
          </w:p>
        </w:tc>
        <w:tc>
          <w:tcPr>
            <w:tcW w:w="1217" w:type="dxa"/>
            <w:noWrap/>
            <w:vAlign w:val="center"/>
          </w:tcPr>
          <w:p w14:paraId="18240DD3">
            <w:pPr>
              <w:spacing w:line="240" w:lineRule="auto"/>
              <w:ind w:firstLine="0" w:firstLineChars="0"/>
              <w:jc w:val="center"/>
              <w:rPr>
                <w:rFonts w:hAnsi="Times New Roman" w:eastAsia="宋体" w:cs="Times New Roman"/>
                <w:sz w:val="21"/>
                <w:szCs w:val="21"/>
              </w:rPr>
            </w:pPr>
            <w:r>
              <w:rPr>
                <w:rFonts w:hAnsi="Times New Roman" w:eastAsia="宋体" w:cs="Times New Roman"/>
                <w:sz w:val="21"/>
                <w:szCs w:val="21"/>
              </w:rPr>
              <w:t>P</w:t>
            </w:r>
          </w:p>
        </w:tc>
      </w:tr>
      <w:tr w14:paraId="454D2E2E">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39" w:type="dxa"/>
            <w:noWrap/>
            <w:vAlign w:val="center"/>
          </w:tcPr>
          <w:p w14:paraId="24F87147">
            <w:pPr>
              <w:spacing w:line="240" w:lineRule="auto"/>
              <w:ind w:firstLine="0" w:firstLineChars="0"/>
              <w:jc w:val="center"/>
              <w:rPr>
                <w:rFonts w:hAnsi="Times New Roman" w:eastAsia="宋体" w:cs="Times New Roman"/>
                <w:b/>
                <w:bCs w:val="0"/>
                <w:sz w:val="21"/>
                <w:szCs w:val="21"/>
              </w:rPr>
            </w:pPr>
            <w:r>
              <w:rPr>
                <w:rFonts w:hAnsi="宋体" w:eastAsia="宋体" w:cs="Times New Roman"/>
                <w:b/>
                <w:sz w:val="21"/>
                <w:szCs w:val="21"/>
              </w:rPr>
              <w:t>（三）</w:t>
            </w:r>
          </w:p>
        </w:tc>
        <w:tc>
          <w:tcPr>
            <w:tcW w:w="1102" w:type="dxa"/>
            <w:noWrap/>
            <w:vAlign w:val="center"/>
          </w:tcPr>
          <w:p w14:paraId="55059C21">
            <w:pPr>
              <w:spacing w:line="240" w:lineRule="auto"/>
              <w:ind w:firstLine="0" w:firstLineChars="0"/>
              <w:jc w:val="center"/>
              <w:rPr>
                <w:rFonts w:hAnsi="Times New Roman" w:eastAsia="宋体" w:cs="Times New Roman"/>
                <w:sz w:val="21"/>
                <w:szCs w:val="21"/>
              </w:rPr>
            </w:pPr>
            <w:r>
              <w:rPr>
                <w:rFonts w:hAnsi="宋体" w:eastAsia="宋体" w:cs="Times New Roman"/>
                <w:b/>
                <w:sz w:val="21"/>
                <w:szCs w:val="21"/>
              </w:rPr>
              <w:t>蛙科</w:t>
            </w:r>
          </w:p>
        </w:tc>
        <w:tc>
          <w:tcPr>
            <w:tcW w:w="2409" w:type="dxa"/>
            <w:noWrap/>
            <w:vAlign w:val="center"/>
          </w:tcPr>
          <w:p w14:paraId="46C1247F">
            <w:pPr>
              <w:spacing w:line="240" w:lineRule="auto"/>
              <w:ind w:firstLine="0" w:firstLineChars="0"/>
              <w:jc w:val="center"/>
              <w:rPr>
                <w:rFonts w:hAnsi="Times New Roman" w:eastAsia="宋体" w:cs="Times New Roman"/>
                <w:i/>
                <w:iCs/>
                <w:sz w:val="21"/>
                <w:szCs w:val="21"/>
              </w:rPr>
            </w:pPr>
            <w:r>
              <w:rPr>
                <w:rFonts w:hAnsi="Times New Roman" w:eastAsia="宋体" w:cs="Times New Roman"/>
                <w:b/>
                <w:sz w:val="21"/>
                <w:szCs w:val="21"/>
              </w:rPr>
              <w:t>Ranidae</w:t>
            </w:r>
          </w:p>
        </w:tc>
        <w:tc>
          <w:tcPr>
            <w:tcW w:w="865" w:type="dxa"/>
            <w:noWrap/>
            <w:vAlign w:val="center"/>
          </w:tcPr>
          <w:p w14:paraId="116CBC89">
            <w:pPr>
              <w:spacing w:line="240" w:lineRule="auto"/>
              <w:ind w:firstLine="0" w:firstLineChars="0"/>
              <w:jc w:val="center"/>
              <w:rPr>
                <w:rFonts w:hAnsi="Times New Roman" w:eastAsia="宋体" w:cs="Times New Roman"/>
                <w:sz w:val="21"/>
                <w:szCs w:val="21"/>
              </w:rPr>
            </w:pPr>
          </w:p>
        </w:tc>
        <w:tc>
          <w:tcPr>
            <w:tcW w:w="765" w:type="dxa"/>
            <w:noWrap/>
            <w:vAlign w:val="center"/>
          </w:tcPr>
          <w:p w14:paraId="1A485498">
            <w:pPr>
              <w:spacing w:line="240" w:lineRule="auto"/>
              <w:ind w:firstLine="0" w:firstLineChars="0"/>
              <w:jc w:val="center"/>
              <w:rPr>
                <w:rFonts w:hAnsi="Times New Roman" w:eastAsia="宋体" w:cs="Times New Roman"/>
                <w:sz w:val="21"/>
                <w:szCs w:val="21"/>
              </w:rPr>
            </w:pPr>
          </w:p>
        </w:tc>
        <w:tc>
          <w:tcPr>
            <w:tcW w:w="887" w:type="dxa"/>
            <w:noWrap/>
            <w:vAlign w:val="center"/>
          </w:tcPr>
          <w:p w14:paraId="6DFB805C">
            <w:pPr>
              <w:spacing w:line="240" w:lineRule="auto"/>
              <w:ind w:firstLine="0" w:firstLineChars="0"/>
              <w:jc w:val="center"/>
              <w:rPr>
                <w:rFonts w:hAnsi="Times New Roman" w:eastAsia="宋体" w:cs="Times New Roman"/>
                <w:sz w:val="21"/>
                <w:szCs w:val="21"/>
              </w:rPr>
            </w:pPr>
          </w:p>
        </w:tc>
        <w:tc>
          <w:tcPr>
            <w:tcW w:w="1217" w:type="dxa"/>
            <w:noWrap/>
            <w:vAlign w:val="center"/>
          </w:tcPr>
          <w:p w14:paraId="2FBD21F2">
            <w:pPr>
              <w:spacing w:line="240" w:lineRule="auto"/>
              <w:ind w:firstLine="0" w:firstLineChars="0"/>
              <w:jc w:val="center"/>
              <w:rPr>
                <w:rFonts w:hAnsi="Times New Roman" w:eastAsia="宋体" w:cs="Times New Roman"/>
                <w:sz w:val="21"/>
                <w:szCs w:val="21"/>
              </w:rPr>
            </w:pPr>
          </w:p>
        </w:tc>
      </w:tr>
      <w:tr w14:paraId="43598B60">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39" w:type="dxa"/>
            <w:noWrap/>
            <w:vAlign w:val="center"/>
          </w:tcPr>
          <w:p w14:paraId="67BFF2D1">
            <w:pPr>
              <w:spacing w:line="240" w:lineRule="auto"/>
              <w:ind w:firstLine="0" w:firstLineChars="0"/>
              <w:jc w:val="center"/>
              <w:rPr>
                <w:rFonts w:hAnsi="Times New Roman" w:eastAsia="宋体" w:cs="Times New Roman"/>
                <w:b/>
                <w:bCs w:val="0"/>
                <w:sz w:val="21"/>
                <w:szCs w:val="21"/>
              </w:rPr>
            </w:pPr>
            <w:r>
              <w:rPr>
                <w:rFonts w:hAnsi="Times New Roman" w:eastAsia="宋体" w:cs="Times New Roman"/>
                <w:sz w:val="21"/>
                <w:szCs w:val="21"/>
              </w:rPr>
              <w:t>5</w:t>
            </w:r>
          </w:p>
        </w:tc>
        <w:tc>
          <w:tcPr>
            <w:tcW w:w="1102" w:type="dxa"/>
            <w:noWrap/>
            <w:vAlign w:val="center"/>
          </w:tcPr>
          <w:p w14:paraId="1CCF098D">
            <w:pPr>
              <w:spacing w:line="240" w:lineRule="auto"/>
              <w:ind w:firstLine="0" w:firstLineChars="0"/>
              <w:jc w:val="center"/>
              <w:rPr>
                <w:rFonts w:hAnsi="Times New Roman" w:eastAsia="宋体" w:cs="Times New Roman"/>
                <w:sz w:val="21"/>
                <w:szCs w:val="21"/>
              </w:rPr>
            </w:pPr>
            <w:r>
              <w:rPr>
                <w:rFonts w:hAnsi="宋体" w:eastAsia="宋体" w:cs="Times New Roman"/>
                <w:sz w:val="21"/>
                <w:szCs w:val="21"/>
              </w:rPr>
              <w:t>黑斑侧褶蛙</w:t>
            </w:r>
          </w:p>
        </w:tc>
        <w:tc>
          <w:tcPr>
            <w:tcW w:w="2409" w:type="dxa"/>
            <w:noWrap/>
            <w:vAlign w:val="center"/>
          </w:tcPr>
          <w:p w14:paraId="686CF175">
            <w:pPr>
              <w:spacing w:line="240" w:lineRule="auto"/>
              <w:ind w:firstLine="0" w:firstLineChars="0"/>
              <w:jc w:val="center"/>
              <w:rPr>
                <w:rFonts w:hAnsi="Times New Roman" w:eastAsia="宋体" w:cs="Times New Roman"/>
                <w:i/>
                <w:iCs/>
                <w:sz w:val="21"/>
                <w:szCs w:val="21"/>
              </w:rPr>
            </w:pPr>
            <w:r>
              <w:rPr>
                <w:rFonts w:hAnsi="Times New Roman" w:eastAsia="宋体" w:cs="Times New Roman"/>
                <w:i/>
                <w:iCs/>
                <w:sz w:val="21"/>
                <w:szCs w:val="21"/>
              </w:rPr>
              <w:t>Pelophylax nigromaculata</w:t>
            </w:r>
          </w:p>
        </w:tc>
        <w:tc>
          <w:tcPr>
            <w:tcW w:w="865" w:type="dxa"/>
            <w:noWrap/>
            <w:vAlign w:val="center"/>
          </w:tcPr>
          <w:p w14:paraId="47C48D90">
            <w:pPr>
              <w:spacing w:line="240" w:lineRule="auto"/>
              <w:ind w:firstLine="0" w:firstLineChars="0"/>
              <w:jc w:val="center"/>
              <w:rPr>
                <w:rFonts w:hAnsi="Times New Roman" w:eastAsia="宋体" w:cs="Times New Roman"/>
                <w:sz w:val="21"/>
                <w:szCs w:val="21"/>
              </w:rPr>
            </w:pPr>
            <w:r>
              <w:rPr>
                <w:rFonts w:hAnsi="Times New Roman" w:eastAsia="宋体" w:cs="Times New Roman"/>
                <w:sz w:val="21"/>
                <w:szCs w:val="21"/>
              </w:rPr>
              <w:t>B G R</w:t>
            </w:r>
          </w:p>
        </w:tc>
        <w:tc>
          <w:tcPr>
            <w:tcW w:w="765" w:type="dxa"/>
            <w:noWrap/>
            <w:vAlign w:val="center"/>
          </w:tcPr>
          <w:p w14:paraId="569BA068">
            <w:pPr>
              <w:spacing w:line="240" w:lineRule="auto"/>
              <w:ind w:firstLine="0" w:firstLineChars="0"/>
              <w:jc w:val="center"/>
              <w:rPr>
                <w:rFonts w:hAnsi="Times New Roman" w:eastAsia="宋体" w:cs="Times New Roman"/>
                <w:sz w:val="21"/>
                <w:szCs w:val="21"/>
              </w:rPr>
            </w:pPr>
            <w:r>
              <w:rPr>
                <w:rFonts w:hAnsi="Times New Roman" w:eastAsia="宋体" w:cs="Times New Roman"/>
                <w:sz w:val="21"/>
                <w:szCs w:val="21"/>
              </w:rPr>
              <w:t>++</w:t>
            </w:r>
          </w:p>
        </w:tc>
        <w:tc>
          <w:tcPr>
            <w:tcW w:w="887" w:type="dxa"/>
            <w:noWrap/>
            <w:vAlign w:val="center"/>
          </w:tcPr>
          <w:p w14:paraId="4A931376">
            <w:pPr>
              <w:spacing w:line="240" w:lineRule="auto"/>
              <w:ind w:firstLine="0" w:firstLineChars="0"/>
              <w:jc w:val="center"/>
              <w:rPr>
                <w:rFonts w:hAnsi="Times New Roman" w:eastAsia="宋体" w:cs="Times New Roman"/>
                <w:sz w:val="21"/>
                <w:szCs w:val="21"/>
              </w:rPr>
            </w:pPr>
          </w:p>
        </w:tc>
        <w:tc>
          <w:tcPr>
            <w:tcW w:w="1217" w:type="dxa"/>
            <w:noWrap/>
            <w:vAlign w:val="center"/>
          </w:tcPr>
          <w:p w14:paraId="78103E2A">
            <w:pPr>
              <w:spacing w:line="240" w:lineRule="auto"/>
              <w:ind w:firstLine="0" w:firstLineChars="0"/>
              <w:jc w:val="center"/>
              <w:rPr>
                <w:rFonts w:hAnsi="Times New Roman" w:eastAsia="宋体" w:cs="Times New Roman"/>
                <w:sz w:val="21"/>
                <w:szCs w:val="21"/>
              </w:rPr>
            </w:pPr>
            <w:r>
              <w:rPr>
                <w:rFonts w:hAnsi="Times New Roman" w:eastAsia="宋体" w:cs="Times New Roman"/>
                <w:sz w:val="21"/>
                <w:szCs w:val="21"/>
              </w:rPr>
              <w:t>C</w:t>
            </w:r>
          </w:p>
        </w:tc>
      </w:tr>
      <w:tr w14:paraId="2EBC4E3C">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39" w:type="dxa"/>
            <w:noWrap/>
            <w:vAlign w:val="center"/>
          </w:tcPr>
          <w:p w14:paraId="34AEB508">
            <w:pPr>
              <w:spacing w:line="240" w:lineRule="auto"/>
              <w:ind w:firstLine="0" w:firstLineChars="0"/>
              <w:jc w:val="center"/>
              <w:rPr>
                <w:rFonts w:hAnsi="Times New Roman" w:eastAsia="宋体" w:cs="Times New Roman"/>
                <w:sz w:val="21"/>
                <w:szCs w:val="21"/>
              </w:rPr>
            </w:pPr>
            <w:r>
              <w:rPr>
                <w:rFonts w:hAnsi="Times New Roman" w:eastAsia="宋体" w:cs="Times New Roman"/>
                <w:sz w:val="21"/>
                <w:szCs w:val="21"/>
              </w:rPr>
              <w:t>6</w:t>
            </w:r>
          </w:p>
        </w:tc>
        <w:tc>
          <w:tcPr>
            <w:tcW w:w="1102" w:type="dxa"/>
            <w:noWrap/>
            <w:vAlign w:val="center"/>
          </w:tcPr>
          <w:p w14:paraId="77406B89">
            <w:pPr>
              <w:spacing w:line="240" w:lineRule="auto"/>
              <w:ind w:firstLine="0" w:firstLineChars="0"/>
              <w:jc w:val="center"/>
              <w:rPr>
                <w:rFonts w:hAnsi="Times New Roman" w:eastAsia="宋体" w:cs="Times New Roman"/>
                <w:sz w:val="21"/>
                <w:szCs w:val="21"/>
              </w:rPr>
            </w:pPr>
            <w:r>
              <w:rPr>
                <w:rFonts w:hAnsi="宋体" w:eastAsia="宋体" w:cs="Times New Roman"/>
                <w:sz w:val="21"/>
                <w:szCs w:val="21"/>
              </w:rPr>
              <w:t>黑龙江林蛙</w:t>
            </w:r>
          </w:p>
        </w:tc>
        <w:tc>
          <w:tcPr>
            <w:tcW w:w="2409" w:type="dxa"/>
            <w:noWrap/>
            <w:vAlign w:val="center"/>
          </w:tcPr>
          <w:p w14:paraId="29F42712">
            <w:pPr>
              <w:spacing w:line="240" w:lineRule="auto"/>
              <w:ind w:firstLine="0" w:firstLineChars="0"/>
              <w:jc w:val="center"/>
              <w:rPr>
                <w:rFonts w:hAnsi="Times New Roman" w:eastAsia="宋体" w:cs="Times New Roman"/>
                <w:i/>
                <w:iCs/>
                <w:sz w:val="21"/>
                <w:szCs w:val="21"/>
              </w:rPr>
            </w:pPr>
            <w:r>
              <w:rPr>
                <w:rFonts w:hAnsi="Times New Roman" w:eastAsia="宋体" w:cs="Times New Roman"/>
                <w:i/>
                <w:iCs/>
                <w:sz w:val="21"/>
                <w:szCs w:val="21"/>
              </w:rPr>
              <w:t>Rana amurensisBoulenger</w:t>
            </w:r>
          </w:p>
        </w:tc>
        <w:tc>
          <w:tcPr>
            <w:tcW w:w="865" w:type="dxa"/>
            <w:noWrap/>
            <w:vAlign w:val="center"/>
          </w:tcPr>
          <w:p w14:paraId="46E0032F">
            <w:pPr>
              <w:spacing w:line="240" w:lineRule="auto"/>
              <w:ind w:firstLine="0" w:firstLineChars="0"/>
              <w:jc w:val="center"/>
              <w:rPr>
                <w:rFonts w:hAnsi="Times New Roman" w:eastAsia="宋体" w:cs="Times New Roman"/>
                <w:sz w:val="21"/>
                <w:szCs w:val="21"/>
              </w:rPr>
            </w:pPr>
            <w:r>
              <w:rPr>
                <w:rFonts w:hAnsi="Times New Roman" w:eastAsia="宋体" w:cs="Times New Roman"/>
                <w:sz w:val="21"/>
                <w:szCs w:val="21"/>
              </w:rPr>
              <w:t>F B G R</w:t>
            </w:r>
          </w:p>
        </w:tc>
        <w:tc>
          <w:tcPr>
            <w:tcW w:w="765" w:type="dxa"/>
            <w:noWrap/>
            <w:vAlign w:val="center"/>
          </w:tcPr>
          <w:p w14:paraId="16D8AB45">
            <w:pPr>
              <w:spacing w:line="240" w:lineRule="auto"/>
              <w:ind w:firstLine="0" w:firstLineChars="0"/>
              <w:jc w:val="center"/>
              <w:rPr>
                <w:rFonts w:hAnsi="Times New Roman" w:eastAsia="宋体" w:cs="Times New Roman"/>
                <w:sz w:val="21"/>
                <w:szCs w:val="21"/>
              </w:rPr>
            </w:pPr>
            <w:r>
              <w:rPr>
                <w:rFonts w:hAnsi="Times New Roman" w:eastAsia="宋体" w:cs="Times New Roman"/>
                <w:sz w:val="21"/>
                <w:szCs w:val="21"/>
              </w:rPr>
              <w:t>+++</w:t>
            </w:r>
          </w:p>
        </w:tc>
        <w:tc>
          <w:tcPr>
            <w:tcW w:w="887" w:type="dxa"/>
            <w:noWrap/>
            <w:vAlign w:val="center"/>
          </w:tcPr>
          <w:p w14:paraId="1A59BB7E">
            <w:pPr>
              <w:spacing w:line="240" w:lineRule="auto"/>
              <w:ind w:firstLine="0" w:firstLineChars="0"/>
              <w:jc w:val="center"/>
              <w:rPr>
                <w:rFonts w:hAnsi="Times New Roman" w:eastAsia="宋体" w:cs="Times New Roman"/>
                <w:sz w:val="21"/>
                <w:szCs w:val="21"/>
              </w:rPr>
            </w:pPr>
          </w:p>
        </w:tc>
        <w:tc>
          <w:tcPr>
            <w:tcW w:w="1217" w:type="dxa"/>
            <w:noWrap/>
            <w:vAlign w:val="center"/>
          </w:tcPr>
          <w:p w14:paraId="1B6D2AA1">
            <w:pPr>
              <w:spacing w:line="240" w:lineRule="auto"/>
              <w:ind w:firstLine="0" w:firstLineChars="0"/>
              <w:jc w:val="center"/>
              <w:rPr>
                <w:rFonts w:hAnsi="Times New Roman" w:eastAsia="宋体" w:cs="Times New Roman"/>
                <w:sz w:val="21"/>
                <w:szCs w:val="21"/>
              </w:rPr>
            </w:pPr>
            <w:r>
              <w:rPr>
                <w:rFonts w:hAnsi="Times New Roman" w:eastAsia="宋体" w:cs="Times New Roman"/>
                <w:sz w:val="21"/>
                <w:szCs w:val="21"/>
              </w:rPr>
              <w:t>P</w:t>
            </w:r>
          </w:p>
        </w:tc>
      </w:tr>
    </w:tbl>
    <w:p w14:paraId="6F6AF2AC">
      <w:pPr>
        <w:spacing w:line="240" w:lineRule="auto"/>
        <w:ind w:firstLine="0" w:firstLineChars="0"/>
        <w:rPr>
          <w:sz w:val="21"/>
          <w:szCs w:val="21"/>
        </w:rPr>
      </w:pPr>
      <w:r>
        <w:rPr>
          <w:sz w:val="21"/>
          <w:szCs w:val="21"/>
        </w:rPr>
        <w:t>注：栖息生境：F表示森林</w:t>
      </w:r>
      <w:r>
        <w:rPr>
          <w:rFonts w:hint="eastAsia"/>
          <w:sz w:val="21"/>
          <w:szCs w:val="21"/>
        </w:rPr>
        <w:t>；</w:t>
      </w:r>
      <w:r>
        <w:rPr>
          <w:sz w:val="21"/>
          <w:szCs w:val="21"/>
        </w:rPr>
        <w:t>B表示灌丛</w:t>
      </w:r>
      <w:r>
        <w:rPr>
          <w:rFonts w:hint="eastAsia"/>
          <w:sz w:val="21"/>
          <w:szCs w:val="21"/>
        </w:rPr>
        <w:t>；</w:t>
      </w:r>
      <w:r>
        <w:rPr>
          <w:sz w:val="21"/>
          <w:szCs w:val="21"/>
        </w:rPr>
        <w:t>G表示草甸草地</w:t>
      </w:r>
      <w:r>
        <w:rPr>
          <w:rFonts w:hint="eastAsia"/>
          <w:sz w:val="21"/>
          <w:szCs w:val="21"/>
        </w:rPr>
        <w:t>；</w:t>
      </w:r>
      <w:r>
        <w:rPr>
          <w:sz w:val="21"/>
          <w:szCs w:val="21"/>
        </w:rPr>
        <w:t>R表示河流沼泽</w:t>
      </w:r>
      <w:r>
        <w:rPr>
          <w:rFonts w:hint="eastAsia"/>
          <w:sz w:val="21"/>
          <w:szCs w:val="21"/>
        </w:rPr>
        <w:t>；</w:t>
      </w:r>
      <w:r>
        <w:rPr>
          <w:sz w:val="21"/>
          <w:szCs w:val="21"/>
        </w:rPr>
        <w:t>M表示农田居民点</w:t>
      </w:r>
      <w:r>
        <w:rPr>
          <w:rFonts w:hint="eastAsia"/>
          <w:sz w:val="21"/>
          <w:szCs w:val="21"/>
        </w:rPr>
        <w:t>；</w:t>
      </w:r>
    </w:p>
    <w:p w14:paraId="68A111BB">
      <w:pPr>
        <w:spacing w:line="240" w:lineRule="auto"/>
        <w:ind w:firstLine="420"/>
        <w:rPr>
          <w:sz w:val="21"/>
          <w:szCs w:val="21"/>
        </w:rPr>
      </w:pPr>
      <w:r>
        <w:rPr>
          <w:sz w:val="21"/>
          <w:szCs w:val="21"/>
        </w:rPr>
        <w:t>数</w:t>
      </w:r>
      <w:r>
        <w:rPr>
          <w:rFonts w:hint="eastAsia"/>
          <w:sz w:val="21"/>
          <w:szCs w:val="21"/>
        </w:rPr>
        <w:t xml:space="preserve">    量：</w:t>
      </w:r>
      <w:r>
        <w:rPr>
          <w:sz w:val="21"/>
          <w:szCs w:val="21"/>
        </w:rPr>
        <w:t>+++—</w:t>
      </w:r>
      <w:r>
        <w:rPr>
          <w:rFonts w:hint="eastAsia"/>
          <w:sz w:val="21"/>
          <w:szCs w:val="21"/>
        </w:rPr>
        <w:t>优势种；</w:t>
      </w:r>
      <w:r>
        <w:rPr>
          <w:sz w:val="21"/>
          <w:szCs w:val="21"/>
        </w:rPr>
        <w:t>++—</w:t>
      </w:r>
      <w:r>
        <w:rPr>
          <w:rFonts w:hint="eastAsia"/>
          <w:sz w:val="21"/>
          <w:szCs w:val="21"/>
        </w:rPr>
        <w:t>常见种；</w:t>
      </w:r>
      <w:r>
        <w:rPr>
          <w:sz w:val="21"/>
          <w:szCs w:val="21"/>
        </w:rPr>
        <w:t>+—</w:t>
      </w:r>
      <w:r>
        <w:rPr>
          <w:rFonts w:hint="eastAsia"/>
          <w:sz w:val="21"/>
          <w:szCs w:val="21"/>
        </w:rPr>
        <w:t>稀有种；</w:t>
      </w:r>
      <w:r>
        <w:rPr>
          <w:sz w:val="21"/>
          <w:szCs w:val="21"/>
        </w:rPr>
        <w:t>O—</w:t>
      </w:r>
      <w:r>
        <w:rPr>
          <w:rFonts w:hint="eastAsia"/>
          <w:sz w:val="21"/>
          <w:szCs w:val="21"/>
        </w:rPr>
        <w:t>绝迹或文献记载；</w:t>
      </w:r>
    </w:p>
    <w:p w14:paraId="34E34024">
      <w:pPr>
        <w:spacing w:line="240" w:lineRule="auto"/>
        <w:ind w:firstLine="420"/>
        <w:rPr>
          <w:sz w:val="21"/>
          <w:szCs w:val="21"/>
        </w:rPr>
      </w:pPr>
      <w:r>
        <w:rPr>
          <w:sz w:val="21"/>
          <w:szCs w:val="21"/>
        </w:rPr>
        <w:t>区    系：P—古北种；O—东洋种；C—广布种</w:t>
      </w:r>
      <w:r>
        <w:rPr>
          <w:rFonts w:hint="eastAsia"/>
          <w:sz w:val="21"/>
          <w:szCs w:val="21"/>
        </w:rPr>
        <w:t>；</w:t>
      </w:r>
    </w:p>
    <w:p w14:paraId="1EAA53CF">
      <w:pPr>
        <w:spacing w:line="240" w:lineRule="auto"/>
        <w:ind w:firstLine="420"/>
        <w:rPr>
          <w:sz w:val="21"/>
          <w:szCs w:val="21"/>
        </w:rPr>
      </w:pPr>
      <w:r>
        <w:rPr>
          <w:sz w:val="21"/>
          <w:szCs w:val="21"/>
        </w:rPr>
        <w:t>保护情况：一：表示国家一级保护动物</w:t>
      </w:r>
      <w:r>
        <w:rPr>
          <w:rFonts w:hint="eastAsia"/>
          <w:sz w:val="21"/>
          <w:szCs w:val="21"/>
        </w:rPr>
        <w:t>；</w:t>
      </w:r>
      <w:r>
        <w:rPr>
          <w:sz w:val="21"/>
          <w:szCs w:val="21"/>
        </w:rPr>
        <w:t>二：表示国家二级保护动物。</w:t>
      </w:r>
    </w:p>
    <w:p w14:paraId="60E6DBD2">
      <w:pPr>
        <w:ind w:firstLine="480"/>
      </w:pPr>
      <w:r>
        <w:rPr>
          <w:rFonts w:hint="eastAsia"/>
        </w:rPr>
        <w:t>（3）鸟类</w:t>
      </w:r>
      <w:bookmarkEnd w:id="336"/>
    </w:p>
    <w:p w14:paraId="7F31DF1D">
      <w:pPr>
        <w:ind w:firstLine="480"/>
      </w:pPr>
      <w:bookmarkStart w:id="337" w:name="_Toc29765"/>
      <w:r>
        <w:rPr>
          <w:rFonts w:hint="eastAsia"/>
        </w:rPr>
        <w:t>1）鸟类区系分析</w:t>
      </w:r>
    </w:p>
    <w:p w14:paraId="0CCFB9D0">
      <w:pPr>
        <w:ind w:firstLine="480"/>
      </w:pPr>
      <w:r>
        <w:rPr>
          <w:rFonts w:hAnsi="Times New Roman" w:cs="Times New Roman"/>
        </w:rPr>
        <w:t>评价区中存在</w:t>
      </w:r>
      <w:r>
        <w:rPr>
          <w:rFonts w:hint="eastAsia" w:hAnsi="Times New Roman" w:cs="Times New Roman"/>
        </w:rPr>
        <w:t>大面积</w:t>
      </w:r>
      <w:r>
        <w:rPr>
          <w:rFonts w:hAnsi="Times New Roman" w:cs="Times New Roman"/>
        </w:rPr>
        <w:t>森林，因此</w:t>
      </w:r>
      <w:r>
        <w:rPr>
          <w:rFonts w:hint="eastAsia" w:hAnsi="Times New Roman" w:cs="Times New Roman"/>
        </w:rPr>
        <w:t>，</w:t>
      </w:r>
      <w:r>
        <w:rPr>
          <w:rFonts w:hAnsi="Times New Roman" w:cs="Times New Roman"/>
        </w:rPr>
        <w:t>鸟类资源较丰富，</w:t>
      </w:r>
      <w:r>
        <w:rPr>
          <w:rFonts w:hint="eastAsia"/>
        </w:rPr>
        <w:t>鸟类为14目24科37种，鸟类区系组成以古北界和广布种为主，本地区在区系组成上的这一特点，与东北地区整体区系特点基本一致。其中古北种21种，占种数的56.41%，广布种16种，占种数的43.59%。</w:t>
      </w:r>
    </w:p>
    <w:p w14:paraId="6973E592">
      <w:pPr>
        <w:pStyle w:val="178"/>
      </w:pPr>
      <w:r>
        <w:t>表4.3-</w:t>
      </w:r>
      <w:r>
        <w:rPr>
          <w:rFonts w:hint="eastAsia"/>
        </w:rPr>
        <w:t>16</w:t>
      </w:r>
      <w:r>
        <w:t xml:space="preserve">  评价区鸟类区系组成分析</w:t>
      </w:r>
    </w:p>
    <w:tbl>
      <w:tblPr>
        <w:tblStyle w:val="36"/>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184"/>
        <w:gridCol w:w="1061"/>
        <w:gridCol w:w="1245"/>
        <w:gridCol w:w="1245"/>
        <w:gridCol w:w="1245"/>
        <w:gridCol w:w="1246"/>
        <w:gridCol w:w="1246"/>
      </w:tblGrid>
      <w:tr w14:paraId="20A4882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99" w:type="pct"/>
            <w:noWrap/>
            <w:vAlign w:val="center"/>
          </w:tcPr>
          <w:p w14:paraId="0ABA00BD">
            <w:pPr>
              <w:pStyle w:val="179"/>
              <w:rPr>
                <w:b/>
              </w:rPr>
            </w:pPr>
            <w:r>
              <w:rPr>
                <w:rFonts w:hint="eastAsia"/>
                <w:b/>
              </w:rPr>
              <w:t>区系类型</w:t>
            </w:r>
          </w:p>
        </w:tc>
        <w:tc>
          <w:tcPr>
            <w:tcW w:w="1360" w:type="pct"/>
            <w:gridSpan w:val="2"/>
            <w:noWrap/>
            <w:vAlign w:val="center"/>
          </w:tcPr>
          <w:p w14:paraId="78ABADD3">
            <w:pPr>
              <w:pStyle w:val="179"/>
              <w:rPr>
                <w:b/>
              </w:rPr>
            </w:pPr>
            <w:r>
              <w:rPr>
                <w:rFonts w:hint="eastAsia"/>
                <w:b/>
              </w:rPr>
              <w:t>非雀形目</w:t>
            </w:r>
          </w:p>
        </w:tc>
        <w:tc>
          <w:tcPr>
            <w:tcW w:w="1470" w:type="pct"/>
            <w:gridSpan w:val="2"/>
            <w:noWrap/>
            <w:vAlign w:val="center"/>
          </w:tcPr>
          <w:p w14:paraId="7F9CD609">
            <w:pPr>
              <w:pStyle w:val="179"/>
              <w:rPr>
                <w:b/>
              </w:rPr>
            </w:pPr>
            <w:r>
              <w:rPr>
                <w:rFonts w:hint="eastAsia"/>
                <w:b/>
              </w:rPr>
              <w:t>雀形目</w:t>
            </w:r>
          </w:p>
        </w:tc>
        <w:tc>
          <w:tcPr>
            <w:tcW w:w="1471" w:type="pct"/>
            <w:gridSpan w:val="2"/>
            <w:noWrap/>
            <w:vAlign w:val="center"/>
          </w:tcPr>
          <w:p w14:paraId="7904C83D">
            <w:pPr>
              <w:pStyle w:val="179"/>
              <w:rPr>
                <w:b/>
              </w:rPr>
            </w:pPr>
            <w:r>
              <w:rPr>
                <w:rFonts w:hint="eastAsia"/>
                <w:b/>
              </w:rPr>
              <w:t>合计</w:t>
            </w:r>
          </w:p>
        </w:tc>
      </w:tr>
      <w:tr w14:paraId="4F1CF2C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99" w:type="pct"/>
            <w:noWrap/>
            <w:vAlign w:val="center"/>
          </w:tcPr>
          <w:p w14:paraId="298F8402">
            <w:pPr>
              <w:pStyle w:val="179"/>
            </w:pPr>
            <w:r>
              <w:rPr>
                <w:rFonts w:hint="eastAsia"/>
              </w:rPr>
              <w:t>古北种</w:t>
            </w:r>
          </w:p>
        </w:tc>
        <w:tc>
          <w:tcPr>
            <w:tcW w:w="626" w:type="pct"/>
            <w:noWrap/>
            <w:vAlign w:val="center"/>
          </w:tcPr>
          <w:p w14:paraId="7594C357">
            <w:pPr>
              <w:pStyle w:val="179"/>
            </w:pPr>
            <w:r>
              <w:rPr>
                <w:rFonts w:hint="eastAsia"/>
              </w:rPr>
              <w:t>8</w:t>
            </w:r>
          </w:p>
        </w:tc>
        <w:tc>
          <w:tcPr>
            <w:tcW w:w="735" w:type="pct"/>
            <w:noWrap/>
            <w:vAlign w:val="center"/>
          </w:tcPr>
          <w:p w14:paraId="1417EDC2">
            <w:pPr>
              <w:pStyle w:val="179"/>
            </w:pPr>
            <w:r>
              <w:rPr>
                <w:rFonts w:hint="eastAsia"/>
              </w:rPr>
              <w:t>23.08</w:t>
            </w:r>
          </w:p>
        </w:tc>
        <w:tc>
          <w:tcPr>
            <w:tcW w:w="735" w:type="pct"/>
            <w:noWrap/>
            <w:vAlign w:val="center"/>
          </w:tcPr>
          <w:p w14:paraId="70C649A4">
            <w:pPr>
              <w:pStyle w:val="179"/>
            </w:pPr>
            <w:r>
              <w:rPr>
                <w:rFonts w:hint="eastAsia"/>
              </w:rPr>
              <w:t>13</w:t>
            </w:r>
          </w:p>
        </w:tc>
        <w:tc>
          <w:tcPr>
            <w:tcW w:w="735" w:type="pct"/>
            <w:noWrap/>
            <w:vAlign w:val="center"/>
          </w:tcPr>
          <w:p w14:paraId="68987AD2">
            <w:pPr>
              <w:pStyle w:val="179"/>
            </w:pPr>
            <w:r>
              <w:rPr>
                <w:rFonts w:hint="eastAsia"/>
              </w:rPr>
              <w:t>33.33</w:t>
            </w:r>
          </w:p>
        </w:tc>
        <w:tc>
          <w:tcPr>
            <w:tcW w:w="735" w:type="pct"/>
            <w:noWrap/>
            <w:vAlign w:val="center"/>
          </w:tcPr>
          <w:p w14:paraId="711AB46F">
            <w:pPr>
              <w:pStyle w:val="179"/>
            </w:pPr>
            <w:r>
              <w:rPr>
                <w:rFonts w:hint="eastAsia"/>
              </w:rPr>
              <w:t>21</w:t>
            </w:r>
          </w:p>
        </w:tc>
        <w:tc>
          <w:tcPr>
            <w:tcW w:w="737" w:type="pct"/>
            <w:noWrap/>
            <w:vAlign w:val="center"/>
          </w:tcPr>
          <w:p w14:paraId="54C967D6">
            <w:pPr>
              <w:pStyle w:val="179"/>
            </w:pPr>
            <w:r>
              <w:rPr>
                <w:rFonts w:hint="eastAsia"/>
              </w:rPr>
              <w:t>56.41</w:t>
            </w:r>
          </w:p>
        </w:tc>
      </w:tr>
      <w:tr w14:paraId="2B2CC2E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99" w:type="pct"/>
            <w:noWrap/>
            <w:vAlign w:val="center"/>
          </w:tcPr>
          <w:p w14:paraId="264A27B1">
            <w:pPr>
              <w:pStyle w:val="179"/>
            </w:pPr>
            <w:r>
              <w:rPr>
                <w:rFonts w:hint="eastAsia"/>
              </w:rPr>
              <w:t>广布种</w:t>
            </w:r>
          </w:p>
        </w:tc>
        <w:tc>
          <w:tcPr>
            <w:tcW w:w="626" w:type="pct"/>
            <w:noWrap/>
            <w:vAlign w:val="center"/>
          </w:tcPr>
          <w:p w14:paraId="08E44E24">
            <w:pPr>
              <w:pStyle w:val="179"/>
            </w:pPr>
            <w:r>
              <w:rPr>
                <w:rFonts w:hint="eastAsia"/>
              </w:rPr>
              <w:t>11</w:t>
            </w:r>
          </w:p>
        </w:tc>
        <w:tc>
          <w:tcPr>
            <w:tcW w:w="735" w:type="pct"/>
            <w:noWrap/>
            <w:vAlign w:val="center"/>
          </w:tcPr>
          <w:p w14:paraId="10F2888D">
            <w:pPr>
              <w:pStyle w:val="179"/>
            </w:pPr>
            <w:r>
              <w:rPr>
                <w:rFonts w:hint="eastAsia"/>
              </w:rPr>
              <w:t>30.77</w:t>
            </w:r>
          </w:p>
        </w:tc>
        <w:tc>
          <w:tcPr>
            <w:tcW w:w="735" w:type="pct"/>
            <w:noWrap/>
            <w:vAlign w:val="center"/>
          </w:tcPr>
          <w:p w14:paraId="2424E0DF">
            <w:pPr>
              <w:pStyle w:val="179"/>
            </w:pPr>
            <w:r>
              <w:rPr>
                <w:rFonts w:hint="eastAsia"/>
              </w:rPr>
              <w:t>5</w:t>
            </w:r>
          </w:p>
        </w:tc>
        <w:tc>
          <w:tcPr>
            <w:tcW w:w="735" w:type="pct"/>
            <w:noWrap/>
            <w:vAlign w:val="center"/>
          </w:tcPr>
          <w:p w14:paraId="0CFC0564">
            <w:pPr>
              <w:pStyle w:val="179"/>
            </w:pPr>
            <w:r>
              <w:rPr>
                <w:rFonts w:hint="eastAsia"/>
              </w:rPr>
              <w:t>12.82</w:t>
            </w:r>
          </w:p>
        </w:tc>
        <w:tc>
          <w:tcPr>
            <w:tcW w:w="735" w:type="pct"/>
            <w:noWrap/>
            <w:vAlign w:val="center"/>
          </w:tcPr>
          <w:p w14:paraId="2F1CA303">
            <w:pPr>
              <w:pStyle w:val="179"/>
            </w:pPr>
            <w:r>
              <w:rPr>
                <w:rFonts w:hint="eastAsia"/>
              </w:rPr>
              <w:t>16</w:t>
            </w:r>
          </w:p>
        </w:tc>
        <w:tc>
          <w:tcPr>
            <w:tcW w:w="737" w:type="pct"/>
            <w:noWrap/>
            <w:vAlign w:val="center"/>
          </w:tcPr>
          <w:p w14:paraId="56A27296">
            <w:pPr>
              <w:pStyle w:val="179"/>
            </w:pPr>
            <w:r>
              <w:rPr>
                <w:rFonts w:hint="eastAsia"/>
              </w:rPr>
              <w:t>43.59</w:t>
            </w:r>
          </w:p>
        </w:tc>
      </w:tr>
      <w:tr w14:paraId="005CB7A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99" w:type="pct"/>
            <w:noWrap/>
            <w:vAlign w:val="center"/>
          </w:tcPr>
          <w:p w14:paraId="2E7947D2">
            <w:pPr>
              <w:pStyle w:val="179"/>
            </w:pPr>
            <w:r>
              <w:rPr>
                <w:rFonts w:hint="eastAsia"/>
              </w:rPr>
              <w:t>东洋种</w:t>
            </w:r>
          </w:p>
        </w:tc>
        <w:tc>
          <w:tcPr>
            <w:tcW w:w="626" w:type="pct"/>
            <w:noWrap/>
            <w:vAlign w:val="center"/>
          </w:tcPr>
          <w:p w14:paraId="478FF165">
            <w:pPr>
              <w:pStyle w:val="179"/>
            </w:pPr>
            <w:r>
              <w:rPr>
                <w:rFonts w:hint="eastAsia"/>
              </w:rPr>
              <w:t>0</w:t>
            </w:r>
          </w:p>
        </w:tc>
        <w:tc>
          <w:tcPr>
            <w:tcW w:w="735" w:type="pct"/>
            <w:noWrap/>
            <w:vAlign w:val="center"/>
          </w:tcPr>
          <w:p w14:paraId="571DE851">
            <w:pPr>
              <w:pStyle w:val="179"/>
            </w:pPr>
            <w:r>
              <w:rPr>
                <w:rFonts w:hint="eastAsia"/>
              </w:rPr>
              <w:t>0</w:t>
            </w:r>
          </w:p>
        </w:tc>
        <w:tc>
          <w:tcPr>
            <w:tcW w:w="735" w:type="pct"/>
            <w:noWrap/>
            <w:vAlign w:val="center"/>
          </w:tcPr>
          <w:p w14:paraId="30444FA8">
            <w:pPr>
              <w:pStyle w:val="179"/>
            </w:pPr>
            <w:r>
              <w:rPr>
                <w:rFonts w:hint="eastAsia"/>
              </w:rPr>
              <w:t>0</w:t>
            </w:r>
          </w:p>
        </w:tc>
        <w:tc>
          <w:tcPr>
            <w:tcW w:w="735" w:type="pct"/>
            <w:noWrap/>
            <w:vAlign w:val="center"/>
          </w:tcPr>
          <w:p w14:paraId="2C77C24B">
            <w:pPr>
              <w:pStyle w:val="179"/>
            </w:pPr>
            <w:r>
              <w:rPr>
                <w:rFonts w:hint="eastAsia"/>
              </w:rPr>
              <w:t>0</w:t>
            </w:r>
          </w:p>
        </w:tc>
        <w:tc>
          <w:tcPr>
            <w:tcW w:w="735" w:type="pct"/>
            <w:noWrap/>
            <w:vAlign w:val="center"/>
          </w:tcPr>
          <w:p w14:paraId="2924C09A">
            <w:pPr>
              <w:pStyle w:val="179"/>
            </w:pPr>
            <w:r>
              <w:rPr>
                <w:rFonts w:hint="eastAsia"/>
              </w:rPr>
              <w:t>0</w:t>
            </w:r>
          </w:p>
        </w:tc>
        <w:tc>
          <w:tcPr>
            <w:tcW w:w="737" w:type="pct"/>
            <w:noWrap/>
            <w:vAlign w:val="center"/>
          </w:tcPr>
          <w:p w14:paraId="7F708BEC">
            <w:pPr>
              <w:pStyle w:val="179"/>
            </w:pPr>
            <w:r>
              <w:rPr>
                <w:rFonts w:hint="eastAsia"/>
              </w:rPr>
              <w:t>0</w:t>
            </w:r>
          </w:p>
        </w:tc>
      </w:tr>
      <w:tr w14:paraId="3DED52F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99" w:type="pct"/>
            <w:noWrap/>
            <w:vAlign w:val="center"/>
          </w:tcPr>
          <w:p w14:paraId="4EC4500C">
            <w:pPr>
              <w:pStyle w:val="179"/>
            </w:pPr>
            <w:r>
              <w:rPr>
                <w:rFonts w:hint="eastAsia"/>
              </w:rPr>
              <w:t>合计</w:t>
            </w:r>
          </w:p>
        </w:tc>
        <w:tc>
          <w:tcPr>
            <w:tcW w:w="626" w:type="pct"/>
            <w:noWrap/>
            <w:vAlign w:val="center"/>
          </w:tcPr>
          <w:p w14:paraId="1FBDB73A">
            <w:pPr>
              <w:pStyle w:val="179"/>
            </w:pPr>
            <w:r>
              <w:rPr>
                <w:rFonts w:hint="eastAsia"/>
              </w:rPr>
              <w:t>19</w:t>
            </w:r>
          </w:p>
        </w:tc>
        <w:tc>
          <w:tcPr>
            <w:tcW w:w="735" w:type="pct"/>
            <w:noWrap/>
            <w:vAlign w:val="center"/>
          </w:tcPr>
          <w:p w14:paraId="50053D30">
            <w:pPr>
              <w:pStyle w:val="179"/>
            </w:pPr>
            <w:r>
              <w:rPr>
                <w:rFonts w:hint="eastAsia"/>
              </w:rPr>
              <w:t>53.85</w:t>
            </w:r>
          </w:p>
        </w:tc>
        <w:tc>
          <w:tcPr>
            <w:tcW w:w="735" w:type="pct"/>
            <w:noWrap/>
            <w:vAlign w:val="center"/>
          </w:tcPr>
          <w:p w14:paraId="063D4628">
            <w:pPr>
              <w:pStyle w:val="179"/>
            </w:pPr>
            <w:r>
              <w:rPr>
                <w:rFonts w:hint="eastAsia"/>
              </w:rPr>
              <w:t>18</w:t>
            </w:r>
          </w:p>
        </w:tc>
        <w:tc>
          <w:tcPr>
            <w:tcW w:w="735" w:type="pct"/>
            <w:noWrap/>
            <w:vAlign w:val="center"/>
          </w:tcPr>
          <w:p w14:paraId="7424BBFF">
            <w:pPr>
              <w:pStyle w:val="179"/>
            </w:pPr>
            <w:r>
              <w:rPr>
                <w:rFonts w:hint="eastAsia"/>
              </w:rPr>
              <w:t>46.15</w:t>
            </w:r>
          </w:p>
        </w:tc>
        <w:tc>
          <w:tcPr>
            <w:tcW w:w="735" w:type="pct"/>
            <w:noWrap/>
            <w:vAlign w:val="center"/>
          </w:tcPr>
          <w:p w14:paraId="5F3C4DE3">
            <w:pPr>
              <w:pStyle w:val="179"/>
            </w:pPr>
            <w:r>
              <w:rPr>
                <w:rFonts w:hint="eastAsia"/>
              </w:rPr>
              <w:t>37</w:t>
            </w:r>
          </w:p>
        </w:tc>
        <w:tc>
          <w:tcPr>
            <w:tcW w:w="737" w:type="pct"/>
            <w:noWrap/>
            <w:vAlign w:val="center"/>
          </w:tcPr>
          <w:p w14:paraId="6E844C2E">
            <w:pPr>
              <w:pStyle w:val="179"/>
            </w:pPr>
            <w:r>
              <w:rPr>
                <w:rFonts w:hint="eastAsia"/>
              </w:rPr>
              <w:t>100</w:t>
            </w:r>
          </w:p>
        </w:tc>
      </w:tr>
    </w:tbl>
    <w:p w14:paraId="0E05AC32">
      <w:pPr>
        <w:ind w:firstLine="480"/>
      </w:pPr>
      <w:r>
        <w:rPr>
          <w:rFonts w:hint="eastAsia"/>
        </w:rPr>
        <w:t>从居留型上看，评价区鸟类中的夏候鸟最多，20种，占鸟类种数的51.28%，其中雀形目夏候鸟6种，占夏候鸟鸟类种数的30%。留鸟10种，占评价区鸟类种数的25.64%，其中雀形目留鸟6种，占留鸟鸟类种数的60%。旅鸟8种，占鸟类种数的20.51%。冬候鸟1种，占鸟类种数的2.56%。调查期间未见评价区有迷鸟出现。</w:t>
      </w:r>
    </w:p>
    <w:p w14:paraId="0DD7684A">
      <w:pPr>
        <w:pStyle w:val="178"/>
      </w:pPr>
      <w:r>
        <w:t>表4.3-</w:t>
      </w:r>
      <w:r>
        <w:rPr>
          <w:rFonts w:hint="eastAsia"/>
        </w:rPr>
        <w:t>17</w:t>
      </w:r>
      <w:r>
        <w:t xml:space="preserve">  评价区鸟类名录</w:t>
      </w:r>
    </w:p>
    <w:tbl>
      <w:tblPr>
        <w:tblStyle w:val="36"/>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57" w:type="dxa"/>
          <w:bottom w:w="0" w:type="dxa"/>
          <w:right w:w="57" w:type="dxa"/>
        </w:tblCellMar>
      </w:tblPr>
      <w:tblGrid>
        <w:gridCol w:w="1191"/>
        <w:gridCol w:w="2977"/>
        <w:gridCol w:w="992"/>
        <w:gridCol w:w="567"/>
        <w:gridCol w:w="851"/>
        <w:gridCol w:w="663"/>
        <w:gridCol w:w="1129"/>
      </w:tblGrid>
      <w:tr w14:paraId="37D4CD0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tblHeader/>
          <w:jc w:val="center"/>
        </w:trPr>
        <w:tc>
          <w:tcPr>
            <w:tcW w:w="1191" w:type="dxa"/>
            <w:noWrap/>
            <w:vAlign w:val="center"/>
          </w:tcPr>
          <w:p w14:paraId="53C3F1FF">
            <w:pPr>
              <w:pStyle w:val="179"/>
              <w:rPr>
                <w:b/>
              </w:rPr>
            </w:pPr>
            <w:r>
              <w:rPr>
                <w:b/>
              </w:rPr>
              <w:t>序号</w:t>
            </w:r>
          </w:p>
        </w:tc>
        <w:tc>
          <w:tcPr>
            <w:tcW w:w="2977" w:type="dxa"/>
            <w:noWrap/>
            <w:vAlign w:val="center"/>
          </w:tcPr>
          <w:p w14:paraId="45F927E1">
            <w:pPr>
              <w:pStyle w:val="179"/>
              <w:rPr>
                <w:b/>
              </w:rPr>
            </w:pPr>
            <w:r>
              <w:rPr>
                <w:b/>
              </w:rPr>
              <w:t>名     称</w:t>
            </w:r>
          </w:p>
        </w:tc>
        <w:tc>
          <w:tcPr>
            <w:tcW w:w="992" w:type="dxa"/>
            <w:noWrap/>
            <w:vAlign w:val="center"/>
          </w:tcPr>
          <w:p w14:paraId="15BE65E4">
            <w:pPr>
              <w:pStyle w:val="179"/>
              <w:rPr>
                <w:b/>
              </w:rPr>
            </w:pPr>
            <w:r>
              <w:rPr>
                <w:b/>
              </w:rPr>
              <w:t>生境</w:t>
            </w:r>
          </w:p>
        </w:tc>
        <w:tc>
          <w:tcPr>
            <w:tcW w:w="567" w:type="dxa"/>
            <w:noWrap/>
            <w:vAlign w:val="center"/>
          </w:tcPr>
          <w:p w14:paraId="4B02A561">
            <w:pPr>
              <w:pStyle w:val="179"/>
              <w:rPr>
                <w:b/>
              </w:rPr>
            </w:pPr>
            <w:r>
              <w:rPr>
                <w:b/>
              </w:rPr>
              <w:t>留居</w:t>
            </w:r>
          </w:p>
        </w:tc>
        <w:tc>
          <w:tcPr>
            <w:tcW w:w="851" w:type="dxa"/>
            <w:noWrap/>
            <w:vAlign w:val="center"/>
          </w:tcPr>
          <w:p w14:paraId="0320FB63">
            <w:pPr>
              <w:pStyle w:val="179"/>
              <w:rPr>
                <w:b/>
              </w:rPr>
            </w:pPr>
            <w:r>
              <w:rPr>
                <w:b/>
              </w:rPr>
              <w:t>区系</w:t>
            </w:r>
          </w:p>
        </w:tc>
        <w:tc>
          <w:tcPr>
            <w:tcW w:w="663" w:type="dxa"/>
            <w:noWrap/>
            <w:vAlign w:val="center"/>
          </w:tcPr>
          <w:p w14:paraId="5F453A84">
            <w:pPr>
              <w:pStyle w:val="179"/>
              <w:rPr>
                <w:b/>
              </w:rPr>
            </w:pPr>
            <w:r>
              <w:rPr>
                <w:b/>
              </w:rPr>
              <w:t>数量</w:t>
            </w:r>
          </w:p>
        </w:tc>
        <w:tc>
          <w:tcPr>
            <w:tcW w:w="1129" w:type="dxa"/>
            <w:noWrap/>
            <w:vAlign w:val="center"/>
          </w:tcPr>
          <w:p w14:paraId="71C67C76">
            <w:pPr>
              <w:pStyle w:val="179"/>
              <w:rPr>
                <w:b/>
              </w:rPr>
            </w:pPr>
            <w:r>
              <w:rPr>
                <w:b/>
              </w:rPr>
              <w:t>保护级别</w:t>
            </w:r>
          </w:p>
        </w:tc>
      </w:tr>
      <w:tr w14:paraId="6446B30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2F55DCEE">
            <w:pPr>
              <w:pStyle w:val="179"/>
              <w:rPr>
                <w:b/>
              </w:rPr>
            </w:pPr>
            <w:r>
              <w:rPr>
                <w:b/>
              </w:rPr>
              <w:t>一</w:t>
            </w:r>
          </w:p>
        </w:tc>
        <w:tc>
          <w:tcPr>
            <w:tcW w:w="2977" w:type="dxa"/>
            <w:noWrap/>
            <w:vAlign w:val="center"/>
          </w:tcPr>
          <w:p w14:paraId="52B1810D">
            <w:pPr>
              <w:pStyle w:val="179"/>
              <w:rPr>
                <w:b/>
              </w:rPr>
            </w:pPr>
            <w:r>
              <w:rPr>
                <w:b/>
              </w:rPr>
              <w:t>鸡形目 GALLIFORMES</w:t>
            </w:r>
          </w:p>
        </w:tc>
        <w:tc>
          <w:tcPr>
            <w:tcW w:w="992" w:type="dxa"/>
            <w:noWrap/>
            <w:vAlign w:val="center"/>
          </w:tcPr>
          <w:p w14:paraId="6B658BDA">
            <w:pPr>
              <w:pStyle w:val="179"/>
              <w:rPr>
                <w:b/>
              </w:rPr>
            </w:pPr>
          </w:p>
        </w:tc>
        <w:tc>
          <w:tcPr>
            <w:tcW w:w="567" w:type="dxa"/>
            <w:noWrap/>
            <w:vAlign w:val="center"/>
          </w:tcPr>
          <w:p w14:paraId="46700F7C">
            <w:pPr>
              <w:pStyle w:val="179"/>
              <w:rPr>
                <w:b/>
              </w:rPr>
            </w:pPr>
          </w:p>
        </w:tc>
        <w:tc>
          <w:tcPr>
            <w:tcW w:w="851" w:type="dxa"/>
            <w:noWrap/>
            <w:vAlign w:val="center"/>
          </w:tcPr>
          <w:p w14:paraId="59C5933D">
            <w:pPr>
              <w:pStyle w:val="179"/>
              <w:rPr>
                <w:b/>
              </w:rPr>
            </w:pPr>
          </w:p>
        </w:tc>
        <w:tc>
          <w:tcPr>
            <w:tcW w:w="663" w:type="dxa"/>
            <w:noWrap/>
            <w:vAlign w:val="center"/>
          </w:tcPr>
          <w:p w14:paraId="0D7653C3">
            <w:pPr>
              <w:pStyle w:val="179"/>
              <w:rPr>
                <w:b/>
              </w:rPr>
            </w:pPr>
          </w:p>
        </w:tc>
        <w:tc>
          <w:tcPr>
            <w:tcW w:w="1129" w:type="dxa"/>
            <w:noWrap/>
            <w:vAlign w:val="center"/>
          </w:tcPr>
          <w:p w14:paraId="6525AEDC">
            <w:pPr>
              <w:pStyle w:val="179"/>
              <w:rPr>
                <w:b/>
              </w:rPr>
            </w:pPr>
          </w:p>
        </w:tc>
      </w:tr>
      <w:tr w14:paraId="607929F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11DC1E2B">
            <w:pPr>
              <w:pStyle w:val="179"/>
              <w:rPr>
                <w:b/>
              </w:rPr>
            </w:pPr>
            <w:r>
              <w:rPr>
                <w:b/>
              </w:rPr>
              <w:t>（一）</w:t>
            </w:r>
          </w:p>
        </w:tc>
        <w:tc>
          <w:tcPr>
            <w:tcW w:w="2977" w:type="dxa"/>
            <w:noWrap/>
            <w:vAlign w:val="center"/>
          </w:tcPr>
          <w:p w14:paraId="53EF13B7">
            <w:pPr>
              <w:pStyle w:val="179"/>
              <w:rPr>
                <w:b/>
              </w:rPr>
            </w:pPr>
            <w:r>
              <w:rPr>
                <w:b/>
              </w:rPr>
              <w:t>雉科 Phasianidae</w:t>
            </w:r>
          </w:p>
        </w:tc>
        <w:tc>
          <w:tcPr>
            <w:tcW w:w="992" w:type="dxa"/>
            <w:noWrap/>
            <w:vAlign w:val="center"/>
          </w:tcPr>
          <w:p w14:paraId="02CDE845">
            <w:pPr>
              <w:pStyle w:val="179"/>
              <w:rPr>
                <w:b/>
              </w:rPr>
            </w:pPr>
          </w:p>
        </w:tc>
        <w:tc>
          <w:tcPr>
            <w:tcW w:w="567" w:type="dxa"/>
            <w:noWrap/>
            <w:vAlign w:val="center"/>
          </w:tcPr>
          <w:p w14:paraId="01EDF46E">
            <w:pPr>
              <w:pStyle w:val="179"/>
              <w:rPr>
                <w:b/>
              </w:rPr>
            </w:pPr>
          </w:p>
        </w:tc>
        <w:tc>
          <w:tcPr>
            <w:tcW w:w="851" w:type="dxa"/>
            <w:noWrap/>
            <w:vAlign w:val="center"/>
          </w:tcPr>
          <w:p w14:paraId="4147E45D">
            <w:pPr>
              <w:pStyle w:val="179"/>
              <w:rPr>
                <w:b/>
              </w:rPr>
            </w:pPr>
          </w:p>
        </w:tc>
        <w:tc>
          <w:tcPr>
            <w:tcW w:w="663" w:type="dxa"/>
            <w:noWrap/>
            <w:vAlign w:val="center"/>
          </w:tcPr>
          <w:p w14:paraId="38A0F2B2">
            <w:pPr>
              <w:pStyle w:val="179"/>
              <w:rPr>
                <w:b/>
              </w:rPr>
            </w:pPr>
          </w:p>
        </w:tc>
        <w:tc>
          <w:tcPr>
            <w:tcW w:w="1129" w:type="dxa"/>
            <w:noWrap/>
            <w:vAlign w:val="center"/>
          </w:tcPr>
          <w:p w14:paraId="3F34F7E8">
            <w:pPr>
              <w:pStyle w:val="179"/>
              <w:rPr>
                <w:b/>
              </w:rPr>
            </w:pPr>
          </w:p>
        </w:tc>
      </w:tr>
      <w:tr w14:paraId="6ACFD429">
        <w:tblPrEx>
          <w:tblCellMar>
            <w:top w:w="0" w:type="dxa"/>
            <w:left w:w="57" w:type="dxa"/>
            <w:bottom w:w="0" w:type="dxa"/>
            <w:right w:w="57" w:type="dxa"/>
          </w:tblCellMar>
        </w:tblPrEx>
        <w:trPr>
          <w:cantSplit/>
          <w:trHeight w:val="340" w:hRule="atLeast"/>
          <w:jc w:val="center"/>
        </w:trPr>
        <w:tc>
          <w:tcPr>
            <w:tcW w:w="1191" w:type="dxa"/>
            <w:noWrap/>
            <w:vAlign w:val="center"/>
          </w:tcPr>
          <w:p w14:paraId="15150B53">
            <w:pPr>
              <w:pStyle w:val="179"/>
            </w:pPr>
            <w:r>
              <w:t>1</w:t>
            </w:r>
          </w:p>
        </w:tc>
        <w:tc>
          <w:tcPr>
            <w:tcW w:w="2977" w:type="dxa"/>
            <w:noWrap/>
            <w:vAlign w:val="center"/>
          </w:tcPr>
          <w:p w14:paraId="2BB181DA">
            <w:pPr>
              <w:pStyle w:val="179"/>
            </w:pPr>
            <w:r>
              <w:t xml:space="preserve">斑翅山鹑 </w:t>
            </w:r>
            <w:r>
              <w:rPr>
                <w:i/>
                <w:iCs/>
              </w:rPr>
              <w:t>Perdix dauurica</w:t>
            </w:r>
          </w:p>
        </w:tc>
        <w:tc>
          <w:tcPr>
            <w:tcW w:w="992" w:type="dxa"/>
            <w:noWrap/>
            <w:vAlign w:val="center"/>
          </w:tcPr>
          <w:p w14:paraId="42EE3F82">
            <w:pPr>
              <w:pStyle w:val="179"/>
            </w:pPr>
            <w:r>
              <w:t>G F</w:t>
            </w:r>
          </w:p>
        </w:tc>
        <w:tc>
          <w:tcPr>
            <w:tcW w:w="567" w:type="dxa"/>
            <w:noWrap/>
            <w:vAlign w:val="center"/>
          </w:tcPr>
          <w:p w14:paraId="674A1278">
            <w:pPr>
              <w:pStyle w:val="179"/>
            </w:pPr>
            <w:r>
              <w:t>R</w:t>
            </w:r>
          </w:p>
        </w:tc>
        <w:tc>
          <w:tcPr>
            <w:tcW w:w="851" w:type="dxa"/>
            <w:noWrap/>
            <w:vAlign w:val="center"/>
          </w:tcPr>
          <w:p w14:paraId="4581271B">
            <w:pPr>
              <w:pStyle w:val="179"/>
            </w:pPr>
            <w:r>
              <w:t>P</w:t>
            </w:r>
          </w:p>
        </w:tc>
        <w:tc>
          <w:tcPr>
            <w:tcW w:w="663" w:type="dxa"/>
            <w:noWrap/>
            <w:vAlign w:val="center"/>
          </w:tcPr>
          <w:p w14:paraId="3FA291B7">
            <w:pPr>
              <w:pStyle w:val="179"/>
            </w:pPr>
            <w:r>
              <w:t>++</w:t>
            </w:r>
          </w:p>
        </w:tc>
        <w:tc>
          <w:tcPr>
            <w:tcW w:w="1129" w:type="dxa"/>
            <w:noWrap/>
            <w:vAlign w:val="center"/>
          </w:tcPr>
          <w:p w14:paraId="2608F211">
            <w:pPr>
              <w:pStyle w:val="179"/>
            </w:pPr>
            <w:r>
              <w:t>Ⅲ c</w:t>
            </w:r>
          </w:p>
        </w:tc>
      </w:tr>
      <w:tr w14:paraId="0803EC0A">
        <w:tblPrEx>
          <w:tblCellMar>
            <w:top w:w="0" w:type="dxa"/>
            <w:left w:w="57" w:type="dxa"/>
            <w:bottom w:w="0" w:type="dxa"/>
            <w:right w:w="57" w:type="dxa"/>
          </w:tblCellMar>
        </w:tblPrEx>
        <w:trPr>
          <w:cantSplit/>
          <w:trHeight w:val="340" w:hRule="atLeast"/>
          <w:jc w:val="center"/>
        </w:trPr>
        <w:tc>
          <w:tcPr>
            <w:tcW w:w="1191" w:type="dxa"/>
            <w:noWrap/>
            <w:vAlign w:val="center"/>
          </w:tcPr>
          <w:p w14:paraId="68932120">
            <w:pPr>
              <w:pStyle w:val="179"/>
            </w:pPr>
            <w:r>
              <w:t>2</w:t>
            </w:r>
          </w:p>
        </w:tc>
        <w:tc>
          <w:tcPr>
            <w:tcW w:w="2977" w:type="dxa"/>
            <w:noWrap/>
            <w:vAlign w:val="center"/>
          </w:tcPr>
          <w:p w14:paraId="38C3D9FB">
            <w:pPr>
              <w:pStyle w:val="179"/>
            </w:pPr>
            <w:r>
              <w:t>鹌鹑</w:t>
            </w:r>
            <w:r>
              <w:rPr>
                <w:i/>
                <w:iCs/>
              </w:rPr>
              <w:t>Coturnix japonica</w:t>
            </w:r>
          </w:p>
        </w:tc>
        <w:tc>
          <w:tcPr>
            <w:tcW w:w="992" w:type="dxa"/>
            <w:noWrap/>
            <w:vAlign w:val="center"/>
          </w:tcPr>
          <w:p w14:paraId="74989F10">
            <w:pPr>
              <w:pStyle w:val="179"/>
            </w:pPr>
            <w:r>
              <w:t>G</w:t>
            </w:r>
          </w:p>
        </w:tc>
        <w:tc>
          <w:tcPr>
            <w:tcW w:w="567" w:type="dxa"/>
            <w:noWrap/>
            <w:vAlign w:val="center"/>
          </w:tcPr>
          <w:p w14:paraId="629B97C6">
            <w:pPr>
              <w:pStyle w:val="179"/>
            </w:pPr>
            <w:r>
              <w:t>S</w:t>
            </w:r>
          </w:p>
        </w:tc>
        <w:tc>
          <w:tcPr>
            <w:tcW w:w="851" w:type="dxa"/>
            <w:noWrap/>
            <w:vAlign w:val="center"/>
          </w:tcPr>
          <w:p w14:paraId="75E660E7">
            <w:pPr>
              <w:pStyle w:val="179"/>
            </w:pPr>
            <w:r>
              <w:t>C</w:t>
            </w:r>
          </w:p>
        </w:tc>
        <w:tc>
          <w:tcPr>
            <w:tcW w:w="663" w:type="dxa"/>
            <w:noWrap/>
            <w:vAlign w:val="center"/>
          </w:tcPr>
          <w:p w14:paraId="0142D5BA">
            <w:pPr>
              <w:pStyle w:val="179"/>
            </w:pPr>
            <w:r>
              <w:t>+++</w:t>
            </w:r>
          </w:p>
        </w:tc>
        <w:tc>
          <w:tcPr>
            <w:tcW w:w="1129" w:type="dxa"/>
            <w:noWrap/>
            <w:vAlign w:val="center"/>
          </w:tcPr>
          <w:p w14:paraId="188A3CC1">
            <w:pPr>
              <w:pStyle w:val="179"/>
            </w:pPr>
            <w:r>
              <w:t>Ⅲ Ⅴ</w:t>
            </w:r>
          </w:p>
        </w:tc>
      </w:tr>
      <w:tr w14:paraId="356B641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5AB6129F">
            <w:pPr>
              <w:pStyle w:val="179"/>
              <w:rPr>
                <w:b/>
              </w:rPr>
            </w:pPr>
            <w:r>
              <w:rPr>
                <w:b/>
              </w:rPr>
              <w:t>二</w:t>
            </w:r>
          </w:p>
        </w:tc>
        <w:tc>
          <w:tcPr>
            <w:tcW w:w="2977" w:type="dxa"/>
            <w:noWrap/>
            <w:vAlign w:val="center"/>
          </w:tcPr>
          <w:p w14:paraId="2E878345">
            <w:pPr>
              <w:pStyle w:val="179"/>
              <w:rPr>
                <w:b/>
                <w:lang w:val="nl-NL"/>
              </w:rPr>
            </w:pPr>
            <w:r>
              <w:rPr>
                <w:b/>
              </w:rPr>
              <w:t>雁形目 ANSERIFORMES</w:t>
            </w:r>
          </w:p>
        </w:tc>
        <w:tc>
          <w:tcPr>
            <w:tcW w:w="992" w:type="dxa"/>
            <w:noWrap/>
            <w:vAlign w:val="center"/>
          </w:tcPr>
          <w:p w14:paraId="465E14A4">
            <w:pPr>
              <w:pStyle w:val="179"/>
              <w:rPr>
                <w:b/>
                <w:lang w:val="nl-NL"/>
              </w:rPr>
            </w:pPr>
          </w:p>
        </w:tc>
        <w:tc>
          <w:tcPr>
            <w:tcW w:w="567" w:type="dxa"/>
            <w:noWrap/>
            <w:vAlign w:val="center"/>
          </w:tcPr>
          <w:p w14:paraId="10850C8B">
            <w:pPr>
              <w:pStyle w:val="179"/>
              <w:rPr>
                <w:b/>
                <w:lang w:val="nl-NL"/>
              </w:rPr>
            </w:pPr>
          </w:p>
        </w:tc>
        <w:tc>
          <w:tcPr>
            <w:tcW w:w="851" w:type="dxa"/>
            <w:noWrap/>
            <w:vAlign w:val="center"/>
          </w:tcPr>
          <w:p w14:paraId="5654B715">
            <w:pPr>
              <w:pStyle w:val="179"/>
              <w:rPr>
                <w:b/>
                <w:lang w:val="nl-NL"/>
              </w:rPr>
            </w:pPr>
          </w:p>
        </w:tc>
        <w:tc>
          <w:tcPr>
            <w:tcW w:w="663" w:type="dxa"/>
            <w:noWrap/>
            <w:vAlign w:val="center"/>
          </w:tcPr>
          <w:p w14:paraId="098339B1">
            <w:pPr>
              <w:pStyle w:val="179"/>
              <w:rPr>
                <w:b/>
                <w:lang w:val="nl-NL"/>
              </w:rPr>
            </w:pPr>
          </w:p>
        </w:tc>
        <w:tc>
          <w:tcPr>
            <w:tcW w:w="1129" w:type="dxa"/>
            <w:noWrap/>
            <w:vAlign w:val="center"/>
          </w:tcPr>
          <w:p w14:paraId="0C1FF00C">
            <w:pPr>
              <w:pStyle w:val="179"/>
              <w:rPr>
                <w:b/>
                <w:lang w:val="nl-NL"/>
              </w:rPr>
            </w:pPr>
          </w:p>
        </w:tc>
      </w:tr>
      <w:tr w14:paraId="0A47622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47D58A96">
            <w:pPr>
              <w:pStyle w:val="179"/>
              <w:rPr>
                <w:b/>
                <w:lang w:val="nl-NL"/>
              </w:rPr>
            </w:pPr>
            <w:r>
              <w:rPr>
                <w:b/>
              </w:rPr>
              <w:t>（二）</w:t>
            </w:r>
          </w:p>
        </w:tc>
        <w:tc>
          <w:tcPr>
            <w:tcW w:w="2977" w:type="dxa"/>
            <w:noWrap/>
            <w:vAlign w:val="center"/>
          </w:tcPr>
          <w:p w14:paraId="57B9F98E">
            <w:pPr>
              <w:pStyle w:val="179"/>
              <w:rPr>
                <w:b/>
              </w:rPr>
            </w:pPr>
            <w:r>
              <w:rPr>
                <w:b/>
              </w:rPr>
              <w:t>鸭科Anatidae</w:t>
            </w:r>
          </w:p>
        </w:tc>
        <w:tc>
          <w:tcPr>
            <w:tcW w:w="992" w:type="dxa"/>
            <w:noWrap/>
            <w:vAlign w:val="center"/>
          </w:tcPr>
          <w:p w14:paraId="5ACA7036">
            <w:pPr>
              <w:pStyle w:val="179"/>
              <w:rPr>
                <w:b/>
              </w:rPr>
            </w:pPr>
          </w:p>
        </w:tc>
        <w:tc>
          <w:tcPr>
            <w:tcW w:w="567" w:type="dxa"/>
            <w:noWrap/>
            <w:vAlign w:val="center"/>
          </w:tcPr>
          <w:p w14:paraId="602169B8">
            <w:pPr>
              <w:pStyle w:val="179"/>
              <w:rPr>
                <w:b/>
              </w:rPr>
            </w:pPr>
          </w:p>
        </w:tc>
        <w:tc>
          <w:tcPr>
            <w:tcW w:w="851" w:type="dxa"/>
            <w:noWrap/>
            <w:vAlign w:val="center"/>
          </w:tcPr>
          <w:p w14:paraId="3AAAA321">
            <w:pPr>
              <w:pStyle w:val="179"/>
              <w:rPr>
                <w:b/>
              </w:rPr>
            </w:pPr>
          </w:p>
        </w:tc>
        <w:tc>
          <w:tcPr>
            <w:tcW w:w="663" w:type="dxa"/>
            <w:noWrap/>
            <w:vAlign w:val="center"/>
          </w:tcPr>
          <w:p w14:paraId="4B981046">
            <w:pPr>
              <w:pStyle w:val="179"/>
              <w:rPr>
                <w:b/>
              </w:rPr>
            </w:pPr>
          </w:p>
        </w:tc>
        <w:tc>
          <w:tcPr>
            <w:tcW w:w="1129" w:type="dxa"/>
            <w:noWrap/>
            <w:vAlign w:val="center"/>
          </w:tcPr>
          <w:p w14:paraId="10F9C2F7">
            <w:pPr>
              <w:pStyle w:val="179"/>
              <w:rPr>
                <w:b/>
              </w:rPr>
            </w:pPr>
          </w:p>
        </w:tc>
      </w:tr>
      <w:tr w14:paraId="751678F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35412E7F">
            <w:pPr>
              <w:pStyle w:val="179"/>
            </w:pPr>
            <w:r>
              <w:t>3</w:t>
            </w:r>
          </w:p>
        </w:tc>
        <w:tc>
          <w:tcPr>
            <w:tcW w:w="2977" w:type="dxa"/>
            <w:noWrap/>
            <w:vAlign w:val="center"/>
          </w:tcPr>
          <w:p w14:paraId="7BC51121">
            <w:pPr>
              <w:pStyle w:val="179"/>
            </w:pPr>
            <w:r>
              <w:t>灰雁</w:t>
            </w:r>
            <w:r>
              <w:rPr>
                <w:i/>
                <w:iCs/>
              </w:rPr>
              <w:t>Anser anser</w:t>
            </w:r>
          </w:p>
        </w:tc>
        <w:tc>
          <w:tcPr>
            <w:tcW w:w="992" w:type="dxa"/>
            <w:noWrap/>
            <w:vAlign w:val="center"/>
          </w:tcPr>
          <w:p w14:paraId="547CD957">
            <w:pPr>
              <w:pStyle w:val="179"/>
            </w:pPr>
            <w:r>
              <w:t>W M G L</w:t>
            </w:r>
          </w:p>
        </w:tc>
        <w:tc>
          <w:tcPr>
            <w:tcW w:w="567" w:type="dxa"/>
            <w:noWrap/>
            <w:vAlign w:val="center"/>
          </w:tcPr>
          <w:p w14:paraId="0ABEB2D1">
            <w:pPr>
              <w:pStyle w:val="179"/>
            </w:pPr>
            <w:r>
              <w:t>S</w:t>
            </w:r>
          </w:p>
        </w:tc>
        <w:tc>
          <w:tcPr>
            <w:tcW w:w="851" w:type="dxa"/>
            <w:noWrap/>
            <w:vAlign w:val="center"/>
          </w:tcPr>
          <w:p w14:paraId="3BEA3EE0">
            <w:pPr>
              <w:pStyle w:val="179"/>
            </w:pPr>
            <w:r>
              <w:t>P</w:t>
            </w:r>
          </w:p>
        </w:tc>
        <w:tc>
          <w:tcPr>
            <w:tcW w:w="663" w:type="dxa"/>
            <w:noWrap/>
            <w:vAlign w:val="center"/>
          </w:tcPr>
          <w:p w14:paraId="21696994">
            <w:pPr>
              <w:pStyle w:val="179"/>
            </w:pPr>
            <w:r>
              <w:t>+</w:t>
            </w:r>
          </w:p>
        </w:tc>
        <w:tc>
          <w:tcPr>
            <w:tcW w:w="1129" w:type="dxa"/>
            <w:noWrap/>
            <w:vAlign w:val="center"/>
          </w:tcPr>
          <w:p w14:paraId="174ED88F">
            <w:pPr>
              <w:pStyle w:val="179"/>
            </w:pPr>
            <w:r>
              <w:t>Ⅲ Ⅳ</w:t>
            </w:r>
          </w:p>
        </w:tc>
      </w:tr>
      <w:tr w14:paraId="195BCFF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62DD0103">
            <w:pPr>
              <w:pStyle w:val="179"/>
            </w:pPr>
            <w:r>
              <w:t>4</w:t>
            </w:r>
          </w:p>
        </w:tc>
        <w:tc>
          <w:tcPr>
            <w:tcW w:w="2977" w:type="dxa"/>
            <w:noWrap/>
            <w:vAlign w:val="center"/>
          </w:tcPr>
          <w:p w14:paraId="45D285A0">
            <w:pPr>
              <w:pStyle w:val="179"/>
            </w:pPr>
            <w:r>
              <w:t>赤膀鸭</w:t>
            </w:r>
            <w:r>
              <w:rPr>
                <w:i/>
                <w:iCs/>
              </w:rPr>
              <w:t>Mareca strepera</w:t>
            </w:r>
          </w:p>
        </w:tc>
        <w:tc>
          <w:tcPr>
            <w:tcW w:w="992" w:type="dxa"/>
            <w:noWrap/>
            <w:vAlign w:val="center"/>
          </w:tcPr>
          <w:p w14:paraId="510C94B3">
            <w:pPr>
              <w:pStyle w:val="179"/>
            </w:pPr>
            <w:r>
              <w:t>W M</w:t>
            </w:r>
          </w:p>
        </w:tc>
        <w:tc>
          <w:tcPr>
            <w:tcW w:w="567" w:type="dxa"/>
            <w:noWrap/>
            <w:vAlign w:val="center"/>
          </w:tcPr>
          <w:p w14:paraId="5E8E0194">
            <w:pPr>
              <w:pStyle w:val="179"/>
            </w:pPr>
            <w:r>
              <w:t>S</w:t>
            </w:r>
          </w:p>
        </w:tc>
        <w:tc>
          <w:tcPr>
            <w:tcW w:w="851" w:type="dxa"/>
            <w:noWrap/>
            <w:vAlign w:val="center"/>
          </w:tcPr>
          <w:p w14:paraId="78221BAA">
            <w:pPr>
              <w:pStyle w:val="179"/>
            </w:pPr>
            <w:r>
              <w:t>C</w:t>
            </w:r>
          </w:p>
        </w:tc>
        <w:tc>
          <w:tcPr>
            <w:tcW w:w="663" w:type="dxa"/>
            <w:noWrap/>
            <w:vAlign w:val="center"/>
          </w:tcPr>
          <w:p w14:paraId="0A6A62E0">
            <w:pPr>
              <w:pStyle w:val="179"/>
            </w:pPr>
            <w:r>
              <w:t>++</w:t>
            </w:r>
          </w:p>
        </w:tc>
        <w:tc>
          <w:tcPr>
            <w:tcW w:w="1129" w:type="dxa"/>
            <w:noWrap/>
            <w:vAlign w:val="center"/>
          </w:tcPr>
          <w:p w14:paraId="36FA6A44">
            <w:pPr>
              <w:pStyle w:val="179"/>
            </w:pPr>
            <w:r>
              <w:t>Ⅲ Ⅴ</w:t>
            </w:r>
          </w:p>
        </w:tc>
      </w:tr>
      <w:tr w14:paraId="79E1D30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4B7B059B">
            <w:pPr>
              <w:pStyle w:val="179"/>
            </w:pPr>
            <w:r>
              <w:t>5</w:t>
            </w:r>
          </w:p>
        </w:tc>
        <w:tc>
          <w:tcPr>
            <w:tcW w:w="2977" w:type="dxa"/>
            <w:noWrap/>
            <w:vAlign w:val="center"/>
          </w:tcPr>
          <w:p w14:paraId="60EC28F0">
            <w:pPr>
              <w:pStyle w:val="179"/>
            </w:pPr>
            <w:r>
              <w:t>斑嘴鸭</w:t>
            </w:r>
            <w:r>
              <w:rPr>
                <w:i/>
                <w:iCs/>
              </w:rPr>
              <w:t>Anas zonorhyncha</w:t>
            </w:r>
          </w:p>
        </w:tc>
        <w:tc>
          <w:tcPr>
            <w:tcW w:w="992" w:type="dxa"/>
            <w:noWrap/>
            <w:vAlign w:val="center"/>
          </w:tcPr>
          <w:p w14:paraId="687BF7A2">
            <w:pPr>
              <w:pStyle w:val="179"/>
            </w:pPr>
            <w:r>
              <w:t>W M L</w:t>
            </w:r>
          </w:p>
        </w:tc>
        <w:tc>
          <w:tcPr>
            <w:tcW w:w="567" w:type="dxa"/>
            <w:noWrap/>
            <w:vAlign w:val="center"/>
          </w:tcPr>
          <w:p w14:paraId="75B2EBFD">
            <w:pPr>
              <w:pStyle w:val="179"/>
            </w:pPr>
            <w:r>
              <w:t>S</w:t>
            </w:r>
          </w:p>
        </w:tc>
        <w:tc>
          <w:tcPr>
            <w:tcW w:w="851" w:type="dxa"/>
            <w:noWrap/>
            <w:vAlign w:val="center"/>
          </w:tcPr>
          <w:p w14:paraId="4AFBD226">
            <w:pPr>
              <w:pStyle w:val="179"/>
            </w:pPr>
            <w:r>
              <w:t>C</w:t>
            </w:r>
          </w:p>
        </w:tc>
        <w:tc>
          <w:tcPr>
            <w:tcW w:w="663" w:type="dxa"/>
            <w:noWrap/>
            <w:vAlign w:val="center"/>
          </w:tcPr>
          <w:p w14:paraId="1C33FFB8">
            <w:pPr>
              <w:pStyle w:val="179"/>
            </w:pPr>
            <w:r>
              <w:t>++</w:t>
            </w:r>
          </w:p>
        </w:tc>
        <w:tc>
          <w:tcPr>
            <w:tcW w:w="1129" w:type="dxa"/>
            <w:noWrap/>
            <w:vAlign w:val="center"/>
          </w:tcPr>
          <w:p w14:paraId="1250155F">
            <w:pPr>
              <w:pStyle w:val="179"/>
            </w:pPr>
            <w:r>
              <w:t>Ⅲ</w:t>
            </w:r>
          </w:p>
        </w:tc>
      </w:tr>
      <w:tr w14:paraId="6F62A16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64269622">
            <w:pPr>
              <w:pStyle w:val="179"/>
              <w:rPr>
                <w:b/>
              </w:rPr>
            </w:pPr>
            <w:r>
              <w:rPr>
                <w:b/>
              </w:rPr>
              <w:t>三</w:t>
            </w:r>
          </w:p>
        </w:tc>
        <w:tc>
          <w:tcPr>
            <w:tcW w:w="2977" w:type="dxa"/>
            <w:noWrap/>
            <w:vAlign w:val="center"/>
          </w:tcPr>
          <w:p w14:paraId="139D88A7">
            <w:pPr>
              <w:pStyle w:val="179"/>
              <w:rPr>
                <w:b/>
              </w:rPr>
            </w:pPr>
            <w:r>
              <w:rPr>
                <w:b/>
              </w:rPr>
              <w:t>鸽形目 COLUMBIFORMES</w:t>
            </w:r>
          </w:p>
        </w:tc>
        <w:tc>
          <w:tcPr>
            <w:tcW w:w="992" w:type="dxa"/>
            <w:noWrap/>
            <w:vAlign w:val="center"/>
          </w:tcPr>
          <w:p w14:paraId="59F4BE87">
            <w:pPr>
              <w:pStyle w:val="179"/>
              <w:rPr>
                <w:b/>
              </w:rPr>
            </w:pPr>
          </w:p>
        </w:tc>
        <w:tc>
          <w:tcPr>
            <w:tcW w:w="567" w:type="dxa"/>
            <w:noWrap/>
            <w:vAlign w:val="center"/>
          </w:tcPr>
          <w:p w14:paraId="62CE4652">
            <w:pPr>
              <w:pStyle w:val="179"/>
              <w:rPr>
                <w:b/>
              </w:rPr>
            </w:pPr>
          </w:p>
        </w:tc>
        <w:tc>
          <w:tcPr>
            <w:tcW w:w="851" w:type="dxa"/>
            <w:noWrap/>
            <w:vAlign w:val="center"/>
          </w:tcPr>
          <w:p w14:paraId="0B746A8F">
            <w:pPr>
              <w:pStyle w:val="179"/>
              <w:rPr>
                <w:b/>
              </w:rPr>
            </w:pPr>
          </w:p>
        </w:tc>
        <w:tc>
          <w:tcPr>
            <w:tcW w:w="663" w:type="dxa"/>
            <w:noWrap/>
            <w:vAlign w:val="center"/>
          </w:tcPr>
          <w:p w14:paraId="74CDDF41">
            <w:pPr>
              <w:pStyle w:val="179"/>
              <w:rPr>
                <w:b/>
              </w:rPr>
            </w:pPr>
          </w:p>
        </w:tc>
        <w:tc>
          <w:tcPr>
            <w:tcW w:w="1129" w:type="dxa"/>
            <w:noWrap/>
            <w:vAlign w:val="center"/>
          </w:tcPr>
          <w:p w14:paraId="033DF22B">
            <w:pPr>
              <w:pStyle w:val="179"/>
              <w:rPr>
                <w:b/>
              </w:rPr>
            </w:pPr>
          </w:p>
        </w:tc>
      </w:tr>
      <w:tr w14:paraId="32710EC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699985FB">
            <w:pPr>
              <w:pStyle w:val="179"/>
              <w:rPr>
                <w:b/>
              </w:rPr>
            </w:pPr>
            <w:r>
              <w:rPr>
                <w:b/>
              </w:rPr>
              <w:t>（三）</w:t>
            </w:r>
          </w:p>
        </w:tc>
        <w:tc>
          <w:tcPr>
            <w:tcW w:w="2977" w:type="dxa"/>
            <w:noWrap/>
            <w:vAlign w:val="center"/>
          </w:tcPr>
          <w:p w14:paraId="580E597C">
            <w:pPr>
              <w:pStyle w:val="179"/>
              <w:rPr>
                <w:b/>
              </w:rPr>
            </w:pPr>
            <w:r>
              <w:rPr>
                <w:b/>
              </w:rPr>
              <w:t>鸠鸽科 Columbidae</w:t>
            </w:r>
          </w:p>
        </w:tc>
        <w:tc>
          <w:tcPr>
            <w:tcW w:w="992" w:type="dxa"/>
            <w:noWrap/>
            <w:vAlign w:val="center"/>
          </w:tcPr>
          <w:p w14:paraId="1EB72144">
            <w:pPr>
              <w:pStyle w:val="179"/>
              <w:rPr>
                <w:b/>
              </w:rPr>
            </w:pPr>
          </w:p>
        </w:tc>
        <w:tc>
          <w:tcPr>
            <w:tcW w:w="567" w:type="dxa"/>
            <w:noWrap/>
            <w:vAlign w:val="center"/>
          </w:tcPr>
          <w:p w14:paraId="0217E81D">
            <w:pPr>
              <w:pStyle w:val="179"/>
              <w:rPr>
                <w:b/>
              </w:rPr>
            </w:pPr>
          </w:p>
        </w:tc>
        <w:tc>
          <w:tcPr>
            <w:tcW w:w="851" w:type="dxa"/>
            <w:noWrap/>
            <w:vAlign w:val="center"/>
          </w:tcPr>
          <w:p w14:paraId="786F5E3F">
            <w:pPr>
              <w:pStyle w:val="179"/>
              <w:rPr>
                <w:b/>
              </w:rPr>
            </w:pPr>
          </w:p>
        </w:tc>
        <w:tc>
          <w:tcPr>
            <w:tcW w:w="663" w:type="dxa"/>
            <w:noWrap/>
            <w:vAlign w:val="center"/>
          </w:tcPr>
          <w:p w14:paraId="5CA53913">
            <w:pPr>
              <w:pStyle w:val="179"/>
              <w:rPr>
                <w:b/>
              </w:rPr>
            </w:pPr>
          </w:p>
        </w:tc>
        <w:tc>
          <w:tcPr>
            <w:tcW w:w="1129" w:type="dxa"/>
            <w:noWrap/>
            <w:vAlign w:val="center"/>
          </w:tcPr>
          <w:p w14:paraId="644A666D">
            <w:pPr>
              <w:pStyle w:val="179"/>
              <w:rPr>
                <w:b/>
              </w:rPr>
            </w:pPr>
          </w:p>
        </w:tc>
      </w:tr>
      <w:tr w14:paraId="1E2185A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558524E4">
            <w:pPr>
              <w:pStyle w:val="179"/>
            </w:pPr>
            <w:r>
              <w:t>6</w:t>
            </w:r>
          </w:p>
        </w:tc>
        <w:tc>
          <w:tcPr>
            <w:tcW w:w="2977" w:type="dxa"/>
            <w:noWrap/>
            <w:vAlign w:val="center"/>
          </w:tcPr>
          <w:p w14:paraId="3A104EC2">
            <w:pPr>
              <w:pStyle w:val="179"/>
            </w:pPr>
            <w:r>
              <w:t xml:space="preserve">山斑鸠 </w:t>
            </w:r>
            <w:r>
              <w:rPr>
                <w:i/>
                <w:iCs/>
              </w:rPr>
              <w:t>Streptopelia orientalis</w:t>
            </w:r>
          </w:p>
        </w:tc>
        <w:tc>
          <w:tcPr>
            <w:tcW w:w="992" w:type="dxa"/>
            <w:noWrap/>
            <w:vAlign w:val="center"/>
          </w:tcPr>
          <w:p w14:paraId="24DBB8D0">
            <w:pPr>
              <w:pStyle w:val="179"/>
            </w:pPr>
            <w:r>
              <w:t>F</w:t>
            </w:r>
          </w:p>
        </w:tc>
        <w:tc>
          <w:tcPr>
            <w:tcW w:w="567" w:type="dxa"/>
            <w:noWrap/>
            <w:vAlign w:val="center"/>
          </w:tcPr>
          <w:p w14:paraId="22AC8FAA">
            <w:pPr>
              <w:pStyle w:val="179"/>
            </w:pPr>
            <w:r>
              <w:t>S</w:t>
            </w:r>
          </w:p>
        </w:tc>
        <w:tc>
          <w:tcPr>
            <w:tcW w:w="851" w:type="dxa"/>
            <w:noWrap/>
            <w:vAlign w:val="center"/>
          </w:tcPr>
          <w:p w14:paraId="22420D40">
            <w:pPr>
              <w:pStyle w:val="179"/>
            </w:pPr>
            <w:r>
              <w:t>C</w:t>
            </w:r>
          </w:p>
        </w:tc>
        <w:tc>
          <w:tcPr>
            <w:tcW w:w="663" w:type="dxa"/>
            <w:noWrap/>
            <w:vAlign w:val="center"/>
          </w:tcPr>
          <w:p w14:paraId="657390DD">
            <w:pPr>
              <w:pStyle w:val="179"/>
            </w:pPr>
            <w:r>
              <w:t>+</w:t>
            </w:r>
          </w:p>
        </w:tc>
        <w:tc>
          <w:tcPr>
            <w:tcW w:w="1129" w:type="dxa"/>
            <w:noWrap/>
            <w:vAlign w:val="center"/>
          </w:tcPr>
          <w:p w14:paraId="132153DB">
            <w:pPr>
              <w:pStyle w:val="179"/>
            </w:pPr>
            <w:r>
              <w:t>Ⅲ</w:t>
            </w:r>
          </w:p>
        </w:tc>
      </w:tr>
      <w:tr w14:paraId="771D371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0DAAC40B">
            <w:pPr>
              <w:pStyle w:val="179"/>
              <w:rPr>
                <w:b/>
              </w:rPr>
            </w:pPr>
            <w:r>
              <w:rPr>
                <w:b/>
              </w:rPr>
              <w:t>四</w:t>
            </w:r>
          </w:p>
        </w:tc>
        <w:tc>
          <w:tcPr>
            <w:tcW w:w="2977" w:type="dxa"/>
            <w:noWrap/>
            <w:vAlign w:val="center"/>
          </w:tcPr>
          <w:p w14:paraId="05C9C69B">
            <w:pPr>
              <w:pStyle w:val="179"/>
              <w:rPr>
                <w:b/>
              </w:rPr>
            </w:pPr>
            <w:r>
              <w:rPr>
                <w:b/>
              </w:rPr>
              <w:t>鹃形目 CUCULIFORMES</w:t>
            </w:r>
          </w:p>
        </w:tc>
        <w:tc>
          <w:tcPr>
            <w:tcW w:w="992" w:type="dxa"/>
            <w:noWrap/>
            <w:vAlign w:val="center"/>
          </w:tcPr>
          <w:p w14:paraId="529B6B03">
            <w:pPr>
              <w:pStyle w:val="179"/>
              <w:rPr>
                <w:b/>
              </w:rPr>
            </w:pPr>
          </w:p>
        </w:tc>
        <w:tc>
          <w:tcPr>
            <w:tcW w:w="567" w:type="dxa"/>
            <w:noWrap/>
            <w:vAlign w:val="center"/>
          </w:tcPr>
          <w:p w14:paraId="4795E568">
            <w:pPr>
              <w:pStyle w:val="179"/>
              <w:rPr>
                <w:b/>
              </w:rPr>
            </w:pPr>
          </w:p>
        </w:tc>
        <w:tc>
          <w:tcPr>
            <w:tcW w:w="851" w:type="dxa"/>
            <w:noWrap/>
            <w:vAlign w:val="center"/>
          </w:tcPr>
          <w:p w14:paraId="0F0EA82B">
            <w:pPr>
              <w:pStyle w:val="179"/>
              <w:rPr>
                <w:b/>
              </w:rPr>
            </w:pPr>
          </w:p>
        </w:tc>
        <w:tc>
          <w:tcPr>
            <w:tcW w:w="663" w:type="dxa"/>
            <w:noWrap/>
            <w:vAlign w:val="center"/>
          </w:tcPr>
          <w:p w14:paraId="0348062A">
            <w:pPr>
              <w:pStyle w:val="179"/>
              <w:rPr>
                <w:b/>
              </w:rPr>
            </w:pPr>
          </w:p>
        </w:tc>
        <w:tc>
          <w:tcPr>
            <w:tcW w:w="1129" w:type="dxa"/>
            <w:noWrap/>
            <w:vAlign w:val="center"/>
          </w:tcPr>
          <w:p w14:paraId="359B99D6">
            <w:pPr>
              <w:pStyle w:val="179"/>
              <w:rPr>
                <w:b/>
              </w:rPr>
            </w:pPr>
          </w:p>
        </w:tc>
      </w:tr>
      <w:tr w14:paraId="602BAD3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735286CD">
            <w:pPr>
              <w:pStyle w:val="179"/>
              <w:rPr>
                <w:b/>
              </w:rPr>
            </w:pPr>
            <w:r>
              <w:rPr>
                <w:b/>
              </w:rPr>
              <w:t>（四）</w:t>
            </w:r>
          </w:p>
        </w:tc>
        <w:tc>
          <w:tcPr>
            <w:tcW w:w="2977" w:type="dxa"/>
            <w:noWrap/>
            <w:vAlign w:val="center"/>
          </w:tcPr>
          <w:p w14:paraId="7B7B4BAE">
            <w:pPr>
              <w:pStyle w:val="179"/>
              <w:rPr>
                <w:b/>
              </w:rPr>
            </w:pPr>
            <w:r>
              <w:rPr>
                <w:b/>
              </w:rPr>
              <w:t>杜鹃科 Cuculidae</w:t>
            </w:r>
          </w:p>
        </w:tc>
        <w:tc>
          <w:tcPr>
            <w:tcW w:w="992" w:type="dxa"/>
            <w:noWrap/>
            <w:vAlign w:val="center"/>
          </w:tcPr>
          <w:p w14:paraId="6261D52D">
            <w:pPr>
              <w:pStyle w:val="179"/>
              <w:rPr>
                <w:b/>
              </w:rPr>
            </w:pPr>
          </w:p>
        </w:tc>
        <w:tc>
          <w:tcPr>
            <w:tcW w:w="567" w:type="dxa"/>
            <w:noWrap/>
            <w:vAlign w:val="center"/>
          </w:tcPr>
          <w:p w14:paraId="4C80242F">
            <w:pPr>
              <w:pStyle w:val="179"/>
              <w:rPr>
                <w:b/>
              </w:rPr>
            </w:pPr>
          </w:p>
        </w:tc>
        <w:tc>
          <w:tcPr>
            <w:tcW w:w="851" w:type="dxa"/>
            <w:noWrap/>
            <w:vAlign w:val="center"/>
          </w:tcPr>
          <w:p w14:paraId="0ABF62DE">
            <w:pPr>
              <w:pStyle w:val="179"/>
              <w:rPr>
                <w:b/>
              </w:rPr>
            </w:pPr>
          </w:p>
        </w:tc>
        <w:tc>
          <w:tcPr>
            <w:tcW w:w="663" w:type="dxa"/>
            <w:noWrap/>
            <w:vAlign w:val="center"/>
          </w:tcPr>
          <w:p w14:paraId="3C81F194">
            <w:pPr>
              <w:pStyle w:val="179"/>
              <w:rPr>
                <w:b/>
              </w:rPr>
            </w:pPr>
          </w:p>
        </w:tc>
        <w:tc>
          <w:tcPr>
            <w:tcW w:w="1129" w:type="dxa"/>
            <w:noWrap/>
            <w:vAlign w:val="center"/>
          </w:tcPr>
          <w:p w14:paraId="473579F0">
            <w:pPr>
              <w:pStyle w:val="179"/>
              <w:rPr>
                <w:b/>
              </w:rPr>
            </w:pPr>
          </w:p>
        </w:tc>
      </w:tr>
      <w:tr w14:paraId="4D55641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475DFEB3">
            <w:pPr>
              <w:pStyle w:val="179"/>
            </w:pPr>
            <w:r>
              <w:t>7</w:t>
            </w:r>
          </w:p>
        </w:tc>
        <w:tc>
          <w:tcPr>
            <w:tcW w:w="2977" w:type="dxa"/>
            <w:noWrap/>
            <w:vAlign w:val="center"/>
          </w:tcPr>
          <w:p w14:paraId="3AF5102F">
            <w:pPr>
              <w:pStyle w:val="179"/>
            </w:pPr>
            <w:r>
              <w:t>大杜鹃</w:t>
            </w:r>
            <w:r>
              <w:rPr>
                <w:i/>
                <w:iCs/>
              </w:rPr>
              <w:t>Cuculus canorus</w:t>
            </w:r>
          </w:p>
        </w:tc>
        <w:tc>
          <w:tcPr>
            <w:tcW w:w="992" w:type="dxa"/>
            <w:noWrap/>
            <w:vAlign w:val="center"/>
          </w:tcPr>
          <w:p w14:paraId="0D22EA6E">
            <w:pPr>
              <w:pStyle w:val="179"/>
            </w:pPr>
            <w:r>
              <w:t>F</w:t>
            </w:r>
          </w:p>
        </w:tc>
        <w:tc>
          <w:tcPr>
            <w:tcW w:w="567" w:type="dxa"/>
            <w:noWrap/>
            <w:vAlign w:val="center"/>
          </w:tcPr>
          <w:p w14:paraId="792D7AA3">
            <w:pPr>
              <w:pStyle w:val="179"/>
            </w:pPr>
            <w:r>
              <w:t>S</w:t>
            </w:r>
          </w:p>
        </w:tc>
        <w:tc>
          <w:tcPr>
            <w:tcW w:w="851" w:type="dxa"/>
            <w:noWrap/>
            <w:vAlign w:val="center"/>
          </w:tcPr>
          <w:p w14:paraId="310B5938">
            <w:pPr>
              <w:pStyle w:val="179"/>
            </w:pPr>
            <w:r>
              <w:t>C</w:t>
            </w:r>
          </w:p>
        </w:tc>
        <w:tc>
          <w:tcPr>
            <w:tcW w:w="663" w:type="dxa"/>
            <w:noWrap/>
            <w:vAlign w:val="center"/>
          </w:tcPr>
          <w:p w14:paraId="54C84A32">
            <w:pPr>
              <w:pStyle w:val="179"/>
            </w:pPr>
            <w:r>
              <w:t>+</w:t>
            </w:r>
          </w:p>
        </w:tc>
        <w:tc>
          <w:tcPr>
            <w:tcW w:w="1129" w:type="dxa"/>
            <w:noWrap/>
            <w:vAlign w:val="center"/>
          </w:tcPr>
          <w:p w14:paraId="5F210B34">
            <w:pPr>
              <w:pStyle w:val="179"/>
            </w:pPr>
            <w:r>
              <w:t>Ⅲ Ⅴ</w:t>
            </w:r>
          </w:p>
        </w:tc>
      </w:tr>
      <w:tr w14:paraId="78D6B09B">
        <w:tblPrEx>
          <w:tblCellMar>
            <w:top w:w="0" w:type="dxa"/>
            <w:left w:w="57" w:type="dxa"/>
            <w:bottom w:w="0" w:type="dxa"/>
            <w:right w:w="57" w:type="dxa"/>
          </w:tblCellMar>
        </w:tblPrEx>
        <w:trPr>
          <w:cantSplit/>
          <w:trHeight w:val="340" w:hRule="atLeast"/>
          <w:jc w:val="center"/>
        </w:trPr>
        <w:tc>
          <w:tcPr>
            <w:tcW w:w="1191" w:type="dxa"/>
            <w:noWrap/>
            <w:vAlign w:val="center"/>
          </w:tcPr>
          <w:p w14:paraId="450A6DB3">
            <w:pPr>
              <w:pStyle w:val="179"/>
              <w:rPr>
                <w:b/>
              </w:rPr>
            </w:pPr>
            <w:r>
              <w:rPr>
                <w:b/>
              </w:rPr>
              <w:t>五</w:t>
            </w:r>
          </w:p>
        </w:tc>
        <w:tc>
          <w:tcPr>
            <w:tcW w:w="2977" w:type="dxa"/>
            <w:noWrap/>
            <w:vAlign w:val="center"/>
          </w:tcPr>
          <w:p w14:paraId="6F68FCEA">
            <w:pPr>
              <w:pStyle w:val="179"/>
              <w:rPr>
                <w:b/>
              </w:rPr>
            </w:pPr>
            <w:r>
              <w:rPr>
                <w:b/>
              </w:rPr>
              <w:t>鹤形目 GRUIFORMES</w:t>
            </w:r>
          </w:p>
        </w:tc>
        <w:tc>
          <w:tcPr>
            <w:tcW w:w="992" w:type="dxa"/>
            <w:noWrap/>
            <w:vAlign w:val="center"/>
          </w:tcPr>
          <w:p w14:paraId="3587CD16">
            <w:pPr>
              <w:pStyle w:val="179"/>
              <w:rPr>
                <w:b/>
              </w:rPr>
            </w:pPr>
          </w:p>
        </w:tc>
        <w:tc>
          <w:tcPr>
            <w:tcW w:w="567" w:type="dxa"/>
            <w:noWrap/>
            <w:vAlign w:val="center"/>
          </w:tcPr>
          <w:p w14:paraId="40BC45F9">
            <w:pPr>
              <w:pStyle w:val="179"/>
              <w:rPr>
                <w:b/>
              </w:rPr>
            </w:pPr>
          </w:p>
        </w:tc>
        <w:tc>
          <w:tcPr>
            <w:tcW w:w="851" w:type="dxa"/>
            <w:noWrap/>
            <w:vAlign w:val="center"/>
          </w:tcPr>
          <w:p w14:paraId="1DB97FF2">
            <w:pPr>
              <w:pStyle w:val="179"/>
              <w:rPr>
                <w:b/>
              </w:rPr>
            </w:pPr>
          </w:p>
        </w:tc>
        <w:tc>
          <w:tcPr>
            <w:tcW w:w="663" w:type="dxa"/>
            <w:noWrap/>
            <w:vAlign w:val="center"/>
          </w:tcPr>
          <w:p w14:paraId="1B9361D3">
            <w:pPr>
              <w:pStyle w:val="179"/>
              <w:rPr>
                <w:b/>
              </w:rPr>
            </w:pPr>
          </w:p>
        </w:tc>
        <w:tc>
          <w:tcPr>
            <w:tcW w:w="1129" w:type="dxa"/>
            <w:noWrap/>
            <w:vAlign w:val="center"/>
          </w:tcPr>
          <w:p w14:paraId="785EC96A">
            <w:pPr>
              <w:pStyle w:val="179"/>
              <w:rPr>
                <w:b/>
              </w:rPr>
            </w:pPr>
          </w:p>
        </w:tc>
      </w:tr>
      <w:tr w14:paraId="2570EF7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2BF7DD52">
            <w:pPr>
              <w:pStyle w:val="179"/>
              <w:rPr>
                <w:b/>
              </w:rPr>
            </w:pPr>
            <w:r>
              <w:rPr>
                <w:b/>
              </w:rPr>
              <w:t>（五）</w:t>
            </w:r>
          </w:p>
        </w:tc>
        <w:tc>
          <w:tcPr>
            <w:tcW w:w="2977" w:type="dxa"/>
            <w:noWrap/>
            <w:vAlign w:val="center"/>
          </w:tcPr>
          <w:p w14:paraId="5D743929">
            <w:pPr>
              <w:pStyle w:val="179"/>
              <w:rPr>
                <w:b/>
              </w:rPr>
            </w:pPr>
            <w:r>
              <w:rPr>
                <w:b/>
              </w:rPr>
              <w:t>秧鸡科 Rallidae</w:t>
            </w:r>
          </w:p>
        </w:tc>
        <w:tc>
          <w:tcPr>
            <w:tcW w:w="992" w:type="dxa"/>
            <w:noWrap/>
            <w:vAlign w:val="center"/>
          </w:tcPr>
          <w:p w14:paraId="24A91142">
            <w:pPr>
              <w:pStyle w:val="179"/>
              <w:rPr>
                <w:b/>
              </w:rPr>
            </w:pPr>
          </w:p>
        </w:tc>
        <w:tc>
          <w:tcPr>
            <w:tcW w:w="567" w:type="dxa"/>
            <w:noWrap/>
            <w:vAlign w:val="center"/>
          </w:tcPr>
          <w:p w14:paraId="1FD2D2B6">
            <w:pPr>
              <w:pStyle w:val="179"/>
              <w:rPr>
                <w:b/>
              </w:rPr>
            </w:pPr>
          </w:p>
        </w:tc>
        <w:tc>
          <w:tcPr>
            <w:tcW w:w="851" w:type="dxa"/>
            <w:noWrap/>
            <w:vAlign w:val="center"/>
          </w:tcPr>
          <w:p w14:paraId="5F8C5252">
            <w:pPr>
              <w:pStyle w:val="179"/>
              <w:rPr>
                <w:b/>
              </w:rPr>
            </w:pPr>
          </w:p>
        </w:tc>
        <w:tc>
          <w:tcPr>
            <w:tcW w:w="663" w:type="dxa"/>
            <w:noWrap/>
            <w:vAlign w:val="center"/>
          </w:tcPr>
          <w:p w14:paraId="24F91215">
            <w:pPr>
              <w:pStyle w:val="179"/>
              <w:rPr>
                <w:b/>
              </w:rPr>
            </w:pPr>
          </w:p>
        </w:tc>
        <w:tc>
          <w:tcPr>
            <w:tcW w:w="1129" w:type="dxa"/>
            <w:noWrap/>
            <w:vAlign w:val="center"/>
          </w:tcPr>
          <w:p w14:paraId="59EDA32B">
            <w:pPr>
              <w:pStyle w:val="179"/>
              <w:rPr>
                <w:b/>
              </w:rPr>
            </w:pPr>
          </w:p>
        </w:tc>
      </w:tr>
      <w:tr w14:paraId="370D80A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2428141D">
            <w:pPr>
              <w:pStyle w:val="179"/>
            </w:pPr>
            <w:r>
              <w:t>8</w:t>
            </w:r>
          </w:p>
        </w:tc>
        <w:tc>
          <w:tcPr>
            <w:tcW w:w="2977" w:type="dxa"/>
            <w:noWrap/>
            <w:vAlign w:val="center"/>
          </w:tcPr>
          <w:p w14:paraId="72EA8AF4">
            <w:pPr>
              <w:pStyle w:val="179"/>
            </w:pPr>
            <w:r>
              <w:t xml:space="preserve">小田鸡 </w:t>
            </w:r>
            <w:r>
              <w:rPr>
                <w:i/>
                <w:iCs/>
              </w:rPr>
              <w:t>Porzana pusilla</w:t>
            </w:r>
          </w:p>
        </w:tc>
        <w:tc>
          <w:tcPr>
            <w:tcW w:w="992" w:type="dxa"/>
            <w:noWrap/>
            <w:vAlign w:val="center"/>
          </w:tcPr>
          <w:p w14:paraId="566BB8A7">
            <w:pPr>
              <w:pStyle w:val="179"/>
            </w:pPr>
            <w:r>
              <w:t>M</w:t>
            </w:r>
          </w:p>
        </w:tc>
        <w:tc>
          <w:tcPr>
            <w:tcW w:w="567" w:type="dxa"/>
            <w:noWrap/>
            <w:vAlign w:val="center"/>
          </w:tcPr>
          <w:p w14:paraId="1770942C">
            <w:pPr>
              <w:pStyle w:val="179"/>
            </w:pPr>
            <w:r>
              <w:t>S</w:t>
            </w:r>
          </w:p>
        </w:tc>
        <w:tc>
          <w:tcPr>
            <w:tcW w:w="851" w:type="dxa"/>
            <w:noWrap/>
            <w:vAlign w:val="center"/>
          </w:tcPr>
          <w:p w14:paraId="1138EDE7">
            <w:pPr>
              <w:pStyle w:val="179"/>
            </w:pPr>
            <w:r>
              <w:t>P</w:t>
            </w:r>
          </w:p>
        </w:tc>
        <w:tc>
          <w:tcPr>
            <w:tcW w:w="663" w:type="dxa"/>
            <w:noWrap/>
            <w:vAlign w:val="center"/>
          </w:tcPr>
          <w:p w14:paraId="3A5E646C">
            <w:pPr>
              <w:pStyle w:val="179"/>
            </w:pPr>
            <w:r>
              <w:t>+</w:t>
            </w:r>
          </w:p>
        </w:tc>
        <w:tc>
          <w:tcPr>
            <w:tcW w:w="1129" w:type="dxa"/>
            <w:noWrap/>
            <w:vAlign w:val="center"/>
          </w:tcPr>
          <w:p w14:paraId="29002368">
            <w:pPr>
              <w:pStyle w:val="179"/>
            </w:pPr>
            <w:r>
              <w:t>Ⅲ Ⅴ</w:t>
            </w:r>
          </w:p>
        </w:tc>
      </w:tr>
      <w:tr w14:paraId="4A1DD15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43527FD0">
            <w:pPr>
              <w:pStyle w:val="179"/>
            </w:pPr>
            <w:r>
              <w:t>9</w:t>
            </w:r>
          </w:p>
        </w:tc>
        <w:tc>
          <w:tcPr>
            <w:tcW w:w="2977" w:type="dxa"/>
            <w:noWrap/>
            <w:vAlign w:val="center"/>
          </w:tcPr>
          <w:p w14:paraId="136EE558">
            <w:pPr>
              <w:pStyle w:val="179"/>
            </w:pPr>
            <w:r>
              <w:t xml:space="preserve">白骨顶 </w:t>
            </w:r>
            <w:r>
              <w:rPr>
                <w:i/>
                <w:iCs/>
              </w:rPr>
              <w:t>Fulica atra</w:t>
            </w:r>
          </w:p>
        </w:tc>
        <w:tc>
          <w:tcPr>
            <w:tcW w:w="992" w:type="dxa"/>
            <w:noWrap/>
            <w:vAlign w:val="center"/>
          </w:tcPr>
          <w:p w14:paraId="09E0A1BB">
            <w:pPr>
              <w:pStyle w:val="179"/>
            </w:pPr>
            <w:r>
              <w:t>W</w:t>
            </w:r>
          </w:p>
        </w:tc>
        <w:tc>
          <w:tcPr>
            <w:tcW w:w="567" w:type="dxa"/>
            <w:noWrap/>
            <w:vAlign w:val="center"/>
          </w:tcPr>
          <w:p w14:paraId="2A993954">
            <w:pPr>
              <w:pStyle w:val="179"/>
            </w:pPr>
            <w:r>
              <w:t>S</w:t>
            </w:r>
          </w:p>
        </w:tc>
        <w:tc>
          <w:tcPr>
            <w:tcW w:w="851" w:type="dxa"/>
            <w:noWrap/>
            <w:vAlign w:val="center"/>
          </w:tcPr>
          <w:p w14:paraId="658BC681">
            <w:pPr>
              <w:pStyle w:val="179"/>
            </w:pPr>
            <w:r>
              <w:t>P</w:t>
            </w:r>
          </w:p>
        </w:tc>
        <w:tc>
          <w:tcPr>
            <w:tcW w:w="663" w:type="dxa"/>
            <w:noWrap/>
            <w:vAlign w:val="center"/>
          </w:tcPr>
          <w:p w14:paraId="052193B7">
            <w:pPr>
              <w:pStyle w:val="179"/>
            </w:pPr>
            <w:r>
              <w:t>++</w:t>
            </w:r>
          </w:p>
        </w:tc>
        <w:tc>
          <w:tcPr>
            <w:tcW w:w="1129" w:type="dxa"/>
            <w:noWrap/>
            <w:vAlign w:val="center"/>
          </w:tcPr>
          <w:p w14:paraId="0C6693F2">
            <w:pPr>
              <w:pStyle w:val="179"/>
            </w:pPr>
            <w:r>
              <w:t>Ⅲ</w:t>
            </w:r>
          </w:p>
        </w:tc>
      </w:tr>
      <w:tr w14:paraId="105FE3B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552EDE63">
            <w:pPr>
              <w:pStyle w:val="179"/>
              <w:rPr>
                <w:b/>
              </w:rPr>
            </w:pPr>
            <w:r>
              <w:rPr>
                <w:b/>
              </w:rPr>
              <w:t>六</w:t>
            </w:r>
          </w:p>
        </w:tc>
        <w:tc>
          <w:tcPr>
            <w:tcW w:w="2977" w:type="dxa"/>
            <w:noWrap/>
            <w:vAlign w:val="center"/>
          </w:tcPr>
          <w:p w14:paraId="35CEF0C5">
            <w:pPr>
              <w:pStyle w:val="179"/>
              <w:rPr>
                <w:b/>
              </w:rPr>
            </w:pPr>
            <w:r>
              <w:rPr>
                <w:b/>
              </w:rPr>
              <w:t>鸻形目 CHARADRIIFORMES</w:t>
            </w:r>
          </w:p>
        </w:tc>
        <w:tc>
          <w:tcPr>
            <w:tcW w:w="992" w:type="dxa"/>
            <w:noWrap/>
            <w:vAlign w:val="center"/>
          </w:tcPr>
          <w:p w14:paraId="27A7670E">
            <w:pPr>
              <w:pStyle w:val="179"/>
              <w:rPr>
                <w:b/>
              </w:rPr>
            </w:pPr>
          </w:p>
        </w:tc>
        <w:tc>
          <w:tcPr>
            <w:tcW w:w="567" w:type="dxa"/>
            <w:noWrap/>
            <w:vAlign w:val="center"/>
          </w:tcPr>
          <w:p w14:paraId="1055AFD4">
            <w:pPr>
              <w:pStyle w:val="179"/>
              <w:rPr>
                <w:b/>
              </w:rPr>
            </w:pPr>
          </w:p>
        </w:tc>
        <w:tc>
          <w:tcPr>
            <w:tcW w:w="851" w:type="dxa"/>
            <w:noWrap/>
            <w:vAlign w:val="center"/>
          </w:tcPr>
          <w:p w14:paraId="15690D71">
            <w:pPr>
              <w:pStyle w:val="179"/>
              <w:rPr>
                <w:b/>
              </w:rPr>
            </w:pPr>
          </w:p>
        </w:tc>
        <w:tc>
          <w:tcPr>
            <w:tcW w:w="663" w:type="dxa"/>
            <w:noWrap/>
            <w:vAlign w:val="center"/>
          </w:tcPr>
          <w:p w14:paraId="30061D89">
            <w:pPr>
              <w:pStyle w:val="179"/>
              <w:rPr>
                <w:b/>
              </w:rPr>
            </w:pPr>
          </w:p>
        </w:tc>
        <w:tc>
          <w:tcPr>
            <w:tcW w:w="1129" w:type="dxa"/>
            <w:noWrap/>
            <w:vAlign w:val="center"/>
          </w:tcPr>
          <w:p w14:paraId="43FFB999">
            <w:pPr>
              <w:pStyle w:val="179"/>
              <w:rPr>
                <w:b/>
              </w:rPr>
            </w:pPr>
          </w:p>
        </w:tc>
      </w:tr>
      <w:tr w14:paraId="26BA74A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0B34C3E4">
            <w:pPr>
              <w:pStyle w:val="179"/>
              <w:rPr>
                <w:b/>
              </w:rPr>
            </w:pPr>
            <w:r>
              <w:rPr>
                <w:b/>
              </w:rPr>
              <w:t>（六）</w:t>
            </w:r>
          </w:p>
        </w:tc>
        <w:tc>
          <w:tcPr>
            <w:tcW w:w="2977" w:type="dxa"/>
            <w:noWrap/>
            <w:vAlign w:val="center"/>
          </w:tcPr>
          <w:p w14:paraId="18484112">
            <w:pPr>
              <w:pStyle w:val="179"/>
              <w:rPr>
                <w:b/>
              </w:rPr>
            </w:pPr>
            <w:r>
              <w:rPr>
                <w:b/>
              </w:rPr>
              <w:t>鹬科 Scolopacidae</w:t>
            </w:r>
          </w:p>
        </w:tc>
        <w:tc>
          <w:tcPr>
            <w:tcW w:w="992" w:type="dxa"/>
            <w:noWrap/>
            <w:vAlign w:val="center"/>
          </w:tcPr>
          <w:p w14:paraId="4B88A062">
            <w:pPr>
              <w:pStyle w:val="179"/>
              <w:rPr>
                <w:b/>
              </w:rPr>
            </w:pPr>
          </w:p>
        </w:tc>
        <w:tc>
          <w:tcPr>
            <w:tcW w:w="567" w:type="dxa"/>
            <w:noWrap/>
            <w:vAlign w:val="center"/>
          </w:tcPr>
          <w:p w14:paraId="2A5BC0B1">
            <w:pPr>
              <w:pStyle w:val="179"/>
              <w:rPr>
                <w:b/>
              </w:rPr>
            </w:pPr>
          </w:p>
        </w:tc>
        <w:tc>
          <w:tcPr>
            <w:tcW w:w="851" w:type="dxa"/>
            <w:noWrap/>
            <w:vAlign w:val="center"/>
          </w:tcPr>
          <w:p w14:paraId="39A2D740">
            <w:pPr>
              <w:pStyle w:val="179"/>
              <w:rPr>
                <w:b/>
              </w:rPr>
            </w:pPr>
          </w:p>
        </w:tc>
        <w:tc>
          <w:tcPr>
            <w:tcW w:w="663" w:type="dxa"/>
            <w:noWrap/>
            <w:vAlign w:val="center"/>
          </w:tcPr>
          <w:p w14:paraId="3AA771CF">
            <w:pPr>
              <w:pStyle w:val="179"/>
              <w:rPr>
                <w:b/>
              </w:rPr>
            </w:pPr>
          </w:p>
        </w:tc>
        <w:tc>
          <w:tcPr>
            <w:tcW w:w="1129" w:type="dxa"/>
            <w:noWrap/>
            <w:vAlign w:val="center"/>
          </w:tcPr>
          <w:p w14:paraId="6A2B4575">
            <w:pPr>
              <w:pStyle w:val="179"/>
              <w:rPr>
                <w:b/>
              </w:rPr>
            </w:pPr>
          </w:p>
        </w:tc>
      </w:tr>
      <w:tr w14:paraId="38D83B9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136D3900">
            <w:pPr>
              <w:pStyle w:val="179"/>
            </w:pPr>
            <w:r>
              <w:t>10</w:t>
            </w:r>
          </w:p>
        </w:tc>
        <w:tc>
          <w:tcPr>
            <w:tcW w:w="2977" w:type="dxa"/>
            <w:noWrap/>
            <w:vAlign w:val="center"/>
          </w:tcPr>
          <w:p w14:paraId="2CF28C04">
            <w:pPr>
              <w:pStyle w:val="179"/>
            </w:pPr>
            <w:r>
              <w:t xml:space="preserve">黑尾塍鹬 </w:t>
            </w:r>
            <w:r>
              <w:rPr>
                <w:i/>
                <w:iCs/>
              </w:rPr>
              <w:t>Limosa limosa</w:t>
            </w:r>
          </w:p>
        </w:tc>
        <w:tc>
          <w:tcPr>
            <w:tcW w:w="992" w:type="dxa"/>
            <w:noWrap/>
            <w:vAlign w:val="center"/>
          </w:tcPr>
          <w:p w14:paraId="5F0F83AA">
            <w:pPr>
              <w:pStyle w:val="179"/>
            </w:pPr>
            <w:r>
              <w:t>M</w:t>
            </w:r>
          </w:p>
        </w:tc>
        <w:tc>
          <w:tcPr>
            <w:tcW w:w="567" w:type="dxa"/>
            <w:noWrap/>
            <w:vAlign w:val="center"/>
          </w:tcPr>
          <w:p w14:paraId="03D51ABE">
            <w:pPr>
              <w:pStyle w:val="179"/>
            </w:pPr>
            <w:r>
              <w:t>P</w:t>
            </w:r>
          </w:p>
        </w:tc>
        <w:tc>
          <w:tcPr>
            <w:tcW w:w="851" w:type="dxa"/>
            <w:noWrap/>
            <w:vAlign w:val="center"/>
          </w:tcPr>
          <w:p w14:paraId="3FE096A7">
            <w:pPr>
              <w:pStyle w:val="179"/>
            </w:pPr>
            <w:r>
              <w:t>P</w:t>
            </w:r>
          </w:p>
        </w:tc>
        <w:tc>
          <w:tcPr>
            <w:tcW w:w="663" w:type="dxa"/>
            <w:noWrap/>
            <w:vAlign w:val="center"/>
          </w:tcPr>
          <w:p w14:paraId="3A083C0B">
            <w:pPr>
              <w:pStyle w:val="179"/>
            </w:pPr>
            <w:r>
              <w:t>+</w:t>
            </w:r>
          </w:p>
        </w:tc>
        <w:tc>
          <w:tcPr>
            <w:tcW w:w="1129" w:type="dxa"/>
            <w:noWrap/>
            <w:vAlign w:val="center"/>
          </w:tcPr>
          <w:p w14:paraId="3AB7DF18">
            <w:pPr>
              <w:pStyle w:val="179"/>
            </w:pPr>
            <w:r>
              <w:t>Ⅲ Ⅴ Ⅵ</w:t>
            </w:r>
          </w:p>
        </w:tc>
      </w:tr>
      <w:tr w14:paraId="721EEDD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369784DA">
            <w:pPr>
              <w:pStyle w:val="179"/>
              <w:rPr>
                <w:b/>
              </w:rPr>
            </w:pPr>
            <w:r>
              <w:rPr>
                <w:b/>
              </w:rPr>
              <w:t>（七）</w:t>
            </w:r>
          </w:p>
        </w:tc>
        <w:tc>
          <w:tcPr>
            <w:tcW w:w="2977" w:type="dxa"/>
            <w:noWrap/>
            <w:vAlign w:val="center"/>
          </w:tcPr>
          <w:p w14:paraId="71622513">
            <w:pPr>
              <w:pStyle w:val="179"/>
              <w:rPr>
                <w:b/>
              </w:rPr>
            </w:pPr>
            <w:r>
              <w:rPr>
                <w:b/>
              </w:rPr>
              <w:t>鸥科 Laridae</w:t>
            </w:r>
          </w:p>
        </w:tc>
        <w:tc>
          <w:tcPr>
            <w:tcW w:w="992" w:type="dxa"/>
            <w:noWrap/>
            <w:vAlign w:val="center"/>
          </w:tcPr>
          <w:p w14:paraId="2B797141">
            <w:pPr>
              <w:pStyle w:val="179"/>
              <w:rPr>
                <w:b/>
              </w:rPr>
            </w:pPr>
          </w:p>
        </w:tc>
        <w:tc>
          <w:tcPr>
            <w:tcW w:w="567" w:type="dxa"/>
            <w:noWrap/>
            <w:vAlign w:val="center"/>
          </w:tcPr>
          <w:p w14:paraId="1A83745F">
            <w:pPr>
              <w:pStyle w:val="179"/>
              <w:rPr>
                <w:b/>
              </w:rPr>
            </w:pPr>
          </w:p>
        </w:tc>
        <w:tc>
          <w:tcPr>
            <w:tcW w:w="851" w:type="dxa"/>
            <w:noWrap/>
            <w:vAlign w:val="center"/>
          </w:tcPr>
          <w:p w14:paraId="1AC8FBC6">
            <w:pPr>
              <w:pStyle w:val="179"/>
              <w:rPr>
                <w:b/>
              </w:rPr>
            </w:pPr>
          </w:p>
        </w:tc>
        <w:tc>
          <w:tcPr>
            <w:tcW w:w="663" w:type="dxa"/>
            <w:noWrap/>
            <w:vAlign w:val="center"/>
          </w:tcPr>
          <w:p w14:paraId="33EB8947">
            <w:pPr>
              <w:pStyle w:val="179"/>
              <w:rPr>
                <w:b/>
              </w:rPr>
            </w:pPr>
          </w:p>
        </w:tc>
        <w:tc>
          <w:tcPr>
            <w:tcW w:w="1129" w:type="dxa"/>
            <w:noWrap/>
            <w:vAlign w:val="center"/>
          </w:tcPr>
          <w:p w14:paraId="39825659">
            <w:pPr>
              <w:pStyle w:val="179"/>
              <w:rPr>
                <w:b/>
              </w:rPr>
            </w:pPr>
          </w:p>
        </w:tc>
      </w:tr>
      <w:tr w14:paraId="2495C2D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3FE89D72">
            <w:pPr>
              <w:pStyle w:val="179"/>
            </w:pPr>
            <w:r>
              <w:t>11</w:t>
            </w:r>
          </w:p>
        </w:tc>
        <w:tc>
          <w:tcPr>
            <w:tcW w:w="2977" w:type="dxa"/>
            <w:noWrap/>
            <w:vAlign w:val="center"/>
          </w:tcPr>
          <w:p w14:paraId="75F1A38D">
            <w:pPr>
              <w:pStyle w:val="179"/>
            </w:pPr>
            <w:r>
              <w:t>红嘴鸥</w:t>
            </w:r>
            <w:r>
              <w:rPr>
                <w:i/>
                <w:iCs/>
              </w:rPr>
              <w:t>Chroicocephalus ridibundus</w:t>
            </w:r>
          </w:p>
        </w:tc>
        <w:tc>
          <w:tcPr>
            <w:tcW w:w="992" w:type="dxa"/>
            <w:noWrap/>
            <w:vAlign w:val="center"/>
          </w:tcPr>
          <w:p w14:paraId="77754D44">
            <w:pPr>
              <w:pStyle w:val="179"/>
            </w:pPr>
            <w:r>
              <w:t>W G</w:t>
            </w:r>
          </w:p>
        </w:tc>
        <w:tc>
          <w:tcPr>
            <w:tcW w:w="567" w:type="dxa"/>
            <w:noWrap/>
            <w:vAlign w:val="center"/>
          </w:tcPr>
          <w:p w14:paraId="050D649B">
            <w:pPr>
              <w:pStyle w:val="179"/>
            </w:pPr>
            <w:r>
              <w:t>S</w:t>
            </w:r>
          </w:p>
        </w:tc>
        <w:tc>
          <w:tcPr>
            <w:tcW w:w="851" w:type="dxa"/>
            <w:noWrap/>
            <w:vAlign w:val="center"/>
          </w:tcPr>
          <w:p w14:paraId="215832F9">
            <w:pPr>
              <w:pStyle w:val="179"/>
            </w:pPr>
            <w:r>
              <w:t>P</w:t>
            </w:r>
          </w:p>
        </w:tc>
        <w:tc>
          <w:tcPr>
            <w:tcW w:w="663" w:type="dxa"/>
            <w:noWrap/>
            <w:vAlign w:val="center"/>
          </w:tcPr>
          <w:p w14:paraId="7586E518">
            <w:pPr>
              <w:pStyle w:val="179"/>
            </w:pPr>
            <w:r>
              <w:t>+</w:t>
            </w:r>
          </w:p>
        </w:tc>
        <w:tc>
          <w:tcPr>
            <w:tcW w:w="1129" w:type="dxa"/>
            <w:noWrap/>
            <w:vAlign w:val="center"/>
          </w:tcPr>
          <w:p w14:paraId="4D2CF8D4">
            <w:pPr>
              <w:pStyle w:val="179"/>
            </w:pPr>
            <w:r>
              <w:t>Ⅲ Ⅴ</w:t>
            </w:r>
          </w:p>
        </w:tc>
      </w:tr>
      <w:tr w14:paraId="2885F28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29B829CD">
            <w:pPr>
              <w:pStyle w:val="179"/>
            </w:pPr>
            <w:r>
              <w:t>12</w:t>
            </w:r>
          </w:p>
        </w:tc>
        <w:tc>
          <w:tcPr>
            <w:tcW w:w="2977" w:type="dxa"/>
            <w:noWrap/>
            <w:vAlign w:val="center"/>
          </w:tcPr>
          <w:p w14:paraId="6B1F744D">
            <w:pPr>
              <w:pStyle w:val="179"/>
            </w:pPr>
            <w:r>
              <w:t>普通海鸥</w:t>
            </w:r>
            <w:r>
              <w:rPr>
                <w:i/>
                <w:iCs/>
              </w:rPr>
              <w:t>Larus canus</w:t>
            </w:r>
          </w:p>
        </w:tc>
        <w:tc>
          <w:tcPr>
            <w:tcW w:w="992" w:type="dxa"/>
            <w:noWrap/>
            <w:vAlign w:val="center"/>
          </w:tcPr>
          <w:p w14:paraId="129E6A65">
            <w:pPr>
              <w:pStyle w:val="179"/>
            </w:pPr>
            <w:r>
              <w:t>W G</w:t>
            </w:r>
          </w:p>
        </w:tc>
        <w:tc>
          <w:tcPr>
            <w:tcW w:w="567" w:type="dxa"/>
            <w:noWrap/>
            <w:vAlign w:val="center"/>
          </w:tcPr>
          <w:p w14:paraId="7C737DC8">
            <w:pPr>
              <w:pStyle w:val="179"/>
            </w:pPr>
            <w:r>
              <w:t>P</w:t>
            </w:r>
          </w:p>
        </w:tc>
        <w:tc>
          <w:tcPr>
            <w:tcW w:w="851" w:type="dxa"/>
            <w:noWrap/>
            <w:vAlign w:val="center"/>
          </w:tcPr>
          <w:p w14:paraId="6518C766">
            <w:pPr>
              <w:pStyle w:val="179"/>
            </w:pPr>
            <w:r>
              <w:t>C</w:t>
            </w:r>
          </w:p>
        </w:tc>
        <w:tc>
          <w:tcPr>
            <w:tcW w:w="663" w:type="dxa"/>
            <w:noWrap/>
            <w:vAlign w:val="center"/>
          </w:tcPr>
          <w:p w14:paraId="78231582">
            <w:pPr>
              <w:pStyle w:val="179"/>
            </w:pPr>
            <w:r>
              <w:t>+</w:t>
            </w:r>
          </w:p>
        </w:tc>
        <w:tc>
          <w:tcPr>
            <w:tcW w:w="1129" w:type="dxa"/>
            <w:noWrap/>
            <w:vAlign w:val="center"/>
          </w:tcPr>
          <w:p w14:paraId="7F7DC200">
            <w:pPr>
              <w:pStyle w:val="179"/>
            </w:pPr>
            <w:r>
              <w:t>Ⅲ Ⅴ</w:t>
            </w:r>
          </w:p>
        </w:tc>
      </w:tr>
      <w:tr w14:paraId="0560299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520EBA79">
            <w:pPr>
              <w:pStyle w:val="179"/>
            </w:pPr>
            <w:r>
              <w:t>13</w:t>
            </w:r>
          </w:p>
        </w:tc>
        <w:tc>
          <w:tcPr>
            <w:tcW w:w="2977" w:type="dxa"/>
            <w:noWrap/>
            <w:vAlign w:val="center"/>
          </w:tcPr>
          <w:p w14:paraId="5F0B8231">
            <w:pPr>
              <w:pStyle w:val="179"/>
            </w:pPr>
            <w:r>
              <w:t>白翅浮鸥</w:t>
            </w:r>
            <w:r>
              <w:rPr>
                <w:i/>
                <w:iCs/>
              </w:rPr>
              <w:t>Chlidonias leucoptera</w:t>
            </w:r>
          </w:p>
        </w:tc>
        <w:tc>
          <w:tcPr>
            <w:tcW w:w="992" w:type="dxa"/>
            <w:noWrap/>
            <w:vAlign w:val="center"/>
          </w:tcPr>
          <w:p w14:paraId="4CEC8C33">
            <w:pPr>
              <w:pStyle w:val="179"/>
            </w:pPr>
            <w:r>
              <w:t>W</w:t>
            </w:r>
          </w:p>
        </w:tc>
        <w:tc>
          <w:tcPr>
            <w:tcW w:w="567" w:type="dxa"/>
            <w:noWrap/>
            <w:vAlign w:val="center"/>
          </w:tcPr>
          <w:p w14:paraId="38D46223">
            <w:pPr>
              <w:pStyle w:val="179"/>
            </w:pPr>
            <w:r>
              <w:t>S</w:t>
            </w:r>
          </w:p>
        </w:tc>
        <w:tc>
          <w:tcPr>
            <w:tcW w:w="851" w:type="dxa"/>
            <w:noWrap/>
            <w:vAlign w:val="center"/>
          </w:tcPr>
          <w:p w14:paraId="2D684F18">
            <w:pPr>
              <w:pStyle w:val="179"/>
            </w:pPr>
            <w:r>
              <w:t>P</w:t>
            </w:r>
          </w:p>
        </w:tc>
        <w:tc>
          <w:tcPr>
            <w:tcW w:w="663" w:type="dxa"/>
            <w:noWrap/>
            <w:vAlign w:val="center"/>
          </w:tcPr>
          <w:p w14:paraId="22B258EF">
            <w:pPr>
              <w:pStyle w:val="179"/>
            </w:pPr>
            <w:r>
              <w:t>+</w:t>
            </w:r>
          </w:p>
        </w:tc>
        <w:tc>
          <w:tcPr>
            <w:tcW w:w="1129" w:type="dxa"/>
            <w:noWrap/>
            <w:vAlign w:val="center"/>
          </w:tcPr>
          <w:p w14:paraId="453D4A6D">
            <w:pPr>
              <w:pStyle w:val="179"/>
            </w:pPr>
            <w:r>
              <w:t>Ⅲ Ⅵ</w:t>
            </w:r>
          </w:p>
        </w:tc>
      </w:tr>
      <w:tr w14:paraId="6B00E91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6CB6BEE5">
            <w:pPr>
              <w:pStyle w:val="179"/>
              <w:rPr>
                <w:b/>
              </w:rPr>
            </w:pPr>
            <w:r>
              <w:rPr>
                <w:b/>
              </w:rPr>
              <w:t>七</w:t>
            </w:r>
          </w:p>
        </w:tc>
        <w:tc>
          <w:tcPr>
            <w:tcW w:w="2977" w:type="dxa"/>
            <w:noWrap/>
            <w:vAlign w:val="center"/>
          </w:tcPr>
          <w:p w14:paraId="5A3285FB">
            <w:pPr>
              <w:pStyle w:val="179"/>
              <w:rPr>
                <w:b/>
              </w:rPr>
            </w:pPr>
            <w:r>
              <w:rPr>
                <w:b/>
              </w:rPr>
              <w:t>鲣鸟目 SULIFORMES</w:t>
            </w:r>
          </w:p>
        </w:tc>
        <w:tc>
          <w:tcPr>
            <w:tcW w:w="992" w:type="dxa"/>
            <w:noWrap/>
            <w:vAlign w:val="center"/>
          </w:tcPr>
          <w:p w14:paraId="3F4074F3">
            <w:pPr>
              <w:pStyle w:val="179"/>
              <w:rPr>
                <w:b/>
              </w:rPr>
            </w:pPr>
          </w:p>
        </w:tc>
        <w:tc>
          <w:tcPr>
            <w:tcW w:w="567" w:type="dxa"/>
            <w:noWrap/>
            <w:vAlign w:val="center"/>
          </w:tcPr>
          <w:p w14:paraId="5892157A">
            <w:pPr>
              <w:pStyle w:val="179"/>
              <w:rPr>
                <w:b/>
              </w:rPr>
            </w:pPr>
          </w:p>
        </w:tc>
        <w:tc>
          <w:tcPr>
            <w:tcW w:w="851" w:type="dxa"/>
            <w:noWrap/>
            <w:vAlign w:val="center"/>
          </w:tcPr>
          <w:p w14:paraId="123EEDA2">
            <w:pPr>
              <w:pStyle w:val="179"/>
              <w:rPr>
                <w:b/>
              </w:rPr>
            </w:pPr>
          </w:p>
        </w:tc>
        <w:tc>
          <w:tcPr>
            <w:tcW w:w="663" w:type="dxa"/>
            <w:noWrap/>
            <w:vAlign w:val="center"/>
          </w:tcPr>
          <w:p w14:paraId="1E1F9437">
            <w:pPr>
              <w:pStyle w:val="179"/>
              <w:rPr>
                <w:b/>
              </w:rPr>
            </w:pPr>
          </w:p>
        </w:tc>
        <w:tc>
          <w:tcPr>
            <w:tcW w:w="1129" w:type="dxa"/>
            <w:noWrap/>
            <w:vAlign w:val="center"/>
          </w:tcPr>
          <w:p w14:paraId="788C67EE">
            <w:pPr>
              <w:pStyle w:val="179"/>
              <w:rPr>
                <w:b/>
              </w:rPr>
            </w:pPr>
          </w:p>
        </w:tc>
      </w:tr>
      <w:tr w14:paraId="1CE9CA0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02BA8339">
            <w:pPr>
              <w:pStyle w:val="179"/>
              <w:rPr>
                <w:b/>
              </w:rPr>
            </w:pPr>
            <w:r>
              <w:rPr>
                <w:b/>
              </w:rPr>
              <w:t>（八）</w:t>
            </w:r>
          </w:p>
        </w:tc>
        <w:tc>
          <w:tcPr>
            <w:tcW w:w="2977" w:type="dxa"/>
            <w:noWrap/>
            <w:vAlign w:val="center"/>
          </w:tcPr>
          <w:p w14:paraId="4BAB4119">
            <w:pPr>
              <w:pStyle w:val="179"/>
              <w:rPr>
                <w:b/>
              </w:rPr>
            </w:pPr>
            <w:r>
              <w:rPr>
                <w:b/>
              </w:rPr>
              <w:t>鸬鹚科 Phalacrocoracidae</w:t>
            </w:r>
          </w:p>
        </w:tc>
        <w:tc>
          <w:tcPr>
            <w:tcW w:w="992" w:type="dxa"/>
            <w:noWrap/>
            <w:vAlign w:val="center"/>
          </w:tcPr>
          <w:p w14:paraId="7C6D65B5">
            <w:pPr>
              <w:pStyle w:val="179"/>
              <w:rPr>
                <w:b/>
              </w:rPr>
            </w:pPr>
          </w:p>
        </w:tc>
        <w:tc>
          <w:tcPr>
            <w:tcW w:w="567" w:type="dxa"/>
            <w:noWrap/>
            <w:vAlign w:val="center"/>
          </w:tcPr>
          <w:p w14:paraId="49EAC860">
            <w:pPr>
              <w:pStyle w:val="179"/>
              <w:rPr>
                <w:b/>
              </w:rPr>
            </w:pPr>
          </w:p>
        </w:tc>
        <w:tc>
          <w:tcPr>
            <w:tcW w:w="851" w:type="dxa"/>
            <w:noWrap/>
            <w:vAlign w:val="center"/>
          </w:tcPr>
          <w:p w14:paraId="43CFD575">
            <w:pPr>
              <w:pStyle w:val="179"/>
              <w:rPr>
                <w:b/>
              </w:rPr>
            </w:pPr>
          </w:p>
        </w:tc>
        <w:tc>
          <w:tcPr>
            <w:tcW w:w="663" w:type="dxa"/>
            <w:noWrap/>
            <w:vAlign w:val="center"/>
          </w:tcPr>
          <w:p w14:paraId="09C213E9">
            <w:pPr>
              <w:pStyle w:val="179"/>
              <w:rPr>
                <w:b/>
              </w:rPr>
            </w:pPr>
          </w:p>
        </w:tc>
        <w:tc>
          <w:tcPr>
            <w:tcW w:w="1129" w:type="dxa"/>
            <w:noWrap/>
            <w:vAlign w:val="center"/>
          </w:tcPr>
          <w:p w14:paraId="49EAB4B0">
            <w:pPr>
              <w:pStyle w:val="179"/>
              <w:rPr>
                <w:b/>
              </w:rPr>
            </w:pPr>
          </w:p>
        </w:tc>
      </w:tr>
      <w:tr w14:paraId="62614B8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06B255B8">
            <w:pPr>
              <w:pStyle w:val="179"/>
            </w:pPr>
            <w:r>
              <w:t>14</w:t>
            </w:r>
          </w:p>
        </w:tc>
        <w:tc>
          <w:tcPr>
            <w:tcW w:w="2977" w:type="dxa"/>
            <w:noWrap/>
            <w:vAlign w:val="center"/>
          </w:tcPr>
          <w:p w14:paraId="4698C0B7">
            <w:pPr>
              <w:pStyle w:val="179"/>
            </w:pPr>
            <w:r>
              <w:t xml:space="preserve">普通鸬鹚 </w:t>
            </w:r>
            <w:r>
              <w:rPr>
                <w:i/>
                <w:iCs/>
              </w:rPr>
              <w:t>Phalacrocorax carbo</w:t>
            </w:r>
          </w:p>
        </w:tc>
        <w:tc>
          <w:tcPr>
            <w:tcW w:w="992" w:type="dxa"/>
            <w:noWrap/>
            <w:vAlign w:val="center"/>
          </w:tcPr>
          <w:p w14:paraId="0B059D17">
            <w:pPr>
              <w:pStyle w:val="179"/>
            </w:pPr>
            <w:r>
              <w:t>W</w:t>
            </w:r>
          </w:p>
        </w:tc>
        <w:tc>
          <w:tcPr>
            <w:tcW w:w="567" w:type="dxa"/>
            <w:noWrap/>
            <w:vAlign w:val="center"/>
          </w:tcPr>
          <w:p w14:paraId="30CC6994">
            <w:pPr>
              <w:pStyle w:val="179"/>
            </w:pPr>
            <w:r>
              <w:t>S</w:t>
            </w:r>
          </w:p>
        </w:tc>
        <w:tc>
          <w:tcPr>
            <w:tcW w:w="851" w:type="dxa"/>
            <w:noWrap/>
            <w:vAlign w:val="center"/>
          </w:tcPr>
          <w:p w14:paraId="422EE0CA">
            <w:pPr>
              <w:pStyle w:val="179"/>
            </w:pPr>
            <w:r>
              <w:t>C</w:t>
            </w:r>
          </w:p>
        </w:tc>
        <w:tc>
          <w:tcPr>
            <w:tcW w:w="663" w:type="dxa"/>
            <w:noWrap/>
            <w:vAlign w:val="center"/>
          </w:tcPr>
          <w:p w14:paraId="03EBB2F1">
            <w:pPr>
              <w:pStyle w:val="179"/>
            </w:pPr>
            <w:r>
              <w:t>+</w:t>
            </w:r>
          </w:p>
        </w:tc>
        <w:tc>
          <w:tcPr>
            <w:tcW w:w="1129" w:type="dxa"/>
            <w:noWrap/>
            <w:vAlign w:val="center"/>
          </w:tcPr>
          <w:p w14:paraId="4A6AD2CF">
            <w:pPr>
              <w:pStyle w:val="179"/>
            </w:pPr>
            <w:r>
              <w:t>Ⅲ</w:t>
            </w:r>
          </w:p>
        </w:tc>
      </w:tr>
      <w:tr w14:paraId="65313A5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5C8617A3">
            <w:pPr>
              <w:pStyle w:val="179"/>
              <w:rPr>
                <w:b/>
              </w:rPr>
            </w:pPr>
            <w:r>
              <w:rPr>
                <w:b/>
              </w:rPr>
              <w:t>八</w:t>
            </w:r>
          </w:p>
        </w:tc>
        <w:tc>
          <w:tcPr>
            <w:tcW w:w="2977" w:type="dxa"/>
            <w:noWrap/>
            <w:vAlign w:val="center"/>
          </w:tcPr>
          <w:p w14:paraId="24212520">
            <w:pPr>
              <w:pStyle w:val="179"/>
              <w:rPr>
                <w:b/>
              </w:rPr>
            </w:pPr>
            <w:r>
              <w:rPr>
                <w:b/>
              </w:rPr>
              <w:t>鹈形目 PELECANIFORMES</w:t>
            </w:r>
          </w:p>
        </w:tc>
        <w:tc>
          <w:tcPr>
            <w:tcW w:w="992" w:type="dxa"/>
            <w:noWrap/>
            <w:vAlign w:val="center"/>
          </w:tcPr>
          <w:p w14:paraId="67F7EA1A">
            <w:pPr>
              <w:pStyle w:val="179"/>
              <w:rPr>
                <w:b/>
              </w:rPr>
            </w:pPr>
          </w:p>
        </w:tc>
        <w:tc>
          <w:tcPr>
            <w:tcW w:w="567" w:type="dxa"/>
            <w:noWrap/>
            <w:vAlign w:val="center"/>
          </w:tcPr>
          <w:p w14:paraId="6DF66C2F">
            <w:pPr>
              <w:pStyle w:val="179"/>
              <w:rPr>
                <w:b/>
              </w:rPr>
            </w:pPr>
          </w:p>
        </w:tc>
        <w:tc>
          <w:tcPr>
            <w:tcW w:w="851" w:type="dxa"/>
            <w:noWrap/>
            <w:vAlign w:val="center"/>
          </w:tcPr>
          <w:p w14:paraId="0668C52C">
            <w:pPr>
              <w:pStyle w:val="179"/>
              <w:rPr>
                <w:b/>
              </w:rPr>
            </w:pPr>
          </w:p>
        </w:tc>
        <w:tc>
          <w:tcPr>
            <w:tcW w:w="663" w:type="dxa"/>
            <w:noWrap/>
            <w:vAlign w:val="center"/>
          </w:tcPr>
          <w:p w14:paraId="164E76DB">
            <w:pPr>
              <w:pStyle w:val="179"/>
              <w:rPr>
                <w:b/>
              </w:rPr>
            </w:pPr>
          </w:p>
        </w:tc>
        <w:tc>
          <w:tcPr>
            <w:tcW w:w="1129" w:type="dxa"/>
            <w:noWrap/>
            <w:vAlign w:val="center"/>
          </w:tcPr>
          <w:p w14:paraId="5F05D145">
            <w:pPr>
              <w:pStyle w:val="179"/>
              <w:rPr>
                <w:b/>
              </w:rPr>
            </w:pPr>
          </w:p>
        </w:tc>
      </w:tr>
      <w:tr w14:paraId="029E9AB8">
        <w:tblPrEx>
          <w:tblCellMar>
            <w:top w:w="0" w:type="dxa"/>
            <w:left w:w="57" w:type="dxa"/>
            <w:bottom w:w="0" w:type="dxa"/>
            <w:right w:w="57" w:type="dxa"/>
          </w:tblCellMar>
        </w:tblPrEx>
        <w:trPr>
          <w:cantSplit/>
          <w:trHeight w:val="340" w:hRule="atLeast"/>
          <w:jc w:val="center"/>
        </w:trPr>
        <w:tc>
          <w:tcPr>
            <w:tcW w:w="1191" w:type="dxa"/>
            <w:noWrap/>
            <w:vAlign w:val="center"/>
          </w:tcPr>
          <w:p w14:paraId="68E5CD1D">
            <w:pPr>
              <w:pStyle w:val="179"/>
              <w:rPr>
                <w:b/>
              </w:rPr>
            </w:pPr>
            <w:r>
              <w:rPr>
                <w:b/>
              </w:rPr>
              <w:t>（九）</w:t>
            </w:r>
          </w:p>
        </w:tc>
        <w:tc>
          <w:tcPr>
            <w:tcW w:w="2977" w:type="dxa"/>
            <w:noWrap/>
            <w:vAlign w:val="center"/>
          </w:tcPr>
          <w:p w14:paraId="717C185D">
            <w:pPr>
              <w:pStyle w:val="179"/>
              <w:rPr>
                <w:b/>
              </w:rPr>
            </w:pPr>
            <w:r>
              <w:rPr>
                <w:b/>
              </w:rPr>
              <w:t>鹭科 Ardeidae</w:t>
            </w:r>
          </w:p>
        </w:tc>
        <w:tc>
          <w:tcPr>
            <w:tcW w:w="992" w:type="dxa"/>
            <w:noWrap/>
            <w:vAlign w:val="center"/>
          </w:tcPr>
          <w:p w14:paraId="6E107B14">
            <w:pPr>
              <w:pStyle w:val="179"/>
              <w:rPr>
                <w:b/>
              </w:rPr>
            </w:pPr>
          </w:p>
        </w:tc>
        <w:tc>
          <w:tcPr>
            <w:tcW w:w="567" w:type="dxa"/>
            <w:noWrap/>
            <w:vAlign w:val="center"/>
          </w:tcPr>
          <w:p w14:paraId="78A45103">
            <w:pPr>
              <w:pStyle w:val="179"/>
              <w:rPr>
                <w:b/>
              </w:rPr>
            </w:pPr>
          </w:p>
        </w:tc>
        <w:tc>
          <w:tcPr>
            <w:tcW w:w="851" w:type="dxa"/>
            <w:noWrap/>
            <w:vAlign w:val="center"/>
          </w:tcPr>
          <w:p w14:paraId="29BDAAAD">
            <w:pPr>
              <w:pStyle w:val="179"/>
              <w:rPr>
                <w:b/>
              </w:rPr>
            </w:pPr>
          </w:p>
        </w:tc>
        <w:tc>
          <w:tcPr>
            <w:tcW w:w="663" w:type="dxa"/>
            <w:noWrap/>
            <w:vAlign w:val="center"/>
          </w:tcPr>
          <w:p w14:paraId="7ADB3AF2">
            <w:pPr>
              <w:pStyle w:val="179"/>
              <w:rPr>
                <w:b/>
              </w:rPr>
            </w:pPr>
          </w:p>
        </w:tc>
        <w:tc>
          <w:tcPr>
            <w:tcW w:w="1129" w:type="dxa"/>
            <w:noWrap/>
            <w:vAlign w:val="center"/>
          </w:tcPr>
          <w:p w14:paraId="23C75019">
            <w:pPr>
              <w:pStyle w:val="179"/>
              <w:rPr>
                <w:b/>
              </w:rPr>
            </w:pPr>
          </w:p>
        </w:tc>
      </w:tr>
      <w:tr w14:paraId="565001A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1027A64D">
            <w:pPr>
              <w:pStyle w:val="179"/>
            </w:pPr>
            <w:r>
              <w:t>15</w:t>
            </w:r>
          </w:p>
        </w:tc>
        <w:tc>
          <w:tcPr>
            <w:tcW w:w="2977" w:type="dxa"/>
            <w:noWrap/>
            <w:vAlign w:val="center"/>
          </w:tcPr>
          <w:p w14:paraId="1EE1A36A">
            <w:pPr>
              <w:pStyle w:val="179"/>
            </w:pPr>
            <w:r>
              <w:t xml:space="preserve">苍鹭 </w:t>
            </w:r>
            <w:r>
              <w:rPr>
                <w:i/>
                <w:iCs/>
              </w:rPr>
              <w:t>Ardea cinerea</w:t>
            </w:r>
          </w:p>
        </w:tc>
        <w:tc>
          <w:tcPr>
            <w:tcW w:w="992" w:type="dxa"/>
            <w:noWrap/>
            <w:vAlign w:val="center"/>
          </w:tcPr>
          <w:p w14:paraId="6AD1FAA8">
            <w:pPr>
              <w:pStyle w:val="179"/>
            </w:pPr>
            <w:r>
              <w:t>M</w:t>
            </w:r>
          </w:p>
        </w:tc>
        <w:tc>
          <w:tcPr>
            <w:tcW w:w="567" w:type="dxa"/>
            <w:noWrap/>
            <w:vAlign w:val="center"/>
          </w:tcPr>
          <w:p w14:paraId="3640CC52">
            <w:pPr>
              <w:pStyle w:val="179"/>
            </w:pPr>
            <w:r>
              <w:t>S</w:t>
            </w:r>
          </w:p>
        </w:tc>
        <w:tc>
          <w:tcPr>
            <w:tcW w:w="851" w:type="dxa"/>
            <w:noWrap/>
            <w:vAlign w:val="center"/>
          </w:tcPr>
          <w:p w14:paraId="69EE5153">
            <w:pPr>
              <w:pStyle w:val="179"/>
            </w:pPr>
            <w:r>
              <w:t>C</w:t>
            </w:r>
          </w:p>
        </w:tc>
        <w:tc>
          <w:tcPr>
            <w:tcW w:w="663" w:type="dxa"/>
            <w:noWrap/>
            <w:vAlign w:val="center"/>
          </w:tcPr>
          <w:p w14:paraId="20F84F34">
            <w:pPr>
              <w:pStyle w:val="179"/>
            </w:pPr>
            <w:r>
              <w:t>+</w:t>
            </w:r>
          </w:p>
        </w:tc>
        <w:tc>
          <w:tcPr>
            <w:tcW w:w="1129" w:type="dxa"/>
            <w:noWrap/>
            <w:vAlign w:val="center"/>
          </w:tcPr>
          <w:p w14:paraId="769BE21C">
            <w:pPr>
              <w:pStyle w:val="179"/>
            </w:pPr>
            <w:r>
              <w:t>Ⅲ Ⅴ</w:t>
            </w:r>
          </w:p>
        </w:tc>
      </w:tr>
      <w:tr w14:paraId="5946FFE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5ADF4150">
            <w:pPr>
              <w:pStyle w:val="179"/>
              <w:rPr>
                <w:b/>
              </w:rPr>
            </w:pPr>
            <w:r>
              <w:rPr>
                <w:b/>
              </w:rPr>
              <w:t>九</w:t>
            </w:r>
          </w:p>
        </w:tc>
        <w:tc>
          <w:tcPr>
            <w:tcW w:w="2977" w:type="dxa"/>
            <w:noWrap/>
            <w:vAlign w:val="center"/>
          </w:tcPr>
          <w:p w14:paraId="1F0C2A91">
            <w:pPr>
              <w:pStyle w:val="179"/>
              <w:rPr>
                <w:b/>
              </w:rPr>
            </w:pPr>
            <w:r>
              <w:rPr>
                <w:b/>
              </w:rPr>
              <w:t>鹰形目 ACCIPITRIFORMES</w:t>
            </w:r>
          </w:p>
        </w:tc>
        <w:tc>
          <w:tcPr>
            <w:tcW w:w="992" w:type="dxa"/>
            <w:noWrap/>
            <w:vAlign w:val="center"/>
          </w:tcPr>
          <w:p w14:paraId="14709263">
            <w:pPr>
              <w:pStyle w:val="179"/>
              <w:rPr>
                <w:b/>
              </w:rPr>
            </w:pPr>
          </w:p>
        </w:tc>
        <w:tc>
          <w:tcPr>
            <w:tcW w:w="567" w:type="dxa"/>
            <w:noWrap/>
            <w:vAlign w:val="center"/>
          </w:tcPr>
          <w:p w14:paraId="0F163745">
            <w:pPr>
              <w:pStyle w:val="179"/>
              <w:rPr>
                <w:b/>
              </w:rPr>
            </w:pPr>
          </w:p>
        </w:tc>
        <w:tc>
          <w:tcPr>
            <w:tcW w:w="851" w:type="dxa"/>
            <w:noWrap/>
            <w:vAlign w:val="center"/>
          </w:tcPr>
          <w:p w14:paraId="3A1BD728">
            <w:pPr>
              <w:pStyle w:val="179"/>
              <w:rPr>
                <w:b/>
              </w:rPr>
            </w:pPr>
          </w:p>
        </w:tc>
        <w:tc>
          <w:tcPr>
            <w:tcW w:w="663" w:type="dxa"/>
            <w:noWrap/>
            <w:vAlign w:val="center"/>
          </w:tcPr>
          <w:p w14:paraId="57C57B49">
            <w:pPr>
              <w:pStyle w:val="179"/>
              <w:rPr>
                <w:b/>
              </w:rPr>
            </w:pPr>
          </w:p>
        </w:tc>
        <w:tc>
          <w:tcPr>
            <w:tcW w:w="1129" w:type="dxa"/>
            <w:noWrap/>
            <w:vAlign w:val="center"/>
          </w:tcPr>
          <w:p w14:paraId="2FB33E82">
            <w:pPr>
              <w:pStyle w:val="179"/>
              <w:rPr>
                <w:b/>
              </w:rPr>
            </w:pPr>
          </w:p>
        </w:tc>
      </w:tr>
      <w:tr w14:paraId="5F9C44AD">
        <w:tblPrEx>
          <w:tblCellMar>
            <w:top w:w="0" w:type="dxa"/>
            <w:left w:w="57" w:type="dxa"/>
            <w:bottom w:w="0" w:type="dxa"/>
            <w:right w:w="57" w:type="dxa"/>
          </w:tblCellMar>
        </w:tblPrEx>
        <w:trPr>
          <w:cantSplit/>
          <w:trHeight w:val="340" w:hRule="atLeast"/>
          <w:jc w:val="center"/>
        </w:trPr>
        <w:tc>
          <w:tcPr>
            <w:tcW w:w="1191" w:type="dxa"/>
            <w:noWrap/>
            <w:vAlign w:val="center"/>
          </w:tcPr>
          <w:p w14:paraId="74C6A037">
            <w:pPr>
              <w:pStyle w:val="179"/>
              <w:rPr>
                <w:b/>
              </w:rPr>
            </w:pPr>
            <w:r>
              <w:rPr>
                <w:b/>
              </w:rPr>
              <w:t>（十）</w:t>
            </w:r>
          </w:p>
        </w:tc>
        <w:tc>
          <w:tcPr>
            <w:tcW w:w="2977" w:type="dxa"/>
            <w:noWrap/>
            <w:vAlign w:val="center"/>
          </w:tcPr>
          <w:p w14:paraId="5B610000">
            <w:pPr>
              <w:pStyle w:val="179"/>
              <w:rPr>
                <w:b/>
              </w:rPr>
            </w:pPr>
            <w:r>
              <w:rPr>
                <w:b/>
              </w:rPr>
              <w:t>鹰科 Accipitridae</w:t>
            </w:r>
          </w:p>
        </w:tc>
        <w:tc>
          <w:tcPr>
            <w:tcW w:w="992" w:type="dxa"/>
            <w:noWrap/>
            <w:vAlign w:val="center"/>
          </w:tcPr>
          <w:p w14:paraId="71CA772E">
            <w:pPr>
              <w:pStyle w:val="179"/>
              <w:rPr>
                <w:b/>
              </w:rPr>
            </w:pPr>
          </w:p>
        </w:tc>
        <w:tc>
          <w:tcPr>
            <w:tcW w:w="567" w:type="dxa"/>
            <w:noWrap/>
            <w:vAlign w:val="center"/>
          </w:tcPr>
          <w:p w14:paraId="1C8663E2">
            <w:pPr>
              <w:pStyle w:val="179"/>
              <w:rPr>
                <w:b/>
              </w:rPr>
            </w:pPr>
          </w:p>
        </w:tc>
        <w:tc>
          <w:tcPr>
            <w:tcW w:w="851" w:type="dxa"/>
            <w:noWrap/>
            <w:vAlign w:val="center"/>
          </w:tcPr>
          <w:p w14:paraId="1A2762B5">
            <w:pPr>
              <w:pStyle w:val="179"/>
              <w:rPr>
                <w:b/>
              </w:rPr>
            </w:pPr>
          </w:p>
        </w:tc>
        <w:tc>
          <w:tcPr>
            <w:tcW w:w="663" w:type="dxa"/>
            <w:noWrap/>
            <w:vAlign w:val="center"/>
          </w:tcPr>
          <w:p w14:paraId="09AE3E6D">
            <w:pPr>
              <w:pStyle w:val="179"/>
              <w:rPr>
                <w:b/>
              </w:rPr>
            </w:pPr>
          </w:p>
        </w:tc>
        <w:tc>
          <w:tcPr>
            <w:tcW w:w="1129" w:type="dxa"/>
            <w:noWrap/>
            <w:vAlign w:val="center"/>
          </w:tcPr>
          <w:p w14:paraId="39F3CEDD">
            <w:pPr>
              <w:pStyle w:val="179"/>
              <w:rPr>
                <w:b/>
              </w:rPr>
            </w:pPr>
          </w:p>
        </w:tc>
      </w:tr>
      <w:tr w14:paraId="05D320D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3666F00E">
            <w:pPr>
              <w:pStyle w:val="179"/>
              <w:rPr>
                <w:b/>
              </w:rPr>
            </w:pPr>
            <w:r>
              <w:rPr>
                <w:b/>
              </w:rPr>
              <w:t>16</w:t>
            </w:r>
          </w:p>
        </w:tc>
        <w:tc>
          <w:tcPr>
            <w:tcW w:w="2977" w:type="dxa"/>
            <w:noWrap/>
            <w:vAlign w:val="center"/>
          </w:tcPr>
          <w:p w14:paraId="1DB01C37">
            <w:pPr>
              <w:pStyle w:val="179"/>
              <w:rPr>
                <w:b/>
              </w:rPr>
            </w:pPr>
            <w:r>
              <w:t xml:space="preserve">苍鹰 </w:t>
            </w:r>
            <w:r>
              <w:rPr>
                <w:i/>
                <w:iCs/>
              </w:rPr>
              <w:t>Accipiter gentilis</w:t>
            </w:r>
          </w:p>
        </w:tc>
        <w:tc>
          <w:tcPr>
            <w:tcW w:w="992" w:type="dxa"/>
            <w:noWrap/>
            <w:vAlign w:val="center"/>
          </w:tcPr>
          <w:p w14:paraId="5ED15B43">
            <w:pPr>
              <w:pStyle w:val="179"/>
              <w:rPr>
                <w:b/>
              </w:rPr>
            </w:pPr>
            <w:r>
              <w:t>M G F</w:t>
            </w:r>
          </w:p>
        </w:tc>
        <w:tc>
          <w:tcPr>
            <w:tcW w:w="567" w:type="dxa"/>
            <w:noWrap/>
            <w:vAlign w:val="center"/>
          </w:tcPr>
          <w:p w14:paraId="5192C3C3">
            <w:pPr>
              <w:pStyle w:val="179"/>
              <w:rPr>
                <w:b/>
              </w:rPr>
            </w:pPr>
            <w:r>
              <w:t>S</w:t>
            </w:r>
          </w:p>
        </w:tc>
        <w:tc>
          <w:tcPr>
            <w:tcW w:w="851" w:type="dxa"/>
            <w:noWrap/>
            <w:vAlign w:val="center"/>
          </w:tcPr>
          <w:p w14:paraId="6DF65FFE">
            <w:pPr>
              <w:pStyle w:val="179"/>
              <w:rPr>
                <w:b/>
              </w:rPr>
            </w:pPr>
            <w:r>
              <w:t>C</w:t>
            </w:r>
          </w:p>
        </w:tc>
        <w:tc>
          <w:tcPr>
            <w:tcW w:w="663" w:type="dxa"/>
            <w:noWrap/>
            <w:vAlign w:val="center"/>
          </w:tcPr>
          <w:p w14:paraId="410E9CFD">
            <w:pPr>
              <w:pStyle w:val="179"/>
              <w:rPr>
                <w:b/>
              </w:rPr>
            </w:pPr>
            <w:r>
              <w:t>+</w:t>
            </w:r>
          </w:p>
        </w:tc>
        <w:tc>
          <w:tcPr>
            <w:tcW w:w="1129" w:type="dxa"/>
            <w:noWrap/>
            <w:vAlign w:val="center"/>
          </w:tcPr>
          <w:p w14:paraId="7A777E0D">
            <w:pPr>
              <w:pStyle w:val="179"/>
              <w:rPr>
                <w:b/>
              </w:rPr>
            </w:pPr>
            <w:r>
              <w:rPr>
                <w:szCs w:val="21"/>
              </w:rPr>
              <w:t>Ⅱ</w:t>
            </w:r>
          </w:p>
        </w:tc>
      </w:tr>
      <w:tr w14:paraId="1584EB3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6BB0376D">
            <w:pPr>
              <w:pStyle w:val="179"/>
              <w:rPr>
                <w:b/>
              </w:rPr>
            </w:pPr>
            <w:r>
              <w:rPr>
                <w:b/>
              </w:rPr>
              <w:t>十</w:t>
            </w:r>
          </w:p>
        </w:tc>
        <w:tc>
          <w:tcPr>
            <w:tcW w:w="2977" w:type="dxa"/>
            <w:noWrap/>
            <w:vAlign w:val="center"/>
          </w:tcPr>
          <w:p w14:paraId="26FDD143">
            <w:pPr>
              <w:pStyle w:val="179"/>
              <w:rPr>
                <w:b/>
              </w:rPr>
            </w:pPr>
            <w:r>
              <w:rPr>
                <w:b/>
              </w:rPr>
              <w:t>鸮形目 STRIGIFORMES</w:t>
            </w:r>
          </w:p>
        </w:tc>
        <w:tc>
          <w:tcPr>
            <w:tcW w:w="992" w:type="dxa"/>
            <w:noWrap/>
            <w:vAlign w:val="center"/>
          </w:tcPr>
          <w:p w14:paraId="0828F5E1">
            <w:pPr>
              <w:pStyle w:val="179"/>
              <w:rPr>
                <w:b/>
              </w:rPr>
            </w:pPr>
          </w:p>
        </w:tc>
        <w:tc>
          <w:tcPr>
            <w:tcW w:w="567" w:type="dxa"/>
            <w:noWrap/>
            <w:vAlign w:val="center"/>
          </w:tcPr>
          <w:p w14:paraId="1AB65421">
            <w:pPr>
              <w:pStyle w:val="179"/>
              <w:rPr>
                <w:b/>
              </w:rPr>
            </w:pPr>
          </w:p>
        </w:tc>
        <w:tc>
          <w:tcPr>
            <w:tcW w:w="851" w:type="dxa"/>
            <w:noWrap/>
            <w:vAlign w:val="center"/>
          </w:tcPr>
          <w:p w14:paraId="0E928ABA">
            <w:pPr>
              <w:pStyle w:val="179"/>
              <w:rPr>
                <w:b/>
              </w:rPr>
            </w:pPr>
          </w:p>
        </w:tc>
        <w:tc>
          <w:tcPr>
            <w:tcW w:w="663" w:type="dxa"/>
            <w:noWrap/>
            <w:vAlign w:val="center"/>
          </w:tcPr>
          <w:p w14:paraId="42CCF93B">
            <w:pPr>
              <w:pStyle w:val="179"/>
              <w:rPr>
                <w:b/>
              </w:rPr>
            </w:pPr>
          </w:p>
        </w:tc>
        <w:tc>
          <w:tcPr>
            <w:tcW w:w="1129" w:type="dxa"/>
            <w:noWrap/>
            <w:vAlign w:val="center"/>
          </w:tcPr>
          <w:p w14:paraId="45FECF41">
            <w:pPr>
              <w:pStyle w:val="179"/>
              <w:rPr>
                <w:b/>
              </w:rPr>
            </w:pPr>
          </w:p>
        </w:tc>
      </w:tr>
      <w:tr w14:paraId="146A873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3F661E19">
            <w:pPr>
              <w:pStyle w:val="179"/>
              <w:rPr>
                <w:b/>
              </w:rPr>
            </w:pPr>
            <w:r>
              <w:rPr>
                <w:b/>
              </w:rPr>
              <w:t>（十一）</w:t>
            </w:r>
          </w:p>
        </w:tc>
        <w:tc>
          <w:tcPr>
            <w:tcW w:w="2977" w:type="dxa"/>
            <w:noWrap/>
            <w:vAlign w:val="center"/>
          </w:tcPr>
          <w:p w14:paraId="01FCC62E">
            <w:pPr>
              <w:pStyle w:val="179"/>
              <w:rPr>
                <w:b/>
              </w:rPr>
            </w:pPr>
            <w:r>
              <w:rPr>
                <w:b/>
              </w:rPr>
              <w:t>鸱鸮科 Strigidae</w:t>
            </w:r>
          </w:p>
        </w:tc>
        <w:tc>
          <w:tcPr>
            <w:tcW w:w="992" w:type="dxa"/>
            <w:noWrap/>
            <w:vAlign w:val="center"/>
          </w:tcPr>
          <w:p w14:paraId="05D294B7">
            <w:pPr>
              <w:pStyle w:val="179"/>
              <w:rPr>
                <w:b/>
              </w:rPr>
            </w:pPr>
          </w:p>
        </w:tc>
        <w:tc>
          <w:tcPr>
            <w:tcW w:w="567" w:type="dxa"/>
            <w:noWrap/>
            <w:vAlign w:val="center"/>
          </w:tcPr>
          <w:p w14:paraId="72398722">
            <w:pPr>
              <w:pStyle w:val="179"/>
              <w:rPr>
                <w:b/>
              </w:rPr>
            </w:pPr>
          </w:p>
        </w:tc>
        <w:tc>
          <w:tcPr>
            <w:tcW w:w="851" w:type="dxa"/>
            <w:noWrap/>
            <w:vAlign w:val="center"/>
          </w:tcPr>
          <w:p w14:paraId="3281CBE0">
            <w:pPr>
              <w:pStyle w:val="179"/>
              <w:rPr>
                <w:b/>
              </w:rPr>
            </w:pPr>
          </w:p>
        </w:tc>
        <w:tc>
          <w:tcPr>
            <w:tcW w:w="663" w:type="dxa"/>
            <w:noWrap/>
            <w:vAlign w:val="center"/>
          </w:tcPr>
          <w:p w14:paraId="003C0BBC">
            <w:pPr>
              <w:pStyle w:val="179"/>
              <w:rPr>
                <w:b/>
              </w:rPr>
            </w:pPr>
          </w:p>
        </w:tc>
        <w:tc>
          <w:tcPr>
            <w:tcW w:w="1129" w:type="dxa"/>
            <w:noWrap/>
            <w:vAlign w:val="center"/>
          </w:tcPr>
          <w:p w14:paraId="6E3DBA91">
            <w:pPr>
              <w:pStyle w:val="179"/>
              <w:rPr>
                <w:b/>
              </w:rPr>
            </w:pPr>
          </w:p>
        </w:tc>
      </w:tr>
      <w:tr w14:paraId="2A46892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1611DC7E">
            <w:pPr>
              <w:pStyle w:val="179"/>
              <w:rPr>
                <w:b/>
              </w:rPr>
            </w:pPr>
            <w:r>
              <w:rPr>
                <w:b/>
              </w:rPr>
              <w:t>十一</w:t>
            </w:r>
          </w:p>
        </w:tc>
        <w:tc>
          <w:tcPr>
            <w:tcW w:w="2977" w:type="dxa"/>
            <w:noWrap/>
            <w:vAlign w:val="center"/>
          </w:tcPr>
          <w:p w14:paraId="4A63DA9D">
            <w:pPr>
              <w:pStyle w:val="179"/>
              <w:rPr>
                <w:b/>
              </w:rPr>
            </w:pPr>
            <w:r>
              <w:rPr>
                <w:b/>
              </w:rPr>
              <w:t>犀鸟目 BUCEROTIFORMES</w:t>
            </w:r>
          </w:p>
        </w:tc>
        <w:tc>
          <w:tcPr>
            <w:tcW w:w="992" w:type="dxa"/>
            <w:noWrap/>
            <w:vAlign w:val="center"/>
          </w:tcPr>
          <w:p w14:paraId="4B4884BB">
            <w:pPr>
              <w:pStyle w:val="179"/>
              <w:rPr>
                <w:b/>
              </w:rPr>
            </w:pPr>
          </w:p>
        </w:tc>
        <w:tc>
          <w:tcPr>
            <w:tcW w:w="567" w:type="dxa"/>
            <w:noWrap/>
            <w:vAlign w:val="center"/>
          </w:tcPr>
          <w:p w14:paraId="43271854">
            <w:pPr>
              <w:pStyle w:val="179"/>
              <w:rPr>
                <w:b/>
              </w:rPr>
            </w:pPr>
          </w:p>
        </w:tc>
        <w:tc>
          <w:tcPr>
            <w:tcW w:w="851" w:type="dxa"/>
            <w:noWrap/>
            <w:vAlign w:val="center"/>
          </w:tcPr>
          <w:p w14:paraId="44EBEF7D">
            <w:pPr>
              <w:pStyle w:val="179"/>
              <w:rPr>
                <w:b/>
              </w:rPr>
            </w:pPr>
          </w:p>
        </w:tc>
        <w:tc>
          <w:tcPr>
            <w:tcW w:w="663" w:type="dxa"/>
            <w:noWrap/>
            <w:vAlign w:val="center"/>
          </w:tcPr>
          <w:p w14:paraId="44CC238B">
            <w:pPr>
              <w:pStyle w:val="179"/>
              <w:rPr>
                <w:b/>
              </w:rPr>
            </w:pPr>
          </w:p>
        </w:tc>
        <w:tc>
          <w:tcPr>
            <w:tcW w:w="1129" w:type="dxa"/>
            <w:noWrap/>
            <w:vAlign w:val="center"/>
          </w:tcPr>
          <w:p w14:paraId="78FB5777">
            <w:pPr>
              <w:pStyle w:val="179"/>
              <w:rPr>
                <w:b/>
              </w:rPr>
            </w:pPr>
          </w:p>
        </w:tc>
      </w:tr>
      <w:tr w14:paraId="658B4D88">
        <w:tblPrEx>
          <w:tblCellMar>
            <w:top w:w="0" w:type="dxa"/>
            <w:left w:w="57" w:type="dxa"/>
            <w:bottom w:w="0" w:type="dxa"/>
            <w:right w:w="57" w:type="dxa"/>
          </w:tblCellMar>
        </w:tblPrEx>
        <w:trPr>
          <w:cantSplit/>
          <w:trHeight w:val="340" w:hRule="atLeast"/>
          <w:jc w:val="center"/>
        </w:trPr>
        <w:tc>
          <w:tcPr>
            <w:tcW w:w="1191" w:type="dxa"/>
            <w:noWrap/>
            <w:vAlign w:val="center"/>
          </w:tcPr>
          <w:p w14:paraId="4AC86001">
            <w:pPr>
              <w:pStyle w:val="179"/>
              <w:rPr>
                <w:b/>
              </w:rPr>
            </w:pPr>
            <w:r>
              <w:rPr>
                <w:b/>
              </w:rPr>
              <w:t>（十二）</w:t>
            </w:r>
          </w:p>
        </w:tc>
        <w:tc>
          <w:tcPr>
            <w:tcW w:w="2977" w:type="dxa"/>
            <w:noWrap/>
            <w:vAlign w:val="center"/>
          </w:tcPr>
          <w:p w14:paraId="469EA113">
            <w:pPr>
              <w:pStyle w:val="179"/>
              <w:rPr>
                <w:b/>
              </w:rPr>
            </w:pPr>
            <w:r>
              <w:rPr>
                <w:b/>
              </w:rPr>
              <w:t>戴胜科 Upupidae</w:t>
            </w:r>
          </w:p>
        </w:tc>
        <w:tc>
          <w:tcPr>
            <w:tcW w:w="992" w:type="dxa"/>
            <w:noWrap/>
            <w:vAlign w:val="center"/>
          </w:tcPr>
          <w:p w14:paraId="24C75E58">
            <w:pPr>
              <w:pStyle w:val="179"/>
              <w:rPr>
                <w:b/>
              </w:rPr>
            </w:pPr>
          </w:p>
        </w:tc>
        <w:tc>
          <w:tcPr>
            <w:tcW w:w="567" w:type="dxa"/>
            <w:noWrap/>
            <w:vAlign w:val="center"/>
          </w:tcPr>
          <w:p w14:paraId="4E4BC188">
            <w:pPr>
              <w:pStyle w:val="179"/>
              <w:rPr>
                <w:b/>
              </w:rPr>
            </w:pPr>
          </w:p>
        </w:tc>
        <w:tc>
          <w:tcPr>
            <w:tcW w:w="851" w:type="dxa"/>
            <w:noWrap/>
            <w:vAlign w:val="center"/>
          </w:tcPr>
          <w:p w14:paraId="00B13579">
            <w:pPr>
              <w:pStyle w:val="179"/>
              <w:rPr>
                <w:b/>
              </w:rPr>
            </w:pPr>
          </w:p>
        </w:tc>
        <w:tc>
          <w:tcPr>
            <w:tcW w:w="663" w:type="dxa"/>
            <w:noWrap/>
            <w:vAlign w:val="center"/>
          </w:tcPr>
          <w:p w14:paraId="5AE462D3">
            <w:pPr>
              <w:pStyle w:val="179"/>
              <w:rPr>
                <w:b/>
              </w:rPr>
            </w:pPr>
          </w:p>
        </w:tc>
        <w:tc>
          <w:tcPr>
            <w:tcW w:w="1129" w:type="dxa"/>
            <w:noWrap/>
            <w:vAlign w:val="center"/>
          </w:tcPr>
          <w:p w14:paraId="4C71461D">
            <w:pPr>
              <w:pStyle w:val="179"/>
              <w:rPr>
                <w:b/>
              </w:rPr>
            </w:pPr>
          </w:p>
        </w:tc>
      </w:tr>
      <w:tr w14:paraId="3906BE7C">
        <w:tblPrEx>
          <w:tblCellMar>
            <w:top w:w="0" w:type="dxa"/>
            <w:left w:w="57" w:type="dxa"/>
            <w:bottom w:w="0" w:type="dxa"/>
            <w:right w:w="57" w:type="dxa"/>
          </w:tblCellMar>
        </w:tblPrEx>
        <w:trPr>
          <w:cantSplit/>
          <w:trHeight w:val="340" w:hRule="atLeast"/>
          <w:jc w:val="center"/>
        </w:trPr>
        <w:tc>
          <w:tcPr>
            <w:tcW w:w="1191" w:type="dxa"/>
            <w:noWrap/>
            <w:vAlign w:val="center"/>
          </w:tcPr>
          <w:p w14:paraId="4F24E500">
            <w:pPr>
              <w:pStyle w:val="179"/>
            </w:pPr>
            <w:r>
              <w:t>17</w:t>
            </w:r>
          </w:p>
        </w:tc>
        <w:tc>
          <w:tcPr>
            <w:tcW w:w="2977" w:type="dxa"/>
            <w:noWrap/>
            <w:vAlign w:val="center"/>
          </w:tcPr>
          <w:p w14:paraId="70F03C76">
            <w:pPr>
              <w:pStyle w:val="179"/>
            </w:pPr>
            <w:r>
              <w:t xml:space="preserve">戴胜 </w:t>
            </w:r>
            <w:r>
              <w:rPr>
                <w:i/>
                <w:iCs/>
              </w:rPr>
              <w:t>Upupa epops</w:t>
            </w:r>
          </w:p>
        </w:tc>
        <w:tc>
          <w:tcPr>
            <w:tcW w:w="992" w:type="dxa"/>
            <w:noWrap/>
            <w:vAlign w:val="center"/>
          </w:tcPr>
          <w:p w14:paraId="0C4E56B5">
            <w:pPr>
              <w:pStyle w:val="179"/>
            </w:pPr>
            <w:r>
              <w:t>F R L R</w:t>
            </w:r>
          </w:p>
        </w:tc>
        <w:tc>
          <w:tcPr>
            <w:tcW w:w="567" w:type="dxa"/>
            <w:noWrap/>
            <w:vAlign w:val="center"/>
          </w:tcPr>
          <w:p w14:paraId="2C5524E4">
            <w:pPr>
              <w:pStyle w:val="179"/>
            </w:pPr>
            <w:r>
              <w:t>S</w:t>
            </w:r>
          </w:p>
        </w:tc>
        <w:tc>
          <w:tcPr>
            <w:tcW w:w="851" w:type="dxa"/>
            <w:noWrap/>
            <w:vAlign w:val="center"/>
          </w:tcPr>
          <w:p w14:paraId="0CE87EC3">
            <w:pPr>
              <w:pStyle w:val="179"/>
            </w:pPr>
            <w:r>
              <w:t>C</w:t>
            </w:r>
          </w:p>
        </w:tc>
        <w:tc>
          <w:tcPr>
            <w:tcW w:w="663" w:type="dxa"/>
            <w:noWrap/>
            <w:vAlign w:val="center"/>
          </w:tcPr>
          <w:p w14:paraId="67A2CB92">
            <w:pPr>
              <w:pStyle w:val="179"/>
            </w:pPr>
            <w:r>
              <w:t>++</w:t>
            </w:r>
          </w:p>
        </w:tc>
        <w:tc>
          <w:tcPr>
            <w:tcW w:w="1129" w:type="dxa"/>
            <w:noWrap/>
            <w:vAlign w:val="center"/>
          </w:tcPr>
          <w:p w14:paraId="5EAA2838">
            <w:pPr>
              <w:pStyle w:val="179"/>
            </w:pPr>
            <w:r>
              <w:t>Ⅲ</w:t>
            </w:r>
          </w:p>
        </w:tc>
      </w:tr>
      <w:tr w14:paraId="057A748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0E010E07">
            <w:pPr>
              <w:pStyle w:val="179"/>
              <w:rPr>
                <w:b/>
              </w:rPr>
            </w:pPr>
            <w:r>
              <w:rPr>
                <w:b/>
              </w:rPr>
              <w:t>十二</w:t>
            </w:r>
          </w:p>
        </w:tc>
        <w:tc>
          <w:tcPr>
            <w:tcW w:w="2977" w:type="dxa"/>
            <w:noWrap/>
            <w:vAlign w:val="center"/>
          </w:tcPr>
          <w:p w14:paraId="2B662932">
            <w:pPr>
              <w:pStyle w:val="179"/>
              <w:rPr>
                <w:b/>
              </w:rPr>
            </w:pPr>
            <w:r>
              <w:rPr>
                <w:b/>
              </w:rPr>
              <w:t>啄木鸟目 PICIFORMES</w:t>
            </w:r>
          </w:p>
        </w:tc>
        <w:tc>
          <w:tcPr>
            <w:tcW w:w="992" w:type="dxa"/>
            <w:noWrap/>
            <w:vAlign w:val="center"/>
          </w:tcPr>
          <w:p w14:paraId="3654B65B">
            <w:pPr>
              <w:pStyle w:val="179"/>
              <w:rPr>
                <w:b/>
              </w:rPr>
            </w:pPr>
          </w:p>
        </w:tc>
        <w:tc>
          <w:tcPr>
            <w:tcW w:w="567" w:type="dxa"/>
            <w:noWrap/>
            <w:vAlign w:val="center"/>
          </w:tcPr>
          <w:p w14:paraId="770B07A6">
            <w:pPr>
              <w:pStyle w:val="179"/>
              <w:rPr>
                <w:b/>
              </w:rPr>
            </w:pPr>
          </w:p>
        </w:tc>
        <w:tc>
          <w:tcPr>
            <w:tcW w:w="851" w:type="dxa"/>
            <w:noWrap/>
            <w:vAlign w:val="center"/>
          </w:tcPr>
          <w:p w14:paraId="2E2091B1">
            <w:pPr>
              <w:pStyle w:val="179"/>
              <w:rPr>
                <w:b/>
              </w:rPr>
            </w:pPr>
          </w:p>
        </w:tc>
        <w:tc>
          <w:tcPr>
            <w:tcW w:w="663" w:type="dxa"/>
            <w:noWrap/>
            <w:vAlign w:val="center"/>
          </w:tcPr>
          <w:p w14:paraId="68826243">
            <w:pPr>
              <w:pStyle w:val="179"/>
              <w:rPr>
                <w:b/>
              </w:rPr>
            </w:pPr>
          </w:p>
        </w:tc>
        <w:tc>
          <w:tcPr>
            <w:tcW w:w="1129" w:type="dxa"/>
            <w:noWrap/>
            <w:vAlign w:val="center"/>
          </w:tcPr>
          <w:p w14:paraId="7292952C">
            <w:pPr>
              <w:pStyle w:val="179"/>
              <w:rPr>
                <w:b/>
              </w:rPr>
            </w:pPr>
          </w:p>
        </w:tc>
      </w:tr>
      <w:tr w14:paraId="1F6C1295">
        <w:tblPrEx>
          <w:tblCellMar>
            <w:top w:w="0" w:type="dxa"/>
            <w:left w:w="57" w:type="dxa"/>
            <w:bottom w:w="0" w:type="dxa"/>
            <w:right w:w="57" w:type="dxa"/>
          </w:tblCellMar>
        </w:tblPrEx>
        <w:trPr>
          <w:cantSplit/>
          <w:trHeight w:val="340" w:hRule="atLeast"/>
          <w:jc w:val="center"/>
        </w:trPr>
        <w:tc>
          <w:tcPr>
            <w:tcW w:w="1191" w:type="dxa"/>
            <w:noWrap/>
            <w:vAlign w:val="center"/>
          </w:tcPr>
          <w:p w14:paraId="552452F4">
            <w:pPr>
              <w:pStyle w:val="179"/>
              <w:rPr>
                <w:b/>
              </w:rPr>
            </w:pPr>
            <w:r>
              <w:rPr>
                <w:b/>
              </w:rPr>
              <w:t>（十三）</w:t>
            </w:r>
          </w:p>
        </w:tc>
        <w:tc>
          <w:tcPr>
            <w:tcW w:w="2977" w:type="dxa"/>
            <w:noWrap/>
            <w:vAlign w:val="center"/>
          </w:tcPr>
          <w:p w14:paraId="13E833D4">
            <w:pPr>
              <w:pStyle w:val="179"/>
              <w:rPr>
                <w:b/>
              </w:rPr>
            </w:pPr>
            <w:r>
              <w:rPr>
                <w:b/>
              </w:rPr>
              <w:t>啄木鸟科Picidae</w:t>
            </w:r>
          </w:p>
        </w:tc>
        <w:tc>
          <w:tcPr>
            <w:tcW w:w="992" w:type="dxa"/>
            <w:noWrap/>
            <w:vAlign w:val="center"/>
          </w:tcPr>
          <w:p w14:paraId="63DF292D">
            <w:pPr>
              <w:pStyle w:val="179"/>
              <w:rPr>
                <w:b/>
              </w:rPr>
            </w:pPr>
          </w:p>
        </w:tc>
        <w:tc>
          <w:tcPr>
            <w:tcW w:w="567" w:type="dxa"/>
            <w:noWrap/>
            <w:vAlign w:val="center"/>
          </w:tcPr>
          <w:p w14:paraId="778EC0A6">
            <w:pPr>
              <w:pStyle w:val="179"/>
              <w:rPr>
                <w:b/>
              </w:rPr>
            </w:pPr>
          </w:p>
        </w:tc>
        <w:tc>
          <w:tcPr>
            <w:tcW w:w="851" w:type="dxa"/>
            <w:noWrap/>
            <w:vAlign w:val="center"/>
          </w:tcPr>
          <w:p w14:paraId="0FB6F815">
            <w:pPr>
              <w:pStyle w:val="179"/>
              <w:rPr>
                <w:b/>
              </w:rPr>
            </w:pPr>
          </w:p>
        </w:tc>
        <w:tc>
          <w:tcPr>
            <w:tcW w:w="663" w:type="dxa"/>
            <w:noWrap/>
            <w:vAlign w:val="center"/>
          </w:tcPr>
          <w:p w14:paraId="096D7BFD">
            <w:pPr>
              <w:pStyle w:val="179"/>
              <w:rPr>
                <w:b/>
              </w:rPr>
            </w:pPr>
          </w:p>
        </w:tc>
        <w:tc>
          <w:tcPr>
            <w:tcW w:w="1129" w:type="dxa"/>
            <w:noWrap/>
            <w:vAlign w:val="center"/>
          </w:tcPr>
          <w:p w14:paraId="123AE13C">
            <w:pPr>
              <w:pStyle w:val="179"/>
              <w:rPr>
                <w:b/>
              </w:rPr>
            </w:pPr>
          </w:p>
        </w:tc>
      </w:tr>
      <w:tr w14:paraId="67DDD85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6A0A0595">
            <w:pPr>
              <w:pStyle w:val="179"/>
            </w:pPr>
            <w:r>
              <w:t>18</w:t>
            </w:r>
          </w:p>
        </w:tc>
        <w:tc>
          <w:tcPr>
            <w:tcW w:w="2977" w:type="dxa"/>
            <w:noWrap/>
            <w:vAlign w:val="center"/>
          </w:tcPr>
          <w:p w14:paraId="007F35C1">
            <w:pPr>
              <w:pStyle w:val="179"/>
            </w:pPr>
            <w:r>
              <w:t>小斑啄木鸟</w:t>
            </w:r>
            <w:r>
              <w:rPr>
                <w:i/>
                <w:iCs/>
              </w:rPr>
              <w:t>Dendrocopos minor</w:t>
            </w:r>
          </w:p>
        </w:tc>
        <w:tc>
          <w:tcPr>
            <w:tcW w:w="992" w:type="dxa"/>
            <w:noWrap/>
            <w:vAlign w:val="center"/>
          </w:tcPr>
          <w:p w14:paraId="68B0BC3B">
            <w:pPr>
              <w:pStyle w:val="179"/>
            </w:pPr>
            <w:r>
              <w:t>F</w:t>
            </w:r>
          </w:p>
        </w:tc>
        <w:tc>
          <w:tcPr>
            <w:tcW w:w="567" w:type="dxa"/>
            <w:noWrap/>
            <w:vAlign w:val="center"/>
          </w:tcPr>
          <w:p w14:paraId="522729CA">
            <w:pPr>
              <w:pStyle w:val="179"/>
            </w:pPr>
            <w:r>
              <w:t>R</w:t>
            </w:r>
          </w:p>
        </w:tc>
        <w:tc>
          <w:tcPr>
            <w:tcW w:w="851" w:type="dxa"/>
            <w:noWrap/>
            <w:vAlign w:val="center"/>
          </w:tcPr>
          <w:p w14:paraId="38BE2A27">
            <w:pPr>
              <w:pStyle w:val="179"/>
            </w:pPr>
            <w:r>
              <w:t>P</w:t>
            </w:r>
          </w:p>
        </w:tc>
        <w:tc>
          <w:tcPr>
            <w:tcW w:w="663" w:type="dxa"/>
            <w:noWrap/>
            <w:vAlign w:val="center"/>
          </w:tcPr>
          <w:p w14:paraId="5B8871BB">
            <w:pPr>
              <w:pStyle w:val="179"/>
            </w:pPr>
            <w:r>
              <w:t>+</w:t>
            </w:r>
          </w:p>
        </w:tc>
        <w:tc>
          <w:tcPr>
            <w:tcW w:w="1129" w:type="dxa"/>
            <w:noWrap/>
            <w:vAlign w:val="center"/>
          </w:tcPr>
          <w:p w14:paraId="7A0FAA94">
            <w:pPr>
              <w:pStyle w:val="179"/>
            </w:pPr>
            <w:r>
              <w:t>Ⅲ</w:t>
            </w:r>
          </w:p>
        </w:tc>
      </w:tr>
      <w:tr w14:paraId="43434A5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5DE830D5">
            <w:pPr>
              <w:pStyle w:val="179"/>
              <w:rPr>
                <w:b/>
              </w:rPr>
            </w:pPr>
            <w:r>
              <w:rPr>
                <w:b/>
              </w:rPr>
              <w:t>十三</w:t>
            </w:r>
          </w:p>
        </w:tc>
        <w:tc>
          <w:tcPr>
            <w:tcW w:w="2977" w:type="dxa"/>
            <w:noWrap/>
            <w:vAlign w:val="center"/>
          </w:tcPr>
          <w:p w14:paraId="3D7A3212">
            <w:pPr>
              <w:pStyle w:val="179"/>
              <w:rPr>
                <w:b/>
              </w:rPr>
            </w:pPr>
            <w:r>
              <w:rPr>
                <w:b/>
              </w:rPr>
              <w:t>隼形目 FALCONIFORMES</w:t>
            </w:r>
          </w:p>
        </w:tc>
        <w:tc>
          <w:tcPr>
            <w:tcW w:w="992" w:type="dxa"/>
            <w:noWrap/>
            <w:vAlign w:val="center"/>
          </w:tcPr>
          <w:p w14:paraId="4DD40942">
            <w:pPr>
              <w:pStyle w:val="179"/>
              <w:rPr>
                <w:b/>
              </w:rPr>
            </w:pPr>
          </w:p>
        </w:tc>
        <w:tc>
          <w:tcPr>
            <w:tcW w:w="567" w:type="dxa"/>
            <w:noWrap/>
            <w:vAlign w:val="center"/>
          </w:tcPr>
          <w:p w14:paraId="6AD46B24">
            <w:pPr>
              <w:pStyle w:val="179"/>
              <w:rPr>
                <w:b/>
              </w:rPr>
            </w:pPr>
          </w:p>
        </w:tc>
        <w:tc>
          <w:tcPr>
            <w:tcW w:w="851" w:type="dxa"/>
            <w:noWrap/>
            <w:vAlign w:val="center"/>
          </w:tcPr>
          <w:p w14:paraId="263C03A0">
            <w:pPr>
              <w:pStyle w:val="179"/>
              <w:rPr>
                <w:b/>
              </w:rPr>
            </w:pPr>
          </w:p>
        </w:tc>
        <w:tc>
          <w:tcPr>
            <w:tcW w:w="663" w:type="dxa"/>
            <w:noWrap/>
            <w:vAlign w:val="center"/>
          </w:tcPr>
          <w:p w14:paraId="06CD172B">
            <w:pPr>
              <w:pStyle w:val="179"/>
              <w:rPr>
                <w:b/>
              </w:rPr>
            </w:pPr>
          </w:p>
        </w:tc>
        <w:tc>
          <w:tcPr>
            <w:tcW w:w="1129" w:type="dxa"/>
            <w:noWrap/>
            <w:vAlign w:val="center"/>
          </w:tcPr>
          <w:p w14:paraId="699DD215">
            <w:pPr>
              <w:pStyle w:val="179"/>
              <w:rPr>
                <w:b/>
              </w:rPr>
            </w:pPr>
          </w:p>
        </w:tc>
      </w:tr>
      <w:tr w14:paraId="63FB72C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1BBA5951">
            <w:pPr>
              <w:pStyle w:val="179"/>
              <w:rPr>
                <w:b/>
              </w:rPr>
            </w:pPr>
            <w:r>
              <w:rPr>
                <w:b/>
              </w:rPr>
              <w:t>（十四）</w:t>
            </w:r>
          </w:p>
        </w:tc>
        <w:tc>
          <w:tcPr>
            <w:tcW w:w="2977" w:type="dxa"/>
            <w:noWrap/>
            <w:vAlign w:val="center"/>
          </w:tcPr>
          <w:p w14:paraId="56DD40A0">
            <w:pPr>
              <w:pStyle w:val="179"/>
              <w:rPr>
                <w:b/>
              </w:rPr>
            </w:pPr>
            <w:r>
              <w:rPr>
                <w:b/>
              </w:rPr>
              <w:t>隼科 Falconidae</w:t>
            </w:r>
          </w:p>
        </w:tc>
        <w:tc>
          <w:tcPr>
            <w:tcW w:w="992" w:type="dxa"/>
            <w:noWrap/>
            <w:vAlign w:val="center"/>
          </w:tcPr>
          <w:p w14:paraId="3AFBFB34">
            <w:pPr>
              <w:pStyle w:val="179"/>
              <w:rPr>
                <w:b/>
              </w:rPr>
            </w:pPr>
          </w:p>
        </w:tc>
        <w:tc>
          <w:tcPr>
            <w:tcW w:w="567" w:type="dxa"/>
            <w:noWrap/>
            <w:vAlign w:val="center"/>
          </w:tcPr>
          <w:p w14:paraId="0D2C3C04">
            <w:pPr>
              <w:pStyle w:val="179"/>
              <w:rPr>
                <w:b/>
              </w:rPr>
            </w:pPr>
          </w:p>
        </w:tc>
        <w:tc>
          <w:tcPr>
            <w:tcW w:w="851" w:type="dxa"/>
            <w:noWrap/>
            <w:vAlign w:val="center"/>
          </w:tcPr>
          <w:p w14:paraId="04145A73">
            <w:pPr>
              <w:pStyle w:val="179"/>
              <w:rPr>
                <w:b/>
              </w:rPr>
            </w:pPr>
          </w:p>
        </w:tc>
        <w:tc>
          <w:tcPr>
            <w:tcW w:w="663" w:type="dxa"/>
            <w:noWrap/>
            <w:vAlign w:val="center"/>
          </w:tcPr>
          <w:p w14:paraId="5DC1EB4B">
            <w:pPr>
              <w:pStyle w:val="179"/>
              <w:rPr>
                <w:b/>
              </w:rPr>
            </w:pPr>
          </w:p>
        </w:tc>
        <w:tc>
          <w:tcPr>
            <w:tcW w:w="1129" w:type="dxa"/>
            <w:noWrap/>
            <w:vAlign w:val="center"/>
          </w:tcPr>
          <w:p w14:paraId="5584E52E">
            <w:pPr>
              <w:pStyle w:val="179"/>
              <w:rPr>
                <w:b/>
              </w:rPr>
            </w:pPr>
          </w:p>
        </w:tc>
      </w:tr>
      <w:tr w14:paraId="1D921E1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411C58D0">
            <w:pPr>
              <w:pStyle w:val="179"/>
            </w:pPr>
            <w:r>
              <w:t>19</w:t>
            </w:r>
          </w:p>
        </w:tc>
        <w:tc>
          <w:tcPr>
            <w:tcW w:w="2977" w:type="dxa"/>
            <w:noWrap/>
            <w:vAlign w:val="center"/>
          </w:tcPr>
          <w:p w14:paraId="6F46EE08">
            <w:pPr>
              <w:pStyle w:val="179"/>
            </w:pPr>
            <w:r>
              <w:t>红隼</w:t>
            </w:r>
            <w:r>
              <w:rPr>
                <w:i/>
                <w:iCs/>
              </w:rPr>
              <w:t>Falco tinnunculus</w:t>
            </w:r>
          </w:p>
        </w:tc>
        <w:tc>
          <w:tcPr>
            <w:tcW w:w="992" w:type="dxa"/>
            <w:noWrap/>
            <w:vAlign w:val="center"/>
          </w:tcPr>
          <w:p w14:paraId="7D566068">
            <w:pPr>
              <w:pStyle w:val="179"/>
            </w:pPr>
            <w:r>
              <w:t>M G F</w:t>
            </w:r>
          </w:p>
        </w:tc>
        <w:tc>
          <w:tcPr>
            <w:tcW w:w="567" w:type="dxa"/>
            <w:noWrap/>
            <w:vAlign w:val="center"/>
          </w:tcPr>
          <w:p w14:paraId="0F1BAEBD">
            <w:pPr>
              <w:pStyle w:val="179"/>
            </w:pPr>
            <w:r>
              <w:t>S</w:t>
            </w:r>
          </w:p>
        </w:tc>
        <w:tc>
          <w:tcPr>
            <w:tcW w:w="851" w:type="dxa"/>
            <w:noWrap/>
            <w:vAlign w:val="center"/>
          </w:tcPr>
          <w:p w14:paraId="66514FA0">
            <w:pPr>
              <w:pStyle w:val="179"/>
            </w:pPr>
            <w:r>
              <w:t>C</w:t>
            </w:r>
          </w:p>
        </w:tc>
        <w:tc>
          <w:tcPr>
            <w:tcW w:w="663" w:type="dxa"/>
            <w:noWrap/>
            <w:vAlign w:val="center"/>
          </w:tcPr>
          <w:p w14:paraId="66CA3CB9">
            <w:pPr>
              <w:pStyle w:val="179"/>
            </w:pPr>
            <w:r>
              <w:t>+</w:t>
            </w:r>
          </w:p>
        </w:tc>
        <w:tc>
          <w:tcPr>
            <w:tcW w:w="1129" w:type="dxa"/>
            <w:noWrap/>
            <w:vAlign w:val="center"/>
          </w:tcPr>
          <w:p w14:paraId="163CA164">
            <w:pPr>
              <w:pStyle w:val="179"/>
            </w:pPr>
            <w:r>
              <w:rPr>
                <w:szCs w:val="21"/>
              </w:rPr>
              <w:t>Ⅱ</w:t>
            </w:r>
          </w:p>
        </w:tc>
      </w:tr>
      <w:tr w14:paraId="203FC59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768FD012">
            <w:pPr>
              <w:pStyle w:val="179"/>
              <w:rPr>
                <w:b/>
              </w:rPr>
            </w:pPr>
            <w:r>
              <w:rPr>
                <w:b/>
              </w:rPr>
              <w:t>十四</w:t>
            </w:r>
          </w:p>
        </w:tc>
        <w:tc>
          <w:tcPr>
            <w:tcW w:w="2977" w:type="dxa"/>
            <w:noWrap/>
            <w:vAlign w:val="center"/>
          </w:tcPr>
          <w:p w14:paraId="1F3AFFB0">
            <w:pPr>
              <w:pStyle w:val="179"/>
              <w:rPr>
                <w:b/>
              </w:rPr>
            </w:pPr>
            <w:r>
              <w:rPr>
                <w:b/>
              </w:rPr>
              <w:t>雀形目 PASSERIFORMES</w:t>
            </w:r>
          </w:p>
        </w:tc>
        <w:tc>
          <w:tcPr>
            <w:tcW w:w="992" w:type="dxa"/>
            <w:noWrap/>
            <w:vAlign w:val="center"/>
          </w:tcPr>
          <w:p w14:paraId="24574986">
            <w:pPr>
              <w:pStyle w:val="179"/>
              <w:rPr>
                <w:b/>
              </w:rPr>
            </w:pPr>
          </w:p>
        </w:tc>
        <w:tc>
          <w:tcPr>
            <w:tcW w:w="567" w:type="dxa"/>
            <w:noWrap/>
            <w:vAlign w:val="center"/>
          </w:tcPr>
          <w:p w14:paraId="785DC2EC">
            <w:pPr>
              <w:pStyle w:val="179"/>
              <w:rPr>
                <w:b/>
              </w:rPr>
            </w:pPr>
          </w:p>
        </w:tc>
        <w:tc>
          <w:tcPr>
            <w:tcW w:w="851" w:type="dxa"/>
            <w:noWrap/>
            <w:vAlign w:val="center"/>
          </w:tcPr>
          <w:p w14:paraId="6DF12E91">
            <w:pPr>
              <w:pStyle w:val="179"/>
              <w:rPr>
                <w:b/>
              </w:rPr>
            </w:pPr>
          </w:p>
        </w:tc>
        <w:tc>
          <w:tcPr>
            <w:tcW w:w="663" w:type="dxa"/>
            <w:noWrap/>
            <w:vAlign w:val="center"/>
          </w:tcPr>
          <w:p w14:paraId="5CC7397E">
            <w:pPr>
              <w:pStyle w:val="179"/>
              <w:rPr>
                <w:b/>
              </w:rPr>
            </w:pPr>
          </w:p>
        </w:tc>
        <w:tc>
          <w:tcPr>
            <w:tcW w:w="1129" w:type="dxa"/>
            <w:noWrap/>
            <w:vAlign w:val="center"/>
          </w:tcPr>
          <w:p w14:paraId="703D3C5C">
            <w:pPr>
              <w:pStyle w:val="179"/>
              <w:rPr>
                <w:b/>
              </w:rPr>
            </w:pPr>
          </w:p>
        </w:tc>
      </w:tr>
      <w:tr w14:paraId="1C9999E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75787AD0">
            <w:pPr>
              <w:pStyle w:val="179"/>
              <w:rPr>
                <w:b/>
              </w:rPr>
            </w:pPr>
            <w:r>
              <w:rPr>
                <w:b/>
              </w:rPr>
              <w:t>（十五）</w:t>
            </w:r>
          </w:p>
        </w:tc>
        <w:tc>
          <w:tcPr>
            <w:tcW w:w="2977" w:type="dxa"/>
            <w:noWrap/>
            <w:vAlign w:val="center"/>
          </w:tcPr>
          <w:p w14:paraId="659C69D7">
            <w:pPr>
              <w:pStyle w:val="179"/>
              <w:rPr>
                <w:b/>
              </w:rPr>
            </w:pPr>
            <w:r>
              <w:rPr>
                <w:b/>
              </w:rPr>
              <w:t>鸦科 Corvidae</w:t>
            </w:r>
          </w:p>
        </w:tc>
        <w:tc>
          <w:tcPr>
            <w:tcW w:w="992" w:type="dxa"/>
            <w:noWrap/>
            <w:vAlign w:val="center"/>
          </w:tcPr>
          <w:p w14:paraId="01A9379D">
            <w:pPr>
              <w:pStyle w:val="179"/>
              <w:rPr>
                <w:b/>
              </w:rPr>
            </w:pPr>
          </w:p>
        </w:tc>
        <w:tc>
          <w:tcPr>
            <w:tcW w:w="567" w:type="dxa"/>
            <w:noWrap/>
            <w:vAlign w:val="center"/>
          </w:tcPr>
          <w:p w14:paraId="3953F58D">
            <w:pPr>
              <w:pStyle w:val="179"/>
              <w:rPr>
                <w:b/>
              </w:rPr>
            </w:pPr>
          </w:p>
        </w:tc>
        <w:tc>
          <w:tcPr>
            <w:tcW w:w="851" w:type="dxa"/>
            <w:noWrap/>
            <w:vAlign w:val="center"/>
          </w:tcPr>
          <w:p w14:paraId="0160E73F">
            <w:pPr>
              <w:pStyle w:val="179"/>
              <w:rPr>
                <w:b/>
              </w:rPr>
            </w:pPr>
          </w:p>
        </w:tc>
        <w:tc>
          <w:tcPr>
            <w:tcW w:w="663" w:type="dxa"/>
            <w:noWrap/>
            <w:vAlign w:val="center"/>
          </w:tcPr>
          <w:p w14:paraId="6942C716">
            <w:pPr>
              <w:pStyle w:val="179"/>
              <w:rPr>
                <w:b/>
              </w:rPr>
            </w:pPr>
          </w:p>
        </w:tc>
        <w:tc>
          <w:tcPr>
            <w:tcW w:w="1129" w:type="dxa"/>
            <w:noWrap/>
            <w:vAlign w:val="center"/>
          </w:tcPr>
          <w:p w14:paraId="72DEB37F">
            <w:pPr>
              <w:pStyle w:val="179"/>
              <w:rPr>
                <w:b/>
              </w:rPr>
            </w:pPr>
          </w:p>
        </w:tc>
      </w:tr>
      <w:tr w14:paraId="2CDA7AD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40D67FF9">
            <w:pPr>
              <w:pStyle w:val="179"/>
            </w:pPr>
            <w:r>
              <w:t>20</w:t>
            </w:r>
          </w:p>
        </w:tc>
        <w:tc>
          <w:tcPr>
            <w:tcW w:w="2977" w:type="dxa"/>
            <w:noWrap/>
            <w:vAlign w:val="center"/>
          </w:tcPr>
          <w:p w14:paraId="0DF723CE">
            <w:pPr>
              <w:pStyle w:val="179"/>
            </w:pPr>
            <w:r>
              <w:t xml:space="preserve">松鸦 </w:t>
            </w:r>
            <w:r>
              <w:rPr>
                <w:i/>
                <w:iCs/>
              </w:rPr>
              <w:t>Garrulus glandarius</w:t>
            </w:r>
          </w:p>
        </w:tc>
        <w:tc>
          <w:tcPr>
            <w:tcW w:w="992" w:type="dxa"/>
            <w:noWrap/>
            <w:vAlign w:val="center"/>
          </w:tcPr>
          <w:p w14:paraId="1AC3007D">
            <w:pPr>
              <w:pStyle w:val="179"/>
            </w:pPr>
            <w:r>
              <w:t>F</w:t>
            </w:r>
          </w:p>
        </w:tc>
        <w:tc>
          <w:tcPr>
            <w:tcW w:w="567" w:type="dxa"/>
            <w:noWrap/>
            <w:vAlign w:val="center"/>
          </w:tcPr>
          <w:p w14:paraId="15DB3842">
            <w:pPr>
              <w:pStyle w:val="179"/>
            </w:pPr>
            <w:r>
              <w:t>R</w:t>
            </w:r>
          </w:p>
        </w:tc>
        <w:tc>
          <w:tcPr>
            <w:tcW w:w="851" w:type="dxa"/>
            <w:noWrap/>
            <w:vAlign w:val="center"/>
          </w:tcPr>
          <w:p w14:paraId="1011D2E6">
            <w:pPr>
              <w:pStyle w:val="179"/>
            </w:pPr>
            <w:r>
              <w:t>C</w:t>
            </w:r>
          </w:p>
        </w:tc>
        <w:tc>
          <w:tcPr>
            <w:tcW w:w="663" w:type="dxa"/>
            <w:noWrap/>
            <w:vAlign w:val="center"/>
          </w:tcPr>
          <w:p w14:paraId="33459520">
            <w:pPr>
              <w:pStyle w:val="179"/>
            </w:pPr>
            <w:r>
              <w:t>++</w:t>
            </w:r>
          </w:p>
        </w:tc>
        <w:tc>
          <w:tcPr>
            <w:tcW w:w="1129" w:type="dxa"/>
            <w:noWrap/>
            <w:vAlign w:val="center"/>
          </w:tcPr>
          <w:p w14:paraId="0F1A1060">
            <w:pPr>
              <w:pStyle w:val="179"/>
            </w:pPr>
          </w:p>
        </w:tc>
      </w:tr>
      <w:tr w14:paraId="4B61677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2F1D5F63">
            <w:pPr>
              <w:pStyle w:val="179"/>
            </w:pPr>
            <w:r>
              <w:t>21</w:t>
            </w:r>
          </w:p>
        </w:tc>
        <w:tc>
          <w:tcPr>
            <w:tcW w:w="2977" w:type="dxa"/>
            <w:noWrap/>
            <w:vAlign w:val="center"/>
          </w:tcPr>
          <w:p w14:paraId="5F968073">
            <w:pPr>
              <w:pStyle w:val="179"/>
            </w:pPr>
            <w:r>
              <w:t xml:space="preserve">灰喜鹊 </w:t>
            </w:r>
            <w:r>
              <w:rPr>
                <w:i/>
                <w:iCs/>
              </w:rPr>
              <w:t>Cyanopica cyana</w:t>
            </w:r>
          </w:p>
        </w:tc>
        <w:tc>
          <w:tcPr>
            <w:tcW w:w="992" w:type="dxa"/>
            <w:noWrap/>
            <w:vAlign w:val="center"/>
          </w:tcPr>
          <w:p w14:paraId="04548CBC">
            <w:pPr>
              <w:pStyle w:val="179"/>
            </w:pPr>
            <w:r>
              <w:t>G L F</w:t>
            </w:r>
          </w:p>
        </w:tc>
        <w:tc>
          <w:tcPr>
            <w:tcW w:w="567" w:type="dxa"/>
            <w:noWrap/>
            <w:vAlign w:val="center"/>
          </w:tcPr>
          <w:p w14:paraId="7C65AAF6">
            <w:pPr>
              <w:pStyle w:val="179"/>
            </w:pPr>
            <w:r>
              <w:t>R</w:t>
            </w:r>
          </w:p>
        </w:tc>
        <w:tc>
          <w:tcPr>
            <w:tcW w:w="851" w:type="dxa"/>
            <w:noWrap/>
            <w:vAlign w:val="center"/>
          </w:tcPr>
          <w:p w14:paraId="7BEA22C5">
            <w:pPr>
              <w:pStyle w:val="179"/>
            </w:pPr>
            <w:r>
              <w:t>P</w:t>
            </w:r>
          </w:p>
        </w:tc>
        <w:tc>
          <w:tcPr>
            <w:tcW w:w="663" w:type="dxa"/>
            <w:noWrap/>
            <w:vAlign w:val="center"/>
          </w:tcPr>
          <w:p w14:paraId="224C7B69">
            <w:pPr>
              <w:pStyle w:val="179"/>
            </w:pPr>
            <w:r>
              <w:t>++</w:t>
            </w:r>
          </w:p>
        </w:tc>
        <w:tc>
          <w:tcPr>
            <w:tcW w:w="1129" w:type="dxa"/>
            <w:noWrap/>
            <w:vAlign w:val="center"/>
          </w:tcPr>
          <w:p w14:paraId="5B02AE6B">
            <w:pPr>
              <w:pStyle w:val="179"/>
            </w:pPr>
            <w:r>
              <w:t>Ⅲ Ⅳ</w:t>
            </w:r>
          </w:p>
        </w:tc>
      </w:tr>
      <w:tr w14:paraId="3C1D26E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00794DFE">
            <w:pPr>
              <w:pStyle w:val="179"/>
            </w:pPr>
            <w:r>
              <w:t>22</w:t>
            </w:r>
          </w:p>
        </w:tc>
        <w:tc>
          <w:tcPr>
            <w:tcW w:w="2977" w:type="dxa"/>
            <w:noWrap/>
            <w:vAlign w:val="center"/>
          </w:tcPr>
          <w:p w14:paraId="195298AE">
            <w:pPr>
              <w:pStyle w:val="179"/>
            </w:pPr>
            <w:r>
              <w:t xml:space="preserve">喜鹊 </w:t>
            </w:r>
            <w:r>
              <w:rPr>
                <w:i/>
                <w:iCs/>
              </w:rPr>
              <w:t>Pica pica</w:t>
            </w:r>
          </w:p>
        </w:tc>
        <w:tc>
          <w:tcPr>
            <w:tcW w:w="992" w:type="dxa"/>
            <w:noWrap/>
            <w:vAlign w:val="center"/>
          </w:tcPr>
          <w:p w14:paraId="60D3298A">
            <w:pPr>
              <w:pStyle w:val="179"/>
            </w:pPr>
            <w:r>
              <w:t>G L F</w:t>
            </w:r>
          </w:p>
        </w:tc>
        <w:tc>
          <w:tcPr>
            <w:tcW w:w="567" w:type="dxa"/>
            <w:noWrap/>
            <w:vAlign w:val="center"/>
          </w:tcPr>
          <w:p w14:paraId="609AF25F">
            <w:pPr>
              <w:pStyle w:val="179"/>
            </w:pPr>
            <w:r>
              <w:t>R</w:t>
            </w:r>
          </w:p>
        </w:tc>
        <w:tc>
          <w:tcPr>
            <w:tcW w:w="851" w:type="dxa"/>
            <w:noWrap/>
            <w:vAlign w:val="center"/>
          </w:tcPr>
          <w:p w14:paraId="6C8E8A51">
            <w:pPr>
              <w:pStyle w:val="179"/>
            </w:pPr>
            <w:r>
              <w:t>P</w:t>
            </w:r>
          </w:p>
        </w:tc>
        <w:tc>
          <w:tcPr>
            <w:tcW w:w="663" w:type="dxa"/>
            <w:noWrap/>
            <w:vAlign w:val="center"/>
          </w:tcPr>
          <w:p w14:paraId="6982B47A">
            <w:pPr>
              <w:pStyle w:val="179"/>
            </w:pPr>
            <w:r>
              <w:t>+++</w:t>
            </w:r>
          </w:p>
        </w:tc>
        <w:tc>
          <w:tcPr>
            <w:tcW w:w="1129" w:type="dxa"/>
            <w:noWrap/>
            <w:vAlign w:val="center"/>
          </w:tcPr>
          <w:p w14:paraId="682F9D6A">
            <w:pPr>
              <w:pStyle w:val="179"/>
            </w:pPr>
            <w:r>
              <w:t>Ⅲ</w:t>
            </w:r>
          </w:p>
        </w:tc>
      </w:tr>
      <w:tr w14:paraId="0E737DB5">
        <w:tblPrEx>
          <w:tblCellMar>
            <w:top w:w="0" w:type="dxa"/>
            <w:left w:w="57" w:type="dxa"/>
            <w:bottom w:w="0" w:type="dxa"/>
            <w:right w:w="57" w:type="dxa"/>
          </w:tblCellMar>
        </w:tblPrEx>
        <w:trPr>
          <w:cantSplit/>
          <w:trHeight w:val="340" w:hRule="atLeast"/>
          <w:jc w:val="center"/>
        </w:trPr>
        <w:tc>
          <w:tcPr>
            <w:tcW w:w="1191" w:type="dxa"/>
            <w:noWrap/>
            <w:vAlign w:val="center"/>
          </w:tcPr>
          <w:p w14:paraId="292F6870">
            <w:pPr>
              <w:pStyle w:val="179"/>
            </w:pPr>
            <w:r>
              <w:t>23</w:t>
            </w:r>
          </w:p>
        </w:tc>
        <w:tc>
          <w:tcPr>
            <w:tcW w:w="2977" w:type="dxa"/>
            <w:noWrap/>
            <w:vAlign w:val="center"/>
          </w:tcPr>
          <w:p w14:paraId="4538AC54">
            <w:pPr>
              <w:pStyle w:val="179"/>
            </w:pPr>
            <w:r>
              <w:t>小嘴乌鸦</w:t>
            </w:r>
            <w:r>
              <w:rPr>
                <w:i/>
                <w:iCs/>
              </w:rPr>
              <w:t>Corvus corone</w:t>
            </w:r>
          </w:p>
        </w:tc>
        <w:tc>
          <w:tcPr>
            <w:tcW w:w="992" w:type="dxa"/>
            <w:noWrap/>
            <w:vAlign w:val="center"/>
          </w:tcPr>
          <w:p w14:paraId="176AAB08">
            <w:pPr>
              <w:pStyle w:val="179"/>
            </w:pPr>
            <w:r>
              <w:t>G L FR</w:t>
            </w:r>
          </w:p>
        </w:tc>
        <w:tc>
          <w:tcPr>
            <w:tcW w:w="567" w:type="dxa"/>
            <w:noWrap/>
            <w:vAlign w:val="center"/>
          </w:tcPr>
          <w:p w14:paraId="0D54F30D">
            <w:pPr>
              <w:pStyle w:val="179"/>
            </w:pPr>
            <w:r>
              <w:t>R</w:t>
            </w:r>
          </w:p>
        </w:tc>
        <w:tc>
          <w:tcPr>
            <w:tcW w:w="851" w:type="dxa"/>
            <w:noWrap/>
            <w:vAlign w:val="center"/>
          </w:tcPr>
          <w:p w14:paraId="6C4D34EC">
            <w:pPr>
              <w:pStyle w:val="179"/>
            </w:pPr>
            <w:r>
              <w:t>C</w:t>
            </w:r>
          </w:p>
        </w:tc>
        <w:tc>
          <w:tcPr>
            <w:tcW w:w="663" w:type="dxa"/>
            <w:noWrap/>
            <w:vAlign w:val="center"/>
          </w:tcPr>
          <w:p w14:paraId="375B8999">
            <w:pPr>
              <w:pStyle w:val="179"/>
            </w:pPr>
            <w:r>
              <w:t>+++</w:t>
            </w:r>
          </w:p>
        </w:tc>
        <w:tc>
          <w:tcPr>
            <w:tcW w:w="1129" w:type="dxa"/>
            <w:noWrap/>
            <w:vAlign w:val="center"/>
          </w:tcPr>
          <w:p w14:paraId="47E799E2">
            <w:pPr>
              <w:pStyle w:val="179"/>
            </w:pPr>
          </w:p>
        </w:tc>
      </w:tr>
      <w:tr w14:paraId="6D52F11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613880CE">
            <w:pPr>
              <w:pStyle w:val="179"/>
              <w:rPr>
                <w:b/>
              </w:rPr>
            </w:pPr>
            <w:r>
              <w:rPr>
                <w:b/>
              </w:rPr>
              <w:t>（十六）</w:t>
            </w:r>
          </w:p>
        </w:tc>
        <w:tc>
          <w:tcPr>
            <w:tcW w:w="2977" w:type="dxa"/>
            <w:noWrap/>
            <w:vAlign w:val="center"/>
          </w:tcPr>
          <w:p w14:paraId="6BDE0A3E">
            <w:pPr>
              <w:pStyle w:val="179"/>
              <w:rPr>
                <w:b/>
              </w:rPr>
            </w:pPr>
            <w:r>
              <w:rPr>
                <w:b/>
              </w:rPr>
              <w:t>山雀科Paridae</w:t>
            </w:r>
          </w:p>
        </w:tc>
        <w:tc>
          <w:tcPr>
            <w:tcW w:w="992" w:type="dxa"/>
            <w:noWrap/>
            <w:vAlign w:val="center"/>
          </w:tcPr>
          <w:p w14:paraId="47F9E9D3">
            <w:pPr>
              <w:pStyle w:val="179"/>
              <w:rPr>
                <w:b/>
              </w:rPr>
            </w:pPr>
          </w:p>
        </w:tc>
        <w:tc>
          <w:tcPr>
            <w:tcW w:w="567" w:type="dxa"/>
            <w:noWrap/>
            <w:vAlign w:val="center"/>
          </w:tcPr>
          <w:p w14:paraId="2F4102F3">
            <w:pPr>
              <w:pStyle w:val="179"/>
              <w:rPr>
                <w:b/>
              </w:rPr>
            </w:pPr>
          </w:p>
        </w:tc>
        <w:tc>
          <w:tcPr>
            <w:tcW w:w="851" w:type="dxa"/>
            <w:noWrap/>
            <w:vAlign w:val="center"/>
          </w:tcPr>
          <w:p w14:paraId="2D2A2805">
            <w:pPr>
              <w:pStyle w:val="179"/>
              <w:rPr>
                <w:b/>
              </w:rPr>
            </w:pPr>
          </w:p>
        </w:tc>
        <w:tc>
          <w:tcPr>
            <w:tcW w:w="663" w:type="dxa"/>
            <w:noWrap/>
            <w:vAlign w:val="center"/>
          </w:tcPr>
          <w:p w14:paraId="3EBF337A">
            <w:pPr>
              <w:pStyle w:val="179"/>
              <w:rPr>
                <w:b/>
              </w:rPr>
            </w:pPr>
          </w:p>
        </w:tc>
        <w:tc>
          <w:tcPr>
            <w:tcW w:w="1129" w:type="dxa"/>
            <w:noWrap/>
            <w:vAlign w:val="center"/>
          </w:tcPr>
          <w:p w14:paraId="72BC1D6C">
            <w:pPr>
              <w:pStyle w:val="179"/>
              <w:rPr>
                <w:b/>
              </w:rPr>
            </w:pPr>
          </w:p>
        </w:tc>
      </w:tr>
      <w:tr w14:paraId="4009921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1E3096B7">
            <w:pPr>
              <w:pStyle w:val="179"/>
            </w:pPr>
            <w:r>
              <w:t>24</w:t>
            </w:r>
          </w:p>
        </w:tc>
        <w:tc>
          <w:tcPr>
            <w:tcW w:w="2977" w:type="dxa"/>
            <w:noWrap/>
            <w:vAlign w:val="center"/>
          </w:tcPr>
          <w:p w14:paraId="7CBF9AC9">
            <w:pPr>
              <w:pStyle w:val="179"/>
            </w:pPr>
            <w:r>
              <w:t>煤山雀</w:t>
            </w:r>
            <w:r>
              <w:rPr>
                <w:i/>
                <w:iCs/>
              </w:rPr>
              <w:t>Periparus ater</w:t>
            </w:r>
          </w:p>
        </w:tc>
        <w:tc>
          <w:tcPr>
            <w:tcW w:w="992" w:type="dxa"/>
            <w:noWrap/>
            <w:vAlign w:val="center"/>
          </w:tcPr>
          <w:p w14:paraId="1E2DFAD1">
            <w:pPr>
              <w:pStyle w:val="179"/>
            </w:pPr>
            <w:r>
              <w:t>F</w:t>
            </w:r>
          </w:p>
        </w:tc>
        <w:tc>
          <w:tcPr>
            <w:tcW w:w="567" w:type="dxa"/>
            <w:noWrap/>
            <w:vAlign w:val="center"/>
          </w:tcPr>
          <w:p w14:paraId="6F441B4D">
            <w:pPr>
              <w:pStyle w:val="179"/>
            </w:pPr>
            <w:r>
              <w:t>P</w:t>
            </w:r>
          </w:p>
        </w:tc>
        <w:tc>
          <w:tcPr>
            <w:tcW w:w="851" w:type="dxa"/>
            <w:noWrap/>
            <w:vAlign w:val="center"/>
          </w:tcPr>
          <w:p w14:paraId="12FF972C">
            <w:pPr>
              <w:pStyle w:val="179"/>
            </w:pPr>
            <w:r>
              <w:t>P</w:t>
            </w:r>
          </w:p>
        </w:tc>
        <w:tc>
          <w:tcPr>
            <w:tcW w:w="663" w:type="dxa"/>
            <w:noWrap/>
            <w:vAlign w:val="center"/>
          </w:tcPr>
          <w:p w14:paraId="3007D678">
            <w:pPr>
              <w:pStyle w:val="179"/>
            </w:pPr>
            <w:r>
              <w:t>+</w:t>
            </w:r>
          </w:p>
        </w:tc>
        <w:tc>
          <w:tcPr>
            <w:tcW w:w="1129" w:type="dxa"/>
            <w:noWrap/>
            <w:vAlign w:val="center"/>
          </w:tcPr>
          <w:p w14:paraId="7DF91CBA">
            <w:pPr>
              <w:pStyle w:val="179"/>
            </w:pPr>
            <w:r>
              <w:t>Ⅲ</w:t>
            </w:r>
          </w:p>
        </w:tc>
      </w:tr>
      <w:tr w14:paraId="37E0E4E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4E3F1A4A">
            <w:pPr>
              <w:pStyle w:val="179"/>
              <w:rPr>
                <w:b/>
              </w:rPr>
            </w:pPr>
            <w:r>
              <w:rPr>
                <w:b/>
              </w:rPr>
              <w:t>（十七）</w:t>
            </w:r>
          </w:p>
        </w:tc>
        <w:tc>
          <w:tcPr>
            <w:tcW w:w="2977" w:type="dxa"/>
            <w:noWrap/>
            <w:vAlign w:val="center"/>
          </w:tcPr>
          <w:p w14:paraId="62F92736">
            <w:pPr>
              <w:pStyle w:val="179"/>
              <w:rPr>
                <w:b/>
              </w:rPr>
            </w:pPr>
            <w:r>
              <w:rPr>
                <w:b/>
              </w:rPr>
              <w:t>燕科 Hirundinidae</w:t>
            </w:r>
          </w:p>
        </w:tc>
        <w:tc>
          <w:tcPr>
            <w:tcW w:w="992" w:type="dxa"/>
            <w:noWrap/>
            <w:vAlign w:val="center"/>
          </w:tcPr>
          <w:p w14:paraId="08DEA55B">
            <w:pPr>
              <w:pStyle w:val="179"/>
              <w:rPr>
                <w:b/>
              </w:rPr>
            </w:pPr>
          </w:p>
        </w:tc>
        <w:tc>
          <w:tcPr>
            <w:tcW w:w="567" w:type="dxa"/>
            <w:noWrap/>
            <w:vAlign w:val="center"/>
          </w:tcPr>
          <w:p w14:paraId="11AD98BC">
            <w:pPr>
              <w:pStyle w:val="179"/>
              <w:rPr>
                <w:b/>
              </w:rPr>
            </w:pPr>
          </w:p>
        </w:tc>
        <w:tc>
          <w:tcPr>
            <w:tcW w:w="851" w:type="dxa"/>
            <w:noWrap/>
            <w:vAlign w:val="center"/>
          </w:tcPr>
          <w:p w14:paraId="5DE9AF84">
            <w:pPr>
              <w:pStyle w:val="179"/>
              <w:rPr>
                <w:b/>
              </w:rPr>
            </w:pPr>
          </w:p>
        </w:tc>
        <w:tc>
          <w:tcPr>
            <w:tcW w:w="663" w:type="dxa"/>
            <w:noWrap/>
            <w:vAlign w:val="center"/>
          </w:tcPr>
          <w:p w14:paraId="54245073">
            <w:pPr>
              <w:pStyle w:val="179"/>
              <w:rPr>
                <w:b/>
              </w:rPr>
            </w:pPr>
          </w:p>
        </w:tc>
        <w:tc>
          <w:tcPr>
            <w:tcW w:w="1129" w:type="dxa"/>
            <w:noWrap/>
            <w:vAlign w:val="center"/>
          </w:tcPr>
          <w:p w14:paraId="650D0B34">
            <w:pPr>
              <w:pStyle w:val="179"/>
              <w:rPr>
                <w:b/>
              </w:rPr>
            </w:pPr>
          </w:p>
        </w:tc>
      </w:tr>
      <w:tr w14:paraId="7BCD9DBB">
        <w:tblPrEx>
          <w:tblCellMar>
            <w:top w:w="0" w:type="dxa"/>
            <w:left w:w="57" w:type="dxa"/>
            <w:bottom w:w="0" w:type="dxa"/>
            <w:right w:w="57" w:type="dxa"/>
          </w:tblCellMar>
        </w:tblPrEx>
        <w:trPr>
          <w:cantSplit/>
          <w:trHeight w:val="340" w:hRule="atLeast"/>
          <w:jc w:val="center"/>
        </w:trPr>
        <w:tc>
          <w:tcPr>
            <w:tcW w:w="1191" w:type="dxa"/>
            <w:noWrap/>
            <w:vAlign w:val="center"/>
          </w:tcPr>
          <w:p w14:paraId="29D62F4C">
            <w:pPr>
              <w:pStyle w:val="179"/>
            </w:pPr>
            <w:r>
              <w:t>25</w:t>
            </w:r>
          </w:p>
        </w:tc>
        <w:tc>
          <w:tcPr>
            <w:tcW w:w="2977" w:type="dxa"/>
            <w:noWrap/>
            <w:vAlign w:val="center"/>
          </w:tcPr>
          <w:p w14:paraId="763AF134">
            <w:pPr>
              <w:pStyle w:val="179"/>
            </w:pPr>
            <w:r>
              <w:t xml:space="preserve">毛脚燕 </w:t>
            </w:r>
            <w:r>
              <w:rPr>
                <w:i/>
                <w:iCs/>
              </w:rPr>
              <w:t>Delichon urbica</w:t>
            </w:r>
          </w:p>
        </w:tc>
        <w:tc>
          <w:tcPr>
            <w:tcW w:w="992" w:type="dxa"/>
            <w:noWrap/>
            <w:vAlign w:val="center"/>
          </w:tcPr>
          <w:p w14:paraId="5154E0B8">
            <w:pPr>
              <w:pStyle w:val="179"/>
            </w:pPr>
            <w:r>
              <w:t>G R L</w:t>
            </w:r>
          </w:p>
        </w:tc>
        <w:tc>
          <w:tcPr>
            <w:tcW w:w="567" w:type="dxa"/>
            <w:noWrap/>
            <w:vAlign w:val="center"/>
          </w:tcPr>
          <w:p w14:paraId="5D4C8A1B">
            <w:pPr>
              <w:pStyle w:val="179"/>
            </w:pPr>
            <w:r>
              <w:t>S</w:t>
            </w:r>
          </w:p>
        </w:tc>
        <w:tc>
          <w:tcPr>
            <w:tcW w:w="851" w:type="dxa"/>
            <w:noWrap/>
            <w:vAlign w:val="center"/>
          </w:tcPr>
          <w:p w14:paraId="284E057D">
            <w:pPr>
              <w:pStyle w:val="179"/>
            </w:pPr>
            <w:r>
              <w:t>C</w:t>
            </w:r>
          </w:p>
        </w:tc>
        <w:tc>
          <w:tcPr>
            <w:tcW w:w="663" w:type="dxa"/>
            <w:noWrap/>
            <w:vAlign w:val="center"/>
          </w:tcPr>
          <w:p w14:paraId="04C55C53">
            <w:pPr>
              <w:pStyle w:val="179"/>
            </w:pPr>
            <w:r>
              <w:t>++</w:t>
            </w:r>
          </w:p>
        </w:tc>
        <w:tc>
          <w:tcPr>
            <w:tcW w:w="1129" w:type="dxa"/>
            <w:noWrap/>
            <w:vAlign w:val="center"/>
          </w:tcPr>
          <w:p w14:paraId="1EEEC292">
            <w:pPr>
              <w:pStyle w:val="179"/>
            </w:pPr>
            <w:r>
              <w:t>Ⅲ Ⅴ</w:t>
            </w:r>
          </w:p>
        </w:tc>
      </w:tr>
      <w:tr w14:paraId="7700A6F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5762DB35">
            <w:pPr>
              <w:pStyle w:val="179"/>
              <w:rPr>
                <w:b/>
              </w:rPr>
            </w:pPr>
            <w:r>
              <w:rPr>
                <w:b/>
              </w:rPr>
              <w:t>（十八）</w:t>
            </w:r>
          </w:p>
        </w:tc>
        <w:tc>
          <w:tcPr>
            <w:tcW w:w="2977" w:type="dxa"/>
            <w:noWrap/>
            <w:vAlign w:val="center"/>
          </w:tcPr>
          <w:p w14:paraId="0F13B718">
            <w:pPr>
              <w:pStyle w:val="179"/>
              <w:rPr>
                <w:b/>
              </w:rPr>
            </w:pPr>
            <w:r>
              <w:rPr>
                <w:b/>
              </w:rPr>
              <w:t>椋鸟科 Sturnidae</w:t>
            </w:r>
          </w:p>
        </w:tc>
        <w:tc>
          <w:tcPr>
            <w:tcW w:w="992" w:type="dxa"/>
            <w:noWrap/>
            <w:vAlign w:val="center"/>
          </w:tcPr>
          <w:p w14:paraId="13F8078F">
            <w:pPr>
              <w:pStyle w:val="179"/>
              <w:rPr>
                <w:b/>
              </w:rPr>
            </w:pPr>
          </w:p>
        </w:tc>
        <w:tc>
          <w:tcPr>
            <w:tcW w:w="567" w:type="dxa"/>
            <w:noWrap/>
            <w:vAlign w:val="center"/>
          </w:tcPr>
          <w:p w14:paraId="0BE25228">
            <w:pPr>
              <w:pStyle w:val="179"/>
              <w:rPr>
                <w:b/>
              </w:rPr>
            </w:pPr>
          </w:p>
        </w:tc>
        <w:tc>
          <w:tcPr>
            <w:tcW w:w="851" w:type="dxa"/>
            <w:noWrap/>
            <w:vAlign w:val="center"/>
          </w:tcPr>
          <w:p w14:paraId="58E8ACC5">
            <w:pPr>
              <w:pStyle w:val="179"/>
              <w:rPr>
                <w:b/>
              </w:rPr>
            </w:pPr>
          </w:p>
        </w:tc>
        <w:tc>
          <w:tcPr>
            <w:tcW w:w="663" w:type="dxa"/>
            <w:noWrap/>
            <w:vAlign w:val="center"/>
          </w:tcPr>
          <w:p w14:paraId="396CBAF9">
            <w:pPr>
              <w:pStyle w:val="179"/>
              <w:rPr>
                <w:b/>
              </w:rPr>
            </w:pPr>
          </w:p>
        </w:tc>
        <w:tc>
          <w:tcPr>
            <w:tcW w:w="1129" w:type="dxa"/>
            <w:noWrap/>
            <w:vAlign w:val="center"/>
          </w:tcPr>
          <w:p w14:paraId="72E297F8">
            <w:pPr>
              <w:pStyle w:val="179"/>
              <w:rPr>
                <w:b/>
              </w:rPr>
            </w:pPr>
          </w:p>
        </w:tc>
      </w:tr>
      <w:tr w14:paraId="777DC985">
        <w:tblPrEx>
          <w:tblCellMar>
            <w:top w:w="0" w:type="dxa"/>
            <w:left w:w="57" w:type="dxa"/>
            <w:bottom w:w="0" w:type="dxa"/>
            <w:right w:w="57" w:type="dxa"/>
          </w:tblCellMar>
        </w:tblPrEx>
        <w:trPr>
          <w:cantSplit/>
          <w:trHeight w:val="340" w:hRule="atLeast"/>
          <w:jc w:val="center"/>
        </w:trPr>
        <w:tc>
          <w:tcPr>
            <w:tcW w:w="1191" w:type="dxa"/>
            <w:noWrap/>
            <w:vAlign w:val="center"/>
          </w:tcPr>
          <w:p w14:paraId="62C7FAE2">
            <w:pPr>
              <w:pStyle w:val="179"/>
            </w:pPr>
            <w:r>
              <w:t>26</w:t>
            </w:r>
          </w:p>
        </w:tc>
        <w:tc>
          <w:tcPr>
            <w:tcW w:w="2977" w:type="dxa"/>
            <w:noWrap/>
            <w:vAlign w:val="center"/>
          </w:tcPr>
          <w:p w14:paraId="39A04EA3">
            <w:pPr>
              <w:pStyle w:val="179"/>
            </w:pPr>
            <w:r>
              <w:t>灰椋鸟</w:t>
            </w:r>
            <w:r>
              <w:rPr>
                <w:i/>
                <w:iCs/>
              </w:rPr>
              <w:t>Spodiopsar cineraceus</w:t>
            </w:r>
          </w:p>
        </w:tc>
        <w:tc>
          <w:tcPr>
            <w:tcW w:w="992" w:type="dxa"/>
            <w:noWrap/>
            <w:vAlign w:val="center"/>
          </w:tcPr>
          <w:p w14:paraId="3C381720">
            <w:pPr>
              <w:pStyle w:val="179"/>
            </w:pPr>
            <w:r>
              <w:t>G F</w:t>
            </w:r>
          </w:p>
        </w:tc>
        <w:tc>
          <w:tcPr>
            <w:tcW w:w="567" w:type="dxa"/>
            <w:noWrap/>
            <w:vAlign w:val="center"/>
          </w:tcPr>
          <w:p w14:paraId="5D4DF63A">
            <w:pPr>
              <w:pStyle w:val="179"/>
            </w:pPr>
            <w:r>
              <w:t>S</w:t>
            </w:r>
          </w:p>
        </w:tc>
        <w:tc>
          <w:tcPr>
            <w:tcW w:w="851" w:type="dxa"/>
            <w:noWrap/>
            <w:vAlign w:val="center"/>
          </w:tcPr>
          <w:p w14:paraId="4330854C">
            <w:pPr>
              <w:pStyle w:val="179"/>
            </w:pPr>
            <w:r>
              <w:t>P</w:t>
            </w:r>
          </w:p>
        </w:tc>
        <w:tc>
          <w:tcPr>
            <w:tcW w:w="663" w:type="dxa"/>
            <w:noWrap/>
            <w:vAlign w:val="center"/>
          </w:tcPr>
          <w:p w14:paraId="3BB4A27D">
            <w:pPr>
              <w:pStyle w:val="179"/>
            </w:pPr>
            <w:r>
              <w:t>+</w:t>
            </w:r>
          </w:p>
        </w:tc>
        <w:tc>
          <w:tcPr>
            <w:tcW w:w="1129" w:type="dxa"/>
            <w:noWrap/>
            <w:vAlign w:val="center"/>
          </w:tcPr>
          <w:p w14:paraId="53E909B4">
            <w:pPr>
              <w:pStyle w:val="179"/>
            </w:pPr>
            <w:r>
              <w:t>Ⅲ</w:t>
            </w:r>
          </w:p>
        </w:tc>
      </w:tr>
      <w:tr w14:paraId="75DF4A33">
        <w:tblPrEx>
          <w:tblCellMar>
            <w:top w:w="0" w:type="dxa"/>
            <w:left w:w="57" w:type="dxa"/>
            <w:bottom w:w="0" w:type="dxa"/>
            <w:right w:w="57" w:type="dxa"/>
          </w:tblCellMar>
        </w:tblPrEx>
        <w:trPr>
          <w:cantSplit/>
          <w:trHeight w:val="340" w:hRule="atLeast"/>
          <w:jc w:val="center"/>
        </w:trPr>
        <w:tc>
          <w:tcPr>
            <w:tcW w:w="1191" w:type="dxa"/>
            <w:noWrap/>
            <w:vAlign w:val="center"/>
          </w:tcPr>
          <w:p w14:paraId="2345D24D">
            <w:pPr>
              <w:pStyle w:val="179"/>
              <w:rPr>
                <w:b/>
              </w:rPr>
            </w:pPr>
            <w:r>
              <w:rPr>
                <w:b/>
              </w:rPr>
              <w:t>（十九）</w:t>
            </w:r>
          </w:p>
        </w:tc>
        <w:tc>
          <w:tcPr>
            <w:tcW w:w="2977" w:type="dxa"/>
            <w:noWrap/>
            <w:vAlign w:val="center"/>
          </w:tcPr>
          <w:p w14:paraId="187B0A18">
            <w:pPr>
              <w:pStyle w:val="179"/>
              <w:rPr>
                <w:b/>
              </w:rPr>
            </w:pPr>
            <w:r>
              <w:rPr>
                <w:b/>
              </w:rPr>
              <w:t>鸫科 Turdidae</w:t>
            </w:r>
          </w:p>
        </w:tc>
        <w:tc>
          <w:tcPr>
            <w:tcW w:w="992" w:type="dxa"/>
            <w:noWrap/>
            <w:vAlign w:val="center"/>
          </w:tcPr>
          <w:p w14:paraId="2F372C34">
            <w:pPr>
              <w:pStyle w:val="179"/>
              <w:rPr>
                <w:b/>
              </w:rPr>
            </w:pPr>
          </w:p>
        </w:tc>
        <w:tc>
          <w:tcPr>
            <w:tcW w:w="567" w:type="dxa"/>
            <w:noWrap/>
            <w:vAlign w:val="center"/>
          </w:tcPr>
          <w:p w14:paraId="383F0F3F">
            <w:pPr>
              <w:pStyle w:val="179"/>
              <w:rPr>
                <w:b/>
              </w:rPr>
            </w:pPr>
          </w:p>
        </w:tc>
        <w:tc>
          <w:tcPr>
            <w:tcW w:w="851" w:type="dxa"/>
            <w:noWrap/>
            <w:vAlign w:val="center"/>
          </w:tcPr>
          <w:p w14:paraId="37F75EDA">
            <w:pPr>
              <w:pStyle w:val="179"/>
              <w:rPr>
                <w:b/>
              </w:rPr>
            </w:pPr>
          </w:p>
        </w:tc>
        <w:tc>
          <w:tcPr>
            <w:tcW w:w="663" w:type="dxa"/>
            <w:noWrap/>
            <w:vAlign w:val="center"/>
          </w:tcPr>
          <w:p w14:paraId="5A45A6D6">
            <w:pPr>
              <w:pStyle w:val="179"/>
              <w:rPr>
                <w:b/>
              </w:rPr>
            </w:pPr>
          </w:p>
        </w:tc>
        <w:tc>
          <w:tcPr>
            <w:tcW w:w="1129" w:type="dxa"/>
            <w:noWrap/>
            <w:vAlign w:val="center"/>
          </w:tcPr>
          <w:p w14:paraId="61988DB2">
            <w:pPr>
              <w:pStyle w:val="179"/>
              <w:rPr>
                <w:b/>
              </w:rPr>
            </w:pPr>
          </w:p>
        </w:tc>
      </w:tr>
      <w:tr w14:paraId="37AF300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028CE7E5">
            <w:pPr>
              <w:pStyle w:val="179"/>
            </w:pPr>
            <w:r>
              <w:t>27</w:t>
            </w:r>
          </w:p>
        </w:tc>
        <w:tc>
          <w:tcPr>
            <w:tcW w:w="2977" w:type="dxa"/>
            <w:noWrap/>
            <w:vAlign w:val="center"/>
          </w:tcPr>
          <w:p w14:paraId="7FDA814D">
            <w:pPr>
              <w:pStyle w:val="179"/>
            </w:pPr>
            <w:r>
              <w:t>白眉地鸫</w:t>
            </w:r>
            <w:r>
              <w:rPr>
                <w:i/>
                <w:iCs/>
              </w:rPr>
              <w:t>Geokichla sibirica</w:t>
            </w:r>
          </w:p>
        </w:tc>
        <w:tc>
          <w:tcPr>
            <w:tcW w:w="992" w:type="dxa"/>
            <w:noWrap/>
            <w:vAlign w:val="center"/>
          </w:tcPr>
          <w:p w14:paraId="526E2F1B">
            <w:pPr>
              <w:pStyle w:val="179"/>
            </w:pPr>
            <w:r>
              <w:t>G L F</w:t>
            </w:r>
          </w:p>
        </w:tc>
        <w:tc>
          <w:tcPr>
            <w:tcW w:w="567" w:type="dxa"/>
            <w:noWrap/>
            <w:vAlign w:val="center"/>
          </w:tcPr>
          <w:p w14:paraId="41048B8C">
            <w:pPr>
              <w:pStyle w:val="179"/>
            </w:pPr>
            <w:r>
              <w:t>P</w:t>
            </w:r>
          </w:p>
        </w:tc>
        <w:tc>
          <w:tcPr>
            <w:tcW w:w="851" w:type="dxa"/>
            <w:noWrap/>
            <w:vAlign w:val="center"/>
          </w:tcPr>
          <w:p w14:paraId="32EF4179">
            <w:pPr>
              <w:pStyle w:val="179"/>
            </w:pPr>
            <w:r>
              <w:t>P</w:t>
            </w:r>
          </w:p>
        </w:tc>
        <w:tc>
          <w:tcPr>
            <w:tcW w:w="663" w:type="dxa"/>
            <w:noWrap/>
            <w:vAlign w:val="center"/>
          </w:tcPr>
          <w:p w14:paraId="5F1A8810">
            <w:pPr>
              <w:pStyle w:val="179"/>
            </w:pPr>
            <w:r>
              <w:t>+</w:t>
            </w:r>
          </w:p>
        </w:tc>
        <w:tc>
          <w:tcPr>
            <w:tcW w:w="1129" w:type="dxa"/>
            <w:noWrap/>
            <w:vAlign w:val="center"/>
          </w:tcPr>
          <w:p w14:paraId="1CE52FEF">
            <w:pPr>
              <w:pStyle w:val="179"/>
            </w:pPr>
            <w:r>
              <w:t>Ⅲ Ⅴ</w:t>
            </w:r>
          </w:p>
        </w:tc>
      </w:tr>
      <w:tr w14:paraId="1D6ABA94">
        <w:tblPrEx>
          <w:tblCellMar>
            <w:top w:w="0" w:type="dxa"/>
            <w:left w:w="57" w:type="dxa"/>
            <w:bottom w:w="0" w:type="dxa"/>
            <w:right w:w="57" w:type="dxa"/>
          </w:tblCellMar>
        </w:tblPrEx>
        <w:trPr>
          <w:cantSplit/>
          <w:trHeight w:val="340" w:hRule="atLeast"/>
          <w:jc w:val="center"/>
        </w:trPr>
        <w:tc>
          <w:tcPr>
            <w:tcW w:w="1191" w:type="dxa"/>
            <w:noWrap/>
            <w:vAlign w:val="center"/>
          </w:tcPr>
          <w:p w14:paraId="25E5FE03">
            <w:pPr>
              <w:pStyle w:val="179"/>
            </w:pPr>
            <w:r>
              <w:t>28</w:t>
            </w:r>
          </w:p>
        </w:tc>
        <w:tc>
          <w:tcPr>
            <w:tcW w:w="2977" w:type="dxa"/>
            <w:noWrap/>
            <w:vAlign w:val="center"/>
          </w:tcPr>
          <w:p w14:paraId="559F6C1A">
            <w:pPr>
              <w:pStyle w:val="179"/>
            </w:pPr>
            <w:r>
              <w:t>斑鸫</w:t>
            </w:r>
            <w:r>
              <w:rPr>
                <w:i/>
                <w:iCs/>
              </w:rPr>
              <w:t>Turdus eunomus</w:t>
            </w:r>
          </w:p>
        </w:tc>
        <w:tc>
          <w:tcPr>
            <w:tcW w:w="992" w:type="dxa"/>
            <w:noWrap/>
            <w:vAlign w:val="center"/>
          </w:tcPr>
          <w:p w14:paraId="6A937499">
            <w:pPr>
              <w:pStyle w:val="179"/>
            </w:pPr>
            <w:r>
              <w:t>G L F</w:t>
            </w:r>
          </w:p>
        </w:tc>
        <w:tc>
          <w:tcPr>
            <w:tcW w:w="567" w:type="dxa"/>
            <w:noWrap/>
            <w:vAlign w:val="center"/>
          </w:tcPr>
          <w:p w14:paraId="5B4B0CAD">
            <w:pPr>
              <w:pStyle w:val="179"/>
            </w:pPr>
            <w:r>
              <w:t>P</w:t>
            </w:r>
          </w:p>
        </w:tc>
        <w:tc>
          <w:tcPr>
            <w:tcW w:w="851" w:type="dxa"/>
            <w:noWrap/>
            <w:vAlign w:val="center"/>
          </w:tcPr>
          <w:p w14:paraId="5CB37FA6">
            <w:pPr>
              <w:pStyle w:val="179"/>
            </w:pPr>
            <w:r>
              <w:t>P</w:t>
            </w:r>
          </w:p>
        </w:tc>
        <w:tc>
          <w:tcPr>
            <w:tcW w:w="663" w:type="dxa"/>
            <w:noWrap/>
            <w:vAlign w:val="center"/>
          </w:tcPr>
          <w:p w14:paraId="7B985F56">
            <w:pPr>
              <w:pStyle w:val="179"/>
            </w:pPr>
            <w:r>
              <w:t>+</w:t>
            </w:r>
          </w:p>
        </w:tc>
        <w:tc>
          <w:tcPr>
            <w:tcW w:w="1129" w:type="dxa"/>
            <w:noWrap/>
            <w:vAlign w:val="center"/>
          </w:tcPr>
          <w:p w14:paraId="1805C632">
            <w:pPr>
              <w:pStyle w:val="179"/>
            </w:pPr>
            <w:r>
              <w:t>Ⅲ Ⅴ</w:t>
            </w:r>
          </w:p>
        </w:tc>
      </w:tr>
      <w:tr w14:paraId="343134C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393075D5">
            <w:pPr>
              <w:pStyle w:val="179"/>
              <w:rPr>
                <w:b/>
              </w:rPr>
            </w:pPr>
            <w:r>
              <w:rPr>
                <w:b/>
              </w:rPr>
              <w:t>（二十）</w:t>
            </w:r>
          </w:p>
        </w:tc>
        <w:tc>
          <w:tcPr>
            <w:tcW w:w="2977" w:type="dxa"/>
            <w:noWrap/>
            <w:vAlign w:val="center"/>
          </w:tcPr>
          <w:p w14:paraId="3BA6BD5C">
            <w:pPr>
              <w:pStyle w:val="179"/>
              <w:rPr>
                <w:b/>
              </w:rPr>
            </w:pPr>
            <w:r>
              <w:rPr>
                <w:b/>
              </w:rPr>
              <w:t>鶲科Muscicapidae</w:t>
            </w:r>
          </w:p>
        </w:tc>
        <w:tc>
          <w:tcPr>
            <w:tcW w:w="992" w:type="dxa"/>
            <w:noWrap/>
            <w:vAlign w:val="center"/>
          </w:tcPr>
          <w:p w14:paraId="1F4D79D9">
            <w:pPr>
              <w:pStyle w:val="179"/>
              <w:rPr>
                <w:b/>
              </w:rPr>
            </w:pPr>
          </w:p>
        </w:tc>
        <w:tc>
          <w:tcPr>
            <w:tcW w:w="567" w:type="dxa"/>
            <w:noWrap/>
            <w:vAlign w:val="center"/>
          </w:tcPr>
          <w:p w14:paraId="5261431C">
            <w:pPr>
              <w:pStyle w:val="179"/>
              <w:rPr>
                <w:b/>
              </w:rPr>
            </w:pPr>
          </w:p>
        </w:tc>
        <w:tc>
          <w:tcPr>
            <w:tcW w:w="851" w:type="dxa"/>
            <w:noWrap/>
            <w:vAlign w:val="center"/>
          </w:tcPr>
          <w:p w14:paraId="797C92F8">
            <w:pPr>
              <w:pStyle w:val="179"/>
              <w:rPr>
                <w:b/>
              </w:rPr>
            </w:pPr>
          </w:p>
        </w:tc>
        <w:tc>
          <w:tcPr>
            <w:tcW w:w="663" w:type="dxa"/>
            <w:noWrap/>
            <w:vAlign w:val="center"/>
          </w:tcPr>
          <w:p w14:paraId="283DA06D">
            <w:pPr>
              <w:pStyle w:val="179"/>
              <w:rPr>
                <w:b/>
              </w:rPr>
            </w:pPr>
          </w:p>
        </w:tc>
        <w:tc>
          <w:tcPr>
            <w:tcW w:w="1129" w:type="dxa"/>
            <w:noWrap/>
            <w:vAlign w:val="center"/>
          </w:tcPr>
          <w:p w14:paraId="64741827">
            <w:pPr>
              <w:pStyle w:val="179"/>
              <w:rPr>
                <w:b/>
              </w:rPr>
            </w:pPr>
          </w:p>
        </w:tc>
      </w:tr>
      <w:tr w14:paraId="0B6020C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1BA4B8CC">
            <w:pPr>
              <w:pStyle w:val="179"/>
            </w:pPr>
            <w:r>
              <w:t>29</w:t>
            </w:r>
          </w:p>
        </w:tc>
        <w:tc>
          <w:tcPr>
            <w:tcW w:w="2977" w:type="dxa"/>
            <w:noWrap/>
            <w:vAlign w:val="center"/>
          </w:tcPr>
          <w:p w14:paraId="721707C2">
            <w:pPr>
              <w:pStyle w:val="179"/>
            </w:pPr>
            <w:r>
              <w:t xml:space="preserve">黑喉石䳭 </w:t>
            </w:r>
            <w:r>
              <w:rPr>
                <w:i/>
                <w:iCs/>
              </w:rPr>
              <w:t>Saxicola maurus</w:t>
            </w:r>
          </w:p>
        </w:tc>
        <w:tc>
          <w:tcPr>
            <w:tcW w:w="992" w:type="dxa"/>
            <w:noWrap/>
            <w:vAlign w:val="center"/>
          </w:tcPr>
          <w:p w14:paraId="5D89F9BA">
            <w:pPr>
              <w:pStyle w:val="179"/>
            </w:pPr>
            <w:r>
              <w:t>M G F</w:t>
            </w:r>
          </w:p>
        </w:tc>
        <w:tc>
          <w:tcPr>
            <w:tcW w:w="567" w:type="dxa"/>
            <w:noWrap/>
            <w:vAlign w:val="center"/>
          </w:tcPr>
          <w:p w14:paraId="56F1EC76">
            <w:pPr>
              <w:pStyle w:val="179"/>
            </w:pPr>
            <w:r>
              <w:t>S</w:t>
            </w:r>
          </w:p>
        </w:tc>
        <w:tc>
          <w:tcPr>
            <w:tcW w:w="851" w:type="dxa"/>
            <w:noWrap/>
            <w:vAlign w:val="center"/>
          </w:tcPr>
          <w:p w14:paraId="60CE8067">
            <w:pPr>
              <w:pStyle w:val="179"/>
            </w:pPr>
            <w:r>
              <w:t>P</w:t>
            </w:r>
          </w:p>
        </w:tc>
        <w:tc>
          <w:tcPr>
            <w:tcW w:w="663" w:type="dxa"/>
            <w:noWrap/>
            <w:vAlign w:val="center"/>
          </w:tcPr>
          <w:p w14:paraId="2CCE4D1F">
            <w:pPr>
              <w:pStyle w:val="179"/>
            </w:pPr>
            <w:r>
              <w:t>+</w:t>
            </w:r>
          </w:p>
        </w:tc>
        <w:tc>
          <w:tcPr>
            <w:tcW w:w="1129" w:type="dxa"/>
            <w:noWrap/>
            <w:vAlign w:val="center"/>
          </w:tcPr>
          <w:p w14:paraId="02438AC2">
            <w:pPr>
              <w:pStyle w:val="179"/>
            </w:pPr>
            <w:r>
              <w:t>Ⅲ Ⅴ</w:t>
            </w:r>
          </w:p>
        </w:tc>
      </w:tr>
      <w:tr w14:paraId="213ED4B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114E049F">
            <w:pPr>
              <w:pStyle w:val="179"/>
              <w:rPr>
                <w:b/>
              </w:rPr>
            </w:pPr>
            <w:r>
              <w:rPr>
                <w:b/>
              </w:rPr>
              <w:t>（二十一）</w:t>
            </w:r>
          </w:p>
        </w:tc>
        <w:tc>
          <w:tcPr>
            <w:tcW w:w="2977" w:type="dxa"/>
            <w:noWrap/>
            <w:vAlign w:val="center"/>
          </w:tcPr>
          <w:p w14:paraId="7830E6EB">
            <w:pPr>
              <w:pStyle w:val="179"/>
              <w:rPr>
                <w:b/>
              </w:rPr>
            </w:pPr>
            <w:r>
              <w:rPr>
                <w:b/>
              </w:rPr>
              <w:t>雀科Passeridae</w:t>
            </w:r>
          </w:p>
        </w:tc>
        <w:tc>
          <w:tcPr>
            <w:tcW w:w="992" w:type="dxa"/>
            <w:noWrap/>
            <w:vAlign w:val="center"/>
          </w:tcPr>
          <w:p w14:paraId="0E22F724">
            <w:pPr>
              <w:pStyle w:val="179"/>
              <w:rPr>
                <w:b/>
              </w:rPr>
            </w:pPr>
          </w:p>
        </w:tc>
        <w:tc>
          <w:tcPr>
            <w:tcW w:w="567" w:type="dxa"/>
            <w:noWrap/>
            <w:vAlign w:val="center"/>
          </w:tcPr>
          <w:p w14:paraId="30E54E12">
            <w:pPr>
              <w:pStyle w:val="179"/>
              <w:rPr>
                <w:b/>
              </w:rPr>
            </w:pPr>
          </w:p>
        </w:tc>
        <w:tc>
          <w:tcPr>
            <w:tcW w:w="851" w:type="dxa"/>
            <w:noWrap/>
            <w:vAlign w:val="center"/>
          </w:tcPr>
          <w:p w14:paraId="1AE8E3B7">
            <w:pPr>
              <w:pStyle w:val="179"/>
              <w:rPr>
                <w:b/>
              </w:rPr>
            </w:pPr>
          </w:p>
        </w:tc>
        <w:tc>
          <w:tcPr>
            <w:tcW w:w="663" w:type="dxa"/>
            <w:noWrap/>
            <w:vAlign w:val="center"/>
          </w:tcPr>
          <w:p w14:paraId="6FB0D224">
            <w:pPr>
              <w:pStyle w:val="179"/>
              <w:rPr>
                <w:b/>
              </w:rPr>
            </w:pPr>
          </w:p>
        </w:tc>
        <w:tc>
          <w:tcPr>
            <w:tcW w:w="1129" w:type="dxa"/>
            <w:noWrap/>
            <w:vAlign w:val="center"/>
          </w:tcPr>
          <w:p w14:paraId="25664CEB">
            <w:pPr>
              <w:pStyle w:val="179"/>
              <w:rPr>
                <w:b/>
              </w:rPr>
            </w:pPr>
          </w:p>
        </w:tc>
      </w:tr>
      <w:tr w14:paraId="1BD30FC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76FE2677">
            <w:pPr>
              <w:pStyle w:val="179"/>
            </w:pPr>
            <w:r>
              <w:t>30</w:t>
            </w:r>
          </w:p>
        </w:tc>
        <w:tc>
          <w:tcPr>
            <w:tcW w:w="2977" w:type="dxa"/>
            <w:noWrap/>
            <w:vAlign w:val="center"/>
          </w:tcPr>
          <w:p w14:paraId="6CC76866">
            <w:pPr>
              <w:pStyle w:val="179"/>
            </w:pPr>
            <w:r>
              <w:t>家麻雀</w:t>
            </w:r>
            <w:r>
              <w:rPr>
                <w:i/>
                <w:iCs/>
              </w:rPr>
              <w:t>Passer domesticus</w:t>
            </w:r>
          </w:p>
        </w:tc>
        <w:tc>
          <w:tcPr>
            <w:tcW w:w="992" w:type="dxa"/>
            <w:noWrap/>
            <w:vAlign w:val="center"/>
          </w:tcPr>
          <w:p w14:paraId="1EB079BB">
            <w:pPr>
              <w:pStyle w:val="179"/>
            </w:pPr>
            <w:r>
              <w:t>L F R</w:t>
            </w:r>
          </w:p>
        </w:tc>
        <w:tc>
          <w:tcPr>
            <w:tcW w:w="567" w:type="dxa"/>
            <w:noWrap/>
            <w:vAlign w:val="center"/>
          </w:tcPr>
          <w:p w14:paraId="7E044746">
            <w:pPr>
              <w:pStyle w:val="179"/>
            </w:pPr>
            <w:r>
              <w:t>R</w:t>
            </w:r>
          </w:p>
        </w:tc>
        <w:tc>
          <w:tcPr>
            <w:tcW w:w="851" w:type="dxa"/>
            <w:noWrap/>
            <w:vAlign w:val="center"/>
          </w:tcPr>
          <w:p w14:paraId="6A808DA9">
            <w:pPr>
              <w:pStyle w:val="179"/>
            </w:pPr>
            <w:r>
              <w:t>C</w:t>
            </w:r>
          </w:p>
        </w:tc>
        <w:tc>
          <w:tcPr>
            <w:tcW w:w="663" w:type="dxa"/>
            <w:noWrap/>
            <w:vAlign w:val="center"/>
          </w:tcPr>
          <w:p w14:paraId="6091F8E0">
            <w:pPr>
              <w:pStyle w:val="179"/>
            </w:pPr>
            <w:r>
              <w:t>+++</w:t>
            </w:r>
          </w:p>
        </w:tc>
        <w:tc>
          <w:tcPr>
            <w:tcW w:w="1129" w:type="dxa"/>
            <w:noWrap/>
            <w:vAlign w:val="center"/>
          </w:tcPr>
          <w:p w14:paraId="1F4E99FA">
            <w:pPr>
              <w:pStyle w:val="179"/>
            </w:pPr>
          </w:p>
        </w:tc>
      </w:tr>
      <w:tr w14:paraId="625413D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1AA2A29B">
            <w:pPr>
              <w:pStyle w:val="179"/>
              <w:rPr>
                <w:b/>
              </w:rPr>
            </w:pPr>
            <w:r>
              <w:rPr>
                <w:b/>
              </w:rPr>
              <w:t>（二十二）</w:t>
            </w:r>
          </w:p>
        </w:tc>
        <w:tc>
          <w:tcPr>
            <w:tcW w:w="2977" w:type="dxa"/>
            <w:noWrap/>
            <w:vAlign w:val="center"/>
          </w:tcPr>
          <w:p w14:paraId="566F56F5">
            <w:pPr>
              <w:pStyle w:val="179"/>
              <w:rPr>
                <w:b/>
              </w:rPr>
            </w:pPr>
            <w:r>
              <w:rPr>
                <w:b/>
              </w:rPr>
              <w:t>鹡鸰科 Motacillidae</w:t>
            </w:r>
          </w:p>
        </w:tc>
        <w:tc>
          <w:tcPr>
            <w:tcW w:w="992" w:type="dxa"/>
            <w:noWrap/>
            <w:vAlign w:val="center"/>
          </w:tcPr>
          <w:p w14:paraId="3AE833E0">
            <w:pPr>
              <w:pStyle w:val="179"/>
              <w:rPr>
                <w:b/>
              </w:rPr>
            </w:pPr>
          </w:p>
        </w:tc>
        <w:tc>
          <w:tcPr>
            <w:tcW w:w="567" w:type="dxa"/>
            <w:noWrap/>
            <w:vAlign w:val="center"/>
          </w:tcPr>
          <w:p w14:paraId="20D1E94E">
            <w:pPr>
              <w:pStyle w:val="179"/>
              <w:rPr>
                <w:b/>
              </w:rPr>
            </w:pPr>
          </w:p>
        </w:tc>
        <w:tc>
          <w:tcPr>
            <w:tcW w:w="851" w:type="dxa"/>
            <w:noWrap/>
            <w:vAlign w:val="center"/>
          </w:tcPr>
          <w:p w14:paraId="5F31441B">
            <w:pPr>
              <w:pStyle w:val="179"/>
              <w:rPr>
                <w:b/>
              </w:rPr>
            </w:pPr>
          </w:p>
        </w:tc>
        <w:tc>
          <w:tcPr>
            <w:tcW w:w="663" w:type="dxa"/>
            <w:noWrap/>
            <w:vAlign w:val="center"/>
          </w:tcPr>
          <w:p w14:paraId="5ECDAEB9">
            <w:pPr>
              <w:pStyle w:val="179"/>
              <w:rPr>
                <w:b/>
              </w:rPr>
            </w:pPr>
          </w:p>
        </w:tc>
        <w:tc>
          <w:tcPr>
            <w:tcW w:w="1129" w:type="dxa"/>
            <w:noWrap/>
            <w:vAlign w:val="center"/>
          </w:tcPr>
          <w:p w14:paraId="33BABFAC">
            <w:pPr>
              <w:pStyle w:val="179"/>
              <w:rPr>
                <w:b/>
              </w:rPr>
            </w:pPr>
          </w:p>
        </w:tc>
      </w:tr>
      <w:tr w14:paraId="0D729E7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6753D39C">
            <w:pPr>
              <w:pStyle w:val="179"/>
            </w:pPr>
            <w:r>
              <w:t>31</w:t>
            </w:r>
          </w:p>
        </w:tc>
        <w:tc>
          <w:tcPr>
            <w:tcW w:w="2977" w:type="dxa"/>
            <w:noWrap/>
            <w:vAlign w:val="center"/>
          </w:tcPr>
          <w:p w14:paraId="5F868BA9">
            <w:pPr>
              <w:pStyle w:val="179"/>
            </w:pPr>
            <w:r>
              <w:t>山鹡鸰 Dendronanthus indicus</w:t>
            </w:r>
          </w:p>
        </w:tc>
        <w:tc>
          <w:tcPr>
            <w:tcW w:w="992" w:type="dxa"/>
            <w:noWrap/>
            <w:vAlign w:val="center"/>
          </w:tcPr>
          <w:p w14:paraId="6E44C84E">
            <w:pPr>
              <w:pStyle w:val="179"/>
            </w:pPr>
            <w:r>
              <w:t>F</w:t>
            </w:r>
          </w:p>
        </w:tc>
        <w:tc>
          <w:tcPr>
            <w:tcW w:w="567" w:type="dxa"/>
            <w:noWrap/>
            <w:vAlign w:val="center"/>
          </w:tcPr>
          <w:p w14:paraId="2A493808">
            <w:pPr>
              <w:pStyle w:val="179"/>
            </w:pPr>
            <w:r>
              <w:t>S</w:t>
            </w:r>
          </w:p>
        </w:tc>
        <w:tc>
          <w:tcPr>
            <w:tcW w:w="851" w:type="dxa"/>
            <w:noWrap/>
            <w:vAlign w:val="center"/>
          </w:tcPr>
          <w:p w14:paraId="17BB30E5">
            <w:pPr>
              <w:pStyle w:val="179"/>
            </w:pPr>
            <w:r>
              <w:t>P</w:t>
            </w:r>
          </w:p>
        </w:tc>
        <w:tc>
          <w:tcPr>
            <w:tcW w:w="663" w:type="dxa"/>
            <w:noWrap/>
            <w:vAlign w:val="center"/>
          </w:tcPr>
          <w:p w14:paraId="48F1A9B8">
            <w:pPr>
              <w:pStyle w:val="179"/>
            </w:pPr>
            <w:r>
              <w:t>+</w:t>
            </w:r>
          </w:p>
        </w:tc>
        <w:tc>
          <w:tcPr>
            <w:tcW w:w="1129" w:type="dxa"/>
            <w:noWrap/>
            <w:vAlign w:val="center"/>
          </w:tcPr>
          <w:p w14:paraId="198CFE95">
            <w:pPr>
              <w:pStyle w:val="179"/>
            </w:pPr>
            <w:r>
              <w:t>Ⅲ Ⅴ c</w:t>
            </w:r>
          </w:p>
        </w:tc>
      </w:tr>
      <w:tr w14:paraId="7E6AF87E">
        <w:tblPrEx>
          <w:tblCellMar>
            <w:top w:w="0" w:type="dxa"/>
            <w:left w:w="57" w:type="dxa"/>
            <w:bottom w:w="0" w:type="dxa"/>
            <w:right w:w="57" w:type="dxa"/>
          </w:tblCellMar>
        </w:tblPrEx>
        <w:trPr>
          <w:cantSplit/>
          <w:trHeight w:val="340" w:hRule="atLeast"/>
          <w:jc w:val="center"/>
        </w:trPr>
        <w:tc>
          <w:tcPr>
            <w:tcW w:w="1191" w:type="dxa"/>
            <w:noWrap/>
            <w:vAlign w:val="center"/>
          </w:tcPr>
          <w:p w14:paraId="14102695">
            <w:pPr>
              <w:pStyle w:val="179"/>
            </w:pPr>
            <w:r>
              <w:t>32</w:t>
            </w:r>
          </w:p>
        </w:tc>
        <w:tc>
          <w:tcPr>
            <w:tcW w:w="2977" w:type="dxa"/>
            <w:noWrap/>
            <w:vAlign w:val="center"/>
          </w:tcPr>
          <w:p w14:paraId="36493B42">
            <w:pPr>
              <w:pStyle w:val="179"/>
            </w:pPr>
            <w:r>
              <w:t>田鹨 Anthus richardi</w:t>
            </w:r>
          </w:p>
        </w:tc>
        <w:tc>
          <w:tcPr>
            <w:tcW w:w="992" w:type="dxa"/>
            <w:noWrap/>
            <w:vAlign w:val="center"/>
          </w:tcPr>
          <w:p w14:paraId="6A28BEE0">
            <w:pPr>
              <w:pStyle w:val="179"/>
            </w:pPr>
            <w:r>
              <w:t>M G F</w:t>
            </w:r>
          </w:p>
        </w:tc>
        <w:tc>
          <w:tcPr>
            <w:tcW w:w="567" w:type="dxa"/>
            <w:noWrap/>
            <w:vAlign w:val="center"/>
          </w:tcPr>
          <w:p w14:paraId="18B2F695">
            <w:pPr>
              <w:pStyle w:val="179"/>
            </w:pPr>
            <w:r>
              <w:t>S</w:t>
            </w:r>
          </w:p>
        </w:tc>
        <w:tc>
          <w:tcPr>
            <w:tcW w:w="851" w:type="dxa"/>
            <w:noWrap/>
            <w:vAlign w:val="center"/>
          </w:tcPr>
          <w:p w14:paraId="3B106F4A">
            <w:pPr>
              <w:pStyle w:val="179"/>
            </w:pPr>
            <w:r>
              <w:t>P</w:t>
            </w:r>
          </w:p>
        </w:tc>
        <w:tc>
          <w:tcPr>
            <w:tcW w:w="663" w:type="dxa"/>
            <w:noWrap/>
            <w:vAlign w:val="center"/>
          </w:tcPr>
          <w:p w14:paraId="041E796E">
            <w:pPr>
              <w:pStyle w:val="179"/>
            </w:pPr>
            <w:r>
              <w:t>+</w:t>
            </w:r>
          </w:p>
        </w:tc>
        <w:tc>
          <w:tcPr>
            <w:tcW w:w="1129" w:type="dxa"/>
            <w:noWrap/>
            <w:vAlign w:val="center"/>
          </w:tcPr>
          <w:p w14:paraId="4C048059">
            <w:pPr>
              <w:pStyle w:val="179"/>
            </w:pPr>
            <w:r>
              <w:t>Ⅲ Ⅴ</w:t>
            </w:r>
          </w:p>
        </w:tc>
      </w:tr>
      <w:tr w14:paraId="4D363075">
        <w:tblPrEx>
          <w:tblCellMar>
            <w:top w:w="0" w:type="dxa"/>
            <w:left w:w="57" w:type="dxa"/>
            <w:bottom w:w="0" w:type="dxa"/>
            <w:right w:w="57" w:type="dxa"/>
          </w:tblCellMar>
        </w:tblPrEx>
        <w:trPr>
          <w:cantSplit/>
          <w:trHeight w:val="340" w:hRule="atLeast"/>
          <w:jc w:val="center"/>
        </w:trPr>
        <w:tc>
          <w:tcPr>
            <w:tcW w:w="1191" w:type="dxa"/>
            <w:noWrap/>
            <w:vAlign w:val="center"/>
          </w:tcPr>
          <w:p w14:paraId="4577E9E3">
            <w:pPr>
              <w:pStyle w:val="179"/>
            </w:pPr>
            <w:r>
              <w:t>33</w:t>
            </w:r>
          </w:p>
        </w:tc>
        <w:tc>
          <w:tcPr>
            <w:tcW w:w="2977" w:type="dxa"/>
            <w:noWrap/>
            <w:vAlign w:val="center"/>
          </w:tcPr>
          <w:p w14:paraId="22EB2BAC">
            <w:pPr>
              <w:pStyle w:val="179"/>
            </w:pPr>
            <w:r>
              <w:t>树鹨 Anthus hodgsoni</w:t>
            </w:r>
          </w:p>
        </w:tc>
        <w:tc>
          <w:tcPr>
            <w:tcW w:w="992" w:type="dxa"/>
            <w:noWrap/>
            <w:vAlign w:val="center"/>
          </w:tcPr>
          <w:p w14:paraId="224802E7">
            <w:pPr>
              <w:pStyle w:val="179"/>
            </w:pPr>
            <w:r>
              <w:t>F R</w:t>
            </w:r>
          </w:p>
        </w:tc>
        <w:tc>
          <w:tcPr>
            <w:tcW w:w="567" w:type="dxa"/>
            <w:noWrap/>
            <w:vAlign w:val="center"/>
          </w:tcPr>
          <w:p w14:paraId="4AB2301C">
            <w:pPr>
              <w:pStyle w:val="179"/>
            </w:pPr>
            <w:r>
              <w:t>P</w:t>
            </w:r>
          </w:p>
        </w:tc>
        <w:tc>
          <w:tcPr>
            <w:tcW w:w="851" w:type="dxa"/>
            <w:noWrap/>
            <w:vAlign w:val="center"/>
          </w:tcPr>
          <w:p w14:paraId="77C0DC2F">
            <w:pPr>
              <w:pStyle w:val="179"/>
            </w:pPr>
            <w:r>
              <w:t>P</w:t>
            </w:r>
          </w:p>
        </w:tc>
        <w:tc>
          <w:tcPr>
            <w:tcW w:w="663" w:type="dxa"/>
            <w:noWrap/>
            <w:vAlign w:val="center"/>
          </w:tcPr>
          <w:p w14:paraId="01EDD34F">
            <w:pPr>
              <w:pStyle w:val="179"/>
            </w:pPr>
            <w:r>
              <w:t>+</w:t>
            </w:r>
          </w:p>
        </w:tc>
        <w:tc>
          <w:tcPr>
            <w:tcW w:w="1129" w:type="dxa"/>
            <w:noWrap/>
            <w:vAlign w:val="center"/>
          </w:tcPr>
          <w:p w14:paraId="763B7CB8">
            <w:pPr>
              <w:pStyle w:val="179"/>
            </w:pPr>
            <w:r>
              <w:t>Ⅲ Ⅴ</w:t>
            </w:r>
          </w:p>
        </w:tc>
      </w:tr>
      <w:tr w14:paraId="73968DE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0EE13B28">
            <w:pPr>
              <w:pStyle w:val="179"/>
              <w:rPr>
                <w:b/>
              </w:rPr>
            </w:pPr>
            <w:r>
              <w:rPr>
                <w:b/>
              </w:rPr>
              <w:t>（二十三）</w:t>
            </w:r>
          </w:p>
        </w:tc>
        <w:tc>
          <w:tcPr>
            <w:tcW w:w="2977" w:type="dxa"/>
            <w:noWrap/>
            <w:vAlign w:val="center"/>
          </w:tcPr>
          <w:p w14:paraId="39E4ED05">
            <w:pPr>
              <w:pStyle w:val="179"/>
              <w:rPr>
                <w:b/>
              </w:rPr>
            </w:pPr>
            <w:r>
              <w:rPr>
                <w:b/>
              </w:rPr>
              <w:t>燕雀科 Fringillidae</w:t>
            </w:r>
          </w:p>
        </w:tc>
        <w:tc>
          <w:tcPr>
            <w:tcW w:w="992" w:type="dxa"/>
            <w:noWrap/>
            <w:vAlign w:val="center"/>
          </w:tcPr>
          <w:p w14:paraId="5E865534">
            <w:pPr>
              <w:pStyle w:val="179"/>
              <w:rPr>
                <w:b/>
              </w:rPr>
            </w:pPr>
          </w:p>
        </w:tc>
        <w:tc>
          <w:tcPr>
            <w:tcW w:w="567" w:type="dxa"/>
            <w:noWrap/>
            <w:vAlign w:val="center"/>
          </w:tcPr>
          <w:p w14:paraId="65BE346A">
            <w:pPr>
              <w:pStyle w:val="179"/>
              <w:rPr>
                <w:b/>
              </w:rPr>
            </w:pPr>
          </w:p>
        </w:tc>
        <w:tc>
          <w:tcPr>
            <w:tcW w:w="851" w:type="dxa"/>
            <w:noWrap/>
            <w:vAlign w:val="center"/>
          </w:tcPr>
          <w:p w14:paraId="4D8BF9F4">
            <w:pPr>
              <w:pStyle w:val="179"/>
              <w:rPr>
                <w:b/>
              </w:rPr>
            </w:pPr>
          </w:p>
        </w:tc>
        <w:tc>
          <w:tcPr>
            <w:tcW w:w="663" w:type="dxa"/>
            <w:noWrap/>
            <w:vAlign w:val="center"/>
          </w:tcPr>
          <w:p w14:paraId="3924FE1A">
            <w:pPr>
              <w:pStyle w:val="179"/>
              <w:rPr>
                <w:b/>
              </w:rPr>
            </w:pPr>
          </w:p>
        </w:tc>
        <w:tc>
          <w:tcPr>
            <w:tcW w:w="1129" w:type="dxa"/>
            <w:noWrap/>
            <w:vAlign w:val="center"/>
          </w:tcPr>
          <w:p w14:paraId="648E9DF9">
            <w:pPr>
              <w:pStyle w:val="179"/>
              <w:rPr>
                <w:b/>
              </w:rPr>
            </w:pPr>
          </w:p>
        </w:tc>
      </w:tr>
      <w:tr w14:paraId="007B3FF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3DCA31E8">
            <w:pPr>
              <w:pStyle w:val="179"/>
            </w:pPr>
            <w:r>
              <w:t>34</w:t>
            </w:r>
          </w:p>
        </w:tc>
        <w:tc>
          <w:tcPr>
            <w:tcW w:w="2977" w:type="dxa"/>
            <w:noWrap/>
            <w:vAlign w:val="center"/>
          </w:tcPr>
          <w:p w14:paraId="62ECF72C">
            <w:pPr>
              <w:pStyle w:val="179"/>
            </w:pPr>
            <w:r>
              <w:t>燕雀</w:t>
            </w:r>
            <w:r>
              <w:rPr>
                <w:i/>
                <w:iCs/>
              </w:rPr>
              <w:t>Fringilla montifringilla</w:t>
            </w:r>
          </w:p>
        </w:tc>
        <w:tc>
          <w:tcPr>
            <w:tcW w:w="992" w:type="dxa"/>
            <w:noWrap/>
            <w:vAlign w:val="center"/>
          </w:tcPr>
          <w:p w14:paraId="084A385E">
            <w:pPr>
              <w:pStyle w:val="179"/>
            </w:pPr>
            <w:r>
              <w:t>L F</w:t>
            </w:r>
          </w:p>
        </w:tc>
        <w:tc>
          <w:tcPr>
            <w:tcW w:w="567" w:type="dxa"/>
            <w:noWrap/>
            <w:vAlign w:val="center"/>
          </w:tcPr>
          <w:p w14:paraId="32B64BCC">
            <w:pPr>
              <w:pStyle w:val="179"/>
            </w:pPr>
            <w:r>
              <w:t>P</w:t>
            </w:r>
          </w:p>
        </w:tc>
        <w:tc>
          <w:tcPr>
            <w:tcW w:w="851" w:type="dxa"/>
            <w:noWrap/>
            <w:vAlign w:val="center"/>
          </w:tcPr>
          <w:p w14:paraId="2D55C51D">
            <w:pPr>
              <w:pStyle w:val="179"/>
            </w:pPr>
            <w:r>
              <w:t>P</w:t>
            </w:r>
          </w:p>
        </w:tc>
        <w:tc>
          <w:tcPr>
            <w:tcW w:w="663" w:type="dxa"/>
            <w:noWrap/>
            <w:vAlign w:val="center"/>
          </w:tcPr>
          <w:p w14:paraId="1D70F14C">
            <w:pPr>
              <w:pStyle w:val="179"/>
            </w:pPr>
            <w:r>
              <w:t>+</w:t>
            </w:r>
          </w:p>
        </w:tc>
        <w:tc>
          <w:tcPr>
            <w:tcW w:w="1129" w:type="dxa"/>
            <w:noWrap/>
            <w:vAlign w:val="center"/>
          </w:tcPr>
          <w:p w14:paraId="106168F5">
            <w:pPr>
              <w:pStyle w:val="179"/>
            </w:pPr>
            <w:r>
              <w:t>Ⅲ Ⅴ</w:t>
            </w:r>
          </w:p>
        </w:tc>
      </w:tr>
      <w:tr w14:paraId="2E1DA45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00C1E200">
            <w:pPr>
              <w:pStyle w:val="179"/>
            </w:pPr>
            <w:r>
              <w:t>35</w:t>
            </w:r>
          </w:p>
        </w:tc>
        <w:tc>
          <w:tcPr>
            <w:tcW w:w="2977" w:type="dxa"/>
            <w:noWrap/>
            <w:vAlign w:val="center"/>
          </w:tcPr>
          <w:p w14:paraId="2FF05A50">
            <w:pPr>
              <w:pStyle w:val="179"/>
            </w:pPr>
            <w:r>
              <w:t>黑尾蜡嘴雀</w:t>
            </w:r>
            <w:r>
              <w:rPr>
                <w:i/>
                <w:iCs/>
              </w:rPr>
              <w:t>Eophona migratoria</w:t>
            </w:r>
          </w:p>
        </w:tc>
        <w:tc>
          <w:tcPr>
            <w:tcW w:w="992" w:type="dxa"/>
            <w:noWrap/>
            <w:vAlign w:val="center"/>
          </w:tcPr>
          <w:p w14:paraId="008FF009">
            <w:pPr>
              <w:pStyle w:val="179"/>
            </w:pPr>
            <w:r>
              <w:t>F</w:t>
            </w:r>
          </w:p>
        </w:tc>
        <w:tc>
          <w:tcPr>
            <w:tcW w:w="567" w:type="dxa"/>
            <w:noWrap/>
            <w:vAlign w:val="center"/>
          </w:tcPr>
          <w:p w14:paraId="318AE261">
            <w:pPr>
              <w:pStyle w:val="179"/>
            </w:pPr>
            <w:r>
              <w:t>R</w:t>
            </w:r>
          </w:p>
        </w:tc>
        <w:tc>
          <w:tcPr>
            <w:tcW w:w="851" w:type="dxa"/>
            <w:noWrap/>
            <w:vAlign w:val="center"/>
          </w:tcPr>
          <w:p w14:paraId="48C38C79">
            <w:pPr>
              <w:pStyle w:val="179"/>
            </w:pPr>
            <w:r>
              <w:t>P</w:t>
            </w:r>
          </w:p>
        </w:tc>
        <w:tc>
          <w:tcPr>
            <w:tcW w:w="663" w:type="dxa"/>
            <w:noWrap/>
            <w:vAlign w:val="center"/>
          </w:tcPr>
          <w:p w14:paraId="7C22018C">
            <w:pPr>
              <w:pStyle w:val="179"/>
            </w:pPr>
            <w:r>
              <w:t>+</w:t>
            </w:r>
          </w:p>
        </w:tc>
        <w:tc>
          <w:tcPr>
            <w:tcW w:w="1129" w:type="dxa"/>
            <w:noWrap/>
            <w:vAlign w:val="center"/>
          </w:tcPr>
          <w:p w14:paraId="679184B9">
            <w:pPr>
              <w:pStyle w:val="179"/>
            </w:pPr>
            <w:r>
              <w:t>Ⅲ Ⅴ</w:t>
            </w:r>
          </w:p>
        </w:tc>
      </w:tr>
      <w:tr w14:paraId="22A6405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1191" w:type="dxa"/>
            <w:noWrap/>
            <w:vAlign w:val="center"/>
          </w:tcPr>
          <w:p w14:paraId="6AB4E7AB">
            <w:pPr>
              <w:pStyle w:val="179"/>
            </w:pPr>
            <w:r>
              <w:t>36</w:t>
            </w:r>
          </w:p>
        </w:tc>
        <w:tc>
          <w:tcPr>
            <w:tcW w:w="2977" w:type="dxa"/>
            <w:noWrap/>
            <w:vAlign w:val="center"/>
          </w:tcPr>
          <w:p w14:paraId="36FA1194">
            <w:pPr>
              <w:pStyle w:val="179"/>
            </w:pPr>
            <w:r>
              <w:t>普通朱雀</w:t>
            </w:r>
            <w:r>
              <w:rPr>
                <w:i/>
                <w:iCs/>
              </w:rPr>
              <w:t>Carpodacus erythrinus</w:t>
            </w:r>
          </w:p>
        </w:tc>
        <w:tc>
          <w:tcPr>
            <w:tcW w:w="992" w:type="dxa"/>
            <w:noWrap/>
            <w:vAlign w:val="center"/>
          </w:tcPr>
          <w:p w14:paraId="769E3869">
            <w:pPr>
              <w:pStyle w:val="179"/>
            </w:pPr>
            <w:r>
              <w:t>F</w:t>
            </w:r>
          </w:p>
        </w:tc>
        <w:tc>
          <w:tcPr>
            <w:tcW w:w="567" w:type="dxa"/>
            <w:noWrap/>
            <w:vAlign w:val="center"/>
          </w:tcPr>
          <w:p w14:paraId="4B6D11D7">
            <w:pPr>
              <w:pStyle w:val="179"/>
            </w:pPr>
            <w:r>
              <w:t>S</w:t>
            </w:r>
          </w:p>
        </w:tc>
        <w:tc>
          <w:tcPr>
            <w:tcW w:w="851" w:type="dxa"/>
            <w:noWrap/>
            <w:vAlign w:val="center"/>
          </w:tcPr>
          <w:p w14:paraId="4797F787">
            <w:pPr>
              <w:pStyle w:val="179"/>
            </w:pPr>
            <w:r>
              <w:t>P</w:t>
            </w:r>
          </w:p>
        </w:tc>
        <w:tc>
          <w:tcPr>
            <w:tcW w:w="663" w:type="dxa"/>
            <w:noWrap/>
            <w:vAlign w:val="center"/>
          </w:tcPr>
          <w:p w14:paraId="65228666">
            <w:pPr>
              <w:pStyle w:val="179"/>
            </w:pPr>
            <w:r>
              <w:t>+</w:t>
            </w:r>
          </w:p>
        </w:tc>
        <w:tc>
          <w:tcPr>
            <w:tcW w:w="1129" w:type="dxa"/>
            <w:noWrap/>
            <w:vAlign w:val="center"/>
          </w:tcPr>
          <w:p w14:paraId="27DCE49B">
            <w:pPr>
              <w:pStyle w:val="179"/>
            </w:pPr>
            <w:r>
              <w:t>Ⅲ Ⅴ</w:t>
            </w:r>
          </w:p>
        </w:tc>
      </w:tr>
      <w:tr w14:paraId="56576C5C">
        <w:tblPrEx>
          <w:tblCellMar>
            <w:top w:w="0" w:type="dxa"/>
            <w:left w:w="57" w:type="dxa"/>
            <w:bottom w:w="0" w:type="dxa"/>
            <w:right w:w="57" w:type="dxa"/>
          </w:tblCellMar>
        </w:tblPrEx>
        <w:trPr>
          <w:cantSplit/>
          <w:trHeight w:val="340" w:hRule="atLeast"/>
          <w:jc w:val="center"/>
        </w:trPr>
        <w:tc>
          <w:tcPr>
            <w:tcW w:w="1191" w:type="dxa"/>
            <w:noWrap/>
            <w:vAlign w:val="center"/>
          </w:tcPr>
          <w:p w14:paraId="5E4E2C19">
            <w:pPr>
              <w:pStyle w:val="179"/>
              <w:rPr>
                <w:b/>
              </w:rPr>
            </w:pPr>
            <w:r>
              <w:rPr>
                <w:b/>
              </w:rPr>
              <w:t>（二十四）</w:t>
            </w:r>
          </w:p>
        </w:tc>
        <w:tc>
          <w:tcPr>
            <w:tcW w:w="2977" w:type="dxa"/>
            <w:noWrap/>
            <w:vAlign w:val="center"/>
          </w:tcPr>
          <w:p w14:paraId="5A3B6353">
            <w:pPr>
              <w:pStyle w:val="179"/>
              <w:rPr>
                <w:b/>
              </w:rPr>
            </w:pPr>
            <w:r>
              <w:rPr>
                <w:b/>
              </w:rPr>
              <w:t>鵐科 Emberizidae</w:t>
            </w:r>
          </w:p>
        </w:tc>
        <w:tc>
          <w:tcPr>
            <w:tcW w:w="992" w:type="dxa"/>
            <w:noWrap/>
            <w:vAlign w:val="center"/>
          </w:tcPr>
          <w:p w14:paraId="34FEFE7E">
            <w:pPr>
              <w:pStyle w:val="179"/>
              <w:rPr>
                <w:b/>
              </w:rPr>
            </w:pPr>
          </w:p>
        </w:tc>
        <w:tc>
          <w:tcPr>
            <w:tcW w:w="567" w:type="dxa"/>
            <w:noWrap/>
            <w:vAlign w:val="center"/>
          </w:tcPr>
          <w:p w14:paraId="2E3B961B">
            <w:pPr>
              <w:pStyle w:val="179"/>
              <w:rPr>
                <w:b/>
              </w:rPr>
            </w:pPr>
          </w:p>
        </w:tc>
        <w:tc>
          <w:tcPr>
            <w:tcW w:w="851" w:type="dxa"/>
            <w:noWrap/>
            <w:vAlign w:val="center"/>
          </w:tcPr>
          <w:p w14:paraId="536726FF">
            <w:pPr>
              <w:pStyle w:val="179"/>
              <w:rPr>
                <w:b/>
              </w:rPr>
            </w:pPr>
          </w:p>
        </w:tc>
        <w:tc>
          <w:tcPr>
            <w:tcW w:w="663" w:type="dxa"/>
            <w:noWrap/>
            <w:vAlign w:val="center"/>
          </w:tcPr>
          <w:p w14:paraId="6BC5B9D0">
            <w:pPr>
              <w:pStyle w:val="179"/>
              <w:rPr>
                <w:b/>
              </w:rPr>
            </w:pPr>
          </w:p>
        </w:tc>
        <w:tc>
          <w:tcPr>
            <w:tcW w:w="1129" w:type="dxa"/>
            <w:noWrap/>
            <w:vAlign w:val="center"/>
          </w:tcPr>
          <w:p w14:paraId="5E1BD400">
            <w:pPr>
              <w:pStyle w:val="179"/>
              <w:rPr>
                <w:b/>
              </w:rPr>
            </w:pPr>
          </w:p>
        </w:tc>
      </w:tr>
      <w:tr w14:paraId="26AC7E0F">
        <w:tblPrEx>
          <w:tblCellMar>
            <w:top w:w="0" w:type="dxa"/>
            <w:left w:w="57" w:type="dxa"/>
            <w:bottom w:w="0" w:type="dxa"/>
            <w:right w:w="57" w:type="dxa"/>
          </w:tblCellMar>
        </w:tblPrEx>
        <w:trPr>
          <w:cantSplit/>
          <w:trHeight w:val="340" w:hRule="atLeast"/>
          <w:jc w:val="center"/>
        </w:trPr>
        <w:tc>
          <w:tcPr>
            <w:tcW w:w="1191" w:type="dxa"/>
            <w:noWrap/>
            <w:vAlign w:val="center"/>
          </w:tcPr>
          <w:p w14:paraId="77443404">
            <w:pPr>
              <w:pStyle w:val="179"/>
            </w:pPr>
            <w:r>
              <w:t>37</w:t>
            </w:r>
          </w:p>
        </w:tc>
        <w:tc>
          <w:tcPr>
            <w:tcW w:w="2977" w:type="dxa"/>
            <w:noWrap/>
            <w:vAlign w:val="center"/>
          </w:tcPr>
          <w:p w14:paraId="3536E569">
            <w:pPr>
              <w:pStyle w:val="179"/>
            </w:pPr>
            <w:r>
              <w:t>小鹀</w:t>
            </w:r>
            <w:r>
              <w:rPr>
                <w:i/>
                <w:iCs/>
              </w:rPr>
              <w:t>Emberiza pusilla</w:t>
            </w:r>
          </w:p>
        </w:tc>
        <w:tc>
          <w:tcPr>
            <w:tcW w:w="992" w:type="dxa"/>
            <w:noWrap/>
            <w:vAlign w:val="center"/>
          </w:tcPr>
          <w:p w14:paraId="28751310">
            <w:pPr>
              <w:pStyle w:val="179"/>
            </w:pPr>
            <w:r>
              <w:t>G</w:t>
            </w:r>
          </w:p>
        </w:tc>
        <w:tc>
          <w:tcPr>
            <w:tcW w:w="567" w:type="dxa"/>
            <w:noWrap/>
            <w:vAlign w:val="center"/>
          </w:tcPr>
          <w:p w14:paraId="6C6F9258">
            <w:pPr>
              <w:pStyle w:val="179"/>
            </w:pPr>
            <w:r>
              <w:t>P</w:t>
            </w:r>
          </w:p>
        </w:tc>
        <w:tc>
          <w:tcPr>
            <w:tcW w:w="851" w:type="dxa"/>
            <w:noWrap/>
            <w:vAlign w:val="center"/>
          </w:tcPr>
          <w:p w14:paraId="1CB4057F">
            <w:pPr>
              <w:pStyle w:val="179"/>
            </w:pPr>
            <w:r>
              <w:t>C</w:t>
            </w:r>
          </w:p>
        </w:tc>
        <w:tc>
          <w:tcPr>
            <w:tcW w:w="663" w:type="dxa"/>
            <w:noWrap/>
            <w:vAlign w:val="center"/>
          </w:tcPr>
          <w:p w14:paraId="125FF318">
            <w:pPr>
              <w:pStyle w:val="179"/>
            </w:pPr>
            <w:r>
              <w:t>+</w:t>
            </w:r>
          </w:p>
        </w:tc>
        <w:tc>
          <w:tcPr>
            <w:tcW w:w="1129" w:type="dxa"/>
            <w:noWrap/>
            <w:vAlign w:val="center"/>
          </w:tcPr>
          <w:p w14:paraId="7538491D">
            <w:pPr>
              <w:pStyle w:val="179"/>
            </w:pPr>
            <w:r>
              <w:t>Ⅲ Ⅴ</w:t>
            </w:r>
          </w:p>
        </w:tc>
      </w:tr>
    </w:tbl>
    <w:p w14:paraId="205B7113">
      <w:pPr>
        <w:spacing w:line="240" w:lineRule="auto"/>
        <w:ind w:firstLine="0" w:firstLineChars="0"/>
        <w:rPr>
          <w:sz w:val="21"/>
          <w:szCs w:val="21"/>
        </w:rPr>
      </w:pPr>
      <w:r>
        <w:rPr>
          <w:sz w:val="21"/>
          <w:szCs w:val="21"/>
        </w:rPr>
        <w:t>注：生境：W—水域；M—湿地； F—森林、灌丛；R—居民区；G—草甸；L—农田、荒地。</w:t>
      </w:r>
    </w:p>
    <w:p w14:paraId="304D354A">
      <w:pPr>
        <w:spacing w:line="240" w:lineRule="auto"/>
        <w:ind w:firstLine="420"/>
        <w:rPr>
          <w:sz w:val="21"/>
          <w:szCs w:val="21"/>
        </w:rPr>
      </w:pPr>
      <w:r>
        <w:rPr>
          <w:sz w:val="21"/>
          <w:szCs w:val="21"/>
        </w:rPr>
        <w:t>留居：S—夏候鸟； R—留鸟；W—冬候鸟；P—旅鸟；O—迷鸟或文献记录种类。</w:t>
      </w:r>
    </w:p>
    <w:p w14:paraId="1604D1FB">
      <w:pPr>
        <w:spacing w:line="240" w:lineRule="auto"/>
        <w:ind w:firstLine="420"/>
        <w:rPr>
          <w:sz w:val="21"/>
          <w:szCs w:val="21"/>
        </w:rPr>
      </w:pPr>
      <w:r>
        <w:rPr>
          <w:sz w:val="21"/>
          <w:szCs w:val="21"/>
        </w:rPr>
        <w:t>区系：P—古北种；O—东洋种；C—广布种。</w:t>
      </w:r>
    </w:p>
    <w:p w14:paraId="2269AF3D">
      <w:pPr>
        <w:spacing w:line="240" w:lineRule="auto"/>
        <w:ind w:firstLine="420"/>
        <w:rPr>
          <w:sz w:val="21"/>
          <w:szCs w:val="21"/>
        </w:rPr>
      </w:pPr>
      <w:r>
        <w:rPr>
          <w:sz w:val="21"/>
          <w:szCs w:val="21"/>
        </w:rPr>
        <w:t>保护级别：Ⅰ—国家一级重点保护种类；  Ⅱ—国家二级重点保护种类；Ⅲ—列入《国家保护的有益的或者有重要经济、科学研究价值的陆生野生动物名录》种类；Ⅳ—黑龙江省重点保护种类；Ⅴ—《中日保护候鸟及栖息环境协定》共同保护鸟类。Ⅵ—《中澳保护候鸟及栖息环境协定》共同保护鸟类。</w:t>
      </w:r>
    </w:p>
    <w:p w14:paraId="61A6E2F6">
      <w:pPr>
        <w:spacing w:line="240" w:lineRule="auto"/>
        <w:ind w:firstLine="420"/>
        <w:rPr>
          <w:sz w:val="21"/>
          <w:szCs w:val="21"/>
        </w:rPr>
      </w:pPr>
      <w:r>
        <w:rPr>
          <w:sz w:val="21"/>
          <w:szCs w:val="21"/>
        </w:rPr>
        <w:t>A—列入CITES附录Ⅰ种类；B—列入CITES附录Ⅱ种类；C—列入CITES附录Ⅲ种类。</w:t>
      </w:r>
    </w:p>
    <w:p w14:paraId="6883D0C3">
      <w:pPr>
        <w:spacing w:line="240" w:lineRule="auto"/>
        <w:ind w:firstLine="420"/>
        <w:rPr>
          <w:sz w:val="21"/>
          <w:szCs w:val="21"/>
        </w:rPr>
      </w:pPr>
      <w:r>
        <w:rPr>
          <w:sz w:val="21"/>
          <w:szCs w:val="21"/>
        </w:rPr>
        <w:t>a－列入IUCN红皮书极危种类，b－列入IUCN红皮书濒危种类，c—列入IUCN红皮书易危种类。</w:t>
      </w:r>
    </w:p>
    <w:p w14:paraId="244B8541">
      <w:pPr>
        <w:ind w:firstLine="480"/>
      </w:pPr>
      <w:r>
        <w:rPr>
          <w:rFonts w:hint="eastAsia"/>
        </w:rPr>
        <w:t>2）鸟类物种及分布状况</w:t>
      </w:r>
    </w:p>
    <w:p w14:paraId="48642632">
      <w:pPr>
        <w:adjustRightInd w:val="0"/>
        <w:ind w:firstLine="480"/>
        <w:rPr>
          <w:rFonts w:cs="Times New Roman"/>
        </w:rPr>
      </w:pPr>
      <w:r>
        <w:rPr>
          <w:rFonts w:hAnsi="Times New Roman" w:cs="Times New Roman"/>
        </w:rPr>
        <w:t>水域鸟类：</w:t>
      </w:r>
      <w:r>
        <w:rPr>
          <w:rFonts w:hint="eastAsia" w:hAnsi="Times New Roman" w:cs="Times New Roman"/>
        </w:rPr>
        <w:t>项目区域内</w:t>
      </w:r>
      <w:r>
        <w:rPr>
          <w:rFonts w:hAnsi="Times New Roman" w:cs="Times New Roman"/>
        </w:rPr>
        <w:t>水域面积较小，成为少量游禽的栖息地。此类群鸟类多羽毛丰满，尾脂腺发达，脚呈蹼状，善于游泳，飞行速度快，包括雁形目、鸻形目（鸥科）共计2目2科3种，占</w:t>
      </w:r>
      <w:r>
        <w:rPr>
          <w:rFonts w:hint="eastAsia" w:hAnsi="Times New Roman" w:cs="Times New Roman"/>
        </w:rPr>
        <w:t>区域内</w:t>
      </w:r>
      <w:r>
        <w:rPr>
          <w:rFonts w:hAnsi="Times New Roman" w:cs="Times New Roman"/>
        </w:rPr>
        <w:t>鸟类种数的</w:t>
      </w:r>
      <w:r>
        <w:rPr>
          <w:rFonts w:hint="eastAsia" w:hAnsi="Times New Roman" w:cs="Times New Roman"/>
        </w:rPr>
        <w:t>7.69</w:t>
      </w:r>
      <w:r>
        <w:rPr>
          <w:rFonts w:hAnsi="Times New Roman" w:cs="Times New Roman"/>
        </w:rPr>
        <w:t>%，均为非雀形目鸟类。常见种有赤膀鸭、斑嘴鸭（</w:t>
      </w:r>
      <w:r>
        <w:rPr>
          <w:rFonts w:hAnsi="Times New Roman" w:cs="Times New Roman"/>
          <w:i/>
        </w:rPr>
        <w:t>Anaspoecilorhyncha</w:t>
      </w:r>
      <w:r>
        <w:rPr>
          <w:rFonts w:hAnsi="Times New Roman" w:cs="Times New Roman"/>
        </w:rPr>
        <w:t>）、红嘴鸥等。</w:t>
      </w:r>
    </w:p>
    <w:p w14:paraId="4B76A885">
      <w:pPr>
        <w:adjustRightInd w:val="0"/>
        <w:ind w:firstLine="480"/>
        <w:rPr>
          <w:rFonts w:cs="Times New Roman"/>
        </w:rPr>
      </w:pPr>
      <w:r>
        <w:rPr>
          <w:rFonts w:hAnsi="Times New Roman" w:cs="Times New Roman"/>
        </w:rPr>
        <w:t>沼泽鸟类：</w:t>
      </w:r>
      <w:r>
        <w:rPr>
          <w:rFonts w:hint="eastAsia" w:hAnsi="Times New Roman" w:cs="Times New Roman"/>
        </w:rPr>
        <w:t>区域内</w:t>
      </w:r>
      <w:r>
        <w:rPr>
          <w:rFonts w:hAnsi="Times New Roman" w:cs="Times New Roman"/>
        </w:rPr>
        <w:t>湿地面积也较少，仅在河流边缘有小面积的浅水沼泽及河滩地，为涉禽提供了良好的觅食地。此类群鸟类多具三长，既长喙、长颈、长腿。适于在沙滩、泥土中觅食。仅为雀形目1种，为田鹨。占</w:t>
      </w:r>
      <w:r>
        <w:rPr>
          <w:rFonts w:hint="eastAsia" w:hAnsi="Times New Roman" w:cs="Times New Roman"/>
        </w:rPr>
        <w:t>区域内</w:t>
      </w:r>
      <w:r>
        <w:rPr>
          <w:rFonts w:hAnsi="Times New Roman" w:cs="Times New Roman"/>
        </w:rPr>
        <w:t>鸟类种数的</w:t>
      </w:r>
      <w:r>
        <w:rPr>
          <w:rFonts w:hint="eastAsia" w:hAnsi="Times New Roman" w:cs="Times New Roman"/>
        </w:rPr>
        <w:t>2.56</w:t>
      </w:r>
      <w:r>
        <w:rPr>
          <w:rFonts w:hAnsi="Times New Roman" w:cs="Times New Roman"/>
        </w:rPr>
        <w:t>%。</w:t>
      </w:r>
    </w:p>
    <w:p w14:paraId="650D3AC3">
      <w:pPr>
        <w:adjustRightInd w:val="0"/>
        <w:ind w:firstLine="480"/>
        <w:rPr>
          <w:rFonts w:cs="Times New Roman"/>
        </w:rPr>
      </w:pPr>
      <w:r>
        <w:rPr>
          <w:rFonts w:hAnsi="Times New Roman" w:cs="Times New Roman"/>
        </w:rPr>
        <w:t>森林、灌丛鸟类：</w:t>
      </w:r>
      <w:r>
        <w:rPr>
          <w:rFonts w:hint="eastAsia" w:hAnsi="Times New Roman" w:cs="Times New Roman"/>
        </w:rPr>
        <w:t>区域内</w:t>
      </w:r>
      <w:r>
        <w:rPr>
          <w:rFonts w:hAnsi="Times New Roman" w:cs="Times New Roman"/>
        </w:rPr>
        <w:t>林地面积很大，林栖鸟类数量和种类十分丰富。此类型鸟类其特征是翼较短且宽而钝，小翼发达。多为树栖型鸟类，以雀形目等小型鸟类居多。分布在这一生境的鸟类有鸡形目、鸽形目、鹃形目、鸮形目、犀鸟目、啄木鸟目、隼形目及雀形目鸟类。常见种有灰山椒鸟（</w:t>
      </w:r>
      <w:r>
        <w:rPr>
          <w:rFonts w:hAnsi="Times New Roman" w:cs="Times New Roman"/>
          <w:i/>
        </w:rPr>
        <w:t>Pericrocotus divaricatus</w:t>
      </w:r>
      <w:r>
        <w:rPr>
          <w:rFonts w:hAnsi="Times New Roman" w:cs="Times New Roman"/>
        </w:rPr>
        <w:t>）、大山雀（</w:t>
      </w:r>
      <w:r>
        <w:rPr>
          <w:rFonts w:hAnsi="Times New Roman" w:cs="Times New Roman"/>
          <w:i/>
        </w:rPr>
        <w:t>Parus cinereus</w:t>
      </w:r>
      <w:r>
        <w:rPr>
          <w:rFonts w:hAnsi="Times New Roman" w:cs="Times New Roman"/>
        </w:rPr>
        <w:t>）、斑鸫</w:t>
      </w:r>
      <w:r>
        <w:rPr>
          <w:rFonts w:hint="eastAsia" w:hAnsi="Times New Roman" w:cs="Times New Roman"/>
        </w:rPr>
        <w:t>（</w:t>
      </w:r>
      <w:r>
        <w:rPr>
          <w:i/>
          <w:iCs/>
        </w:rPr>
        <w:t>Turdus eunomus</w:t>
      </w:r>
      <w:r>
        <w:rPr>
          <w:rFonts w:hint="eastAsia" w:hAnsi="Times New Roman" w:cs="Times New Roman"/>
        </w:rPr>
        <w:t>）</w:t>
      </w:r>
      <w:r>
        <w:rPr>
          <w:rFonts w:hAnsi="Times New Roman" w:cs="Times New Roman"/>
        </w:rPr>
        <w:t>、黑喉石䳭</w:t>
      </w:r>
      <w:r>
        <w:rPr>
          <w:rFonts w:hint="eastAsia" w:hAnsi="Times New Roman" w:cs="Times New Roman"/>
        </w:rPr>
        <w:t>（</w:t>
      </w:r>
      <w:r>
        <w:rPr>
          <w:i/>
          <w:iCs/>
        </w:rPr>
        <w:t>Saxicola maurus</w:t>
      </w:r>
      <w:r>
        <w:rPr>
          <w:rFonts w:hint="eastAsia" w:hAnsi="Times New Roman" w:cs="Times New Roman"/>
        </w:rPr>
        <w:t>）</w:t>
      </w:r>
      <w:r>
        <w:rPr>
          <w:rFonts w:hAnsi="Times New Roman" w:cs="Times New Roman"/>
        </w:rPr>
        <w:t>、等。</w:t>
      </w:r>
      <w:r>
        <w:rPr>
          <w:rFonts w:hint="eastAsia" w:hAnsi="Times New Roman" w:cs="Times New Roman"/>
        </w:rPr>
        <w:t>评价范围内</w:t>
      </w:r>
      <w:r>
        <w:rPr>
          <w:rFonts w:hAnsi="Times New Roman" w:cs="Times New Roman"/>
        </w:rPr>
        <w:t>共调查到森林、灌丛鸟类8目20科3</w:t>
      </w:r>
      <w:r>
        <w:rPr>
          <w:rFonts w:hint="eastAsia" w:cs="Times New Roman"/>
        </w:rPr>
        <w:t>7</w:t>
      </w:r>
      <w:r>
        <w:rPr>
          <w:rFonts w:hAnsi="Times New Roman" w:cs="Times New Roman"/>
        </w:rPr>
        <w:t>种，占</w:t>
      </w:r>
      <w:r>
        <w:rPr>
          <w:rFonts w:hint="eastAsia" w:hAnsi="Times New Roman" w:cs="Times New Roman"/>
        </w:rPr>
        <w:t>区域内</w:t>
      </w:r>
      <w:r>
        <w:rPr>
          <w:rFonts w:hAnsi="Times New Roman" w:cs="Times New Roman"/>
        </w:rPr>
        <w:t>鸟类种数的</w:t>
      </w:r>
      <w:r>
        <w:rPr>
          <w:rFonts w:hint="eastAsia" w:hAnsi="Times New Roman" w:cs="Times New Roman"/>
        </w:rPr>
        <w:t>97.44</w:t>
      </w:r>
      <w:r>
        <w:rPr>
          <w:rFonts w:hAnsi="Times New Roman" w:cs="Times New Roman"/>
        </w:rPr>
        <w:t>%，其中雀形目鸟类14科</w:t>
      </w:r>
      <w:r>
        <w:rPr>
          <w:rFonts w:hint="eastAsia" w:cs="Times New Roman"/>
        </w:rPr>
        <w:t>18</w:t>
      </w:r>
      <w:r>
        <w:rPr>
          <w:rFonts w:hAnsi="Times New Roman" w:cs="Times New Roman"/>
        </w:rPr>
        <w:t>种。</w:t>
      </w:r>
    </w:p>
    <w:p w14:paraId="5BC788D4">
      <w:pPr>
        <w:widowControl/>
        <w:ind w:firstLine="480"/>
        <w:jc w:val="left"/>
        <w:rPr>
          <w:rFonts w:ascii="宋体" w:hAnsi="宋体"/>
          <w:kern w:val="0"/>
        </w:rPr>
      </w:pPr>
      <w:r>
        <w:rPr>
          <w:rFonts w:hAnsi="Times New Roman" w:cs="Times New Roman"/>
        </w:rPr>
        <w:t>草甸鸟类：</w:t>
      </w:r>
      <w:r>
        <w:rPr>
          <w:rFonts w:hint="eastAsia" w:hAnsi="Times New Roman" w:cs="Times New Roman"/>
        </w:rPr>
        <w:t>区域内</w:t>
      </w:r>
      <w:r>
        <w:rPr>
          <w:rFonts w:hAnsi="Times New Roman" w:cs="Times New Roman"/>
        </w:rPr>
        <w:t>草甸面积不大，仅在</w:t>
      </w:r>
      <w:r>
        <w:rPr>
          <w:rFonts w:hint="eastAsia" w:hAnsi="Times New Roman" w:cs="Times New Roman"/>
        </w:rPr>
        <w:t>区域内</w:t>
      </w:r>
      <w:r>
        <w:rPr>
          <w:rFonts w:hAnsi="Times New Roman" w:cs="Times New Roman"/>
        </w:rPr>
        <w:t>零星分布。此类型鸟类组成以雀形目鸟类居多，大多有保护色。</w:t>
      </w:r>
      <w:r>
        <w:rPr>
          <w:rFonts w:hint="eastAsia" w:hAnsi="Times New Roman" w:cs="Times New Roman"/>
        </w:rPr>
        <w:t>区域内</w:t>
      </w:r>
      <w:r>
        <w:rPr>
          <w:rFonts w:hAnsi="Times New Roman" w:cs="Times New Roman"/>
        </w:rPr>
        <w:t>共调查到草甸鸟类2目2科2种，占</w:t>
      </w:r>
      <w:r>
        <w:rPr>
          <w:rFonts w:hint="eastAsia" w:hAnsi="Times New Roman" w:cs="Times New Roman"/>
        </w:rPr>
        <w:t>区域内</w:t>
      </w:r>
      <w:r>
        <w:rPr>
          <w:rFonts w:hAnsi="Times New Roman" w:cs="Times New Roman"/>
        </w:rPr>
        <w:t>鸟类种数的</w:t>
      </w:r>
      <w:r>
        <w:rPr>
          <w:rFonts w:hint="eastAsia" w:hAnsi="Times New Roman" w:cs="Times New Roman"/>
        </w:rPr>
        <w:t>5.13</w:t>
      </w:r>
      <w:r>
        <w:rPr>
          <w:rFonts w:hAnsi="Times New Roman" w:cs="Times New Roman"/>
        </w:rPr>
        <w:t>%。调查到的草甸鸟类为鹌鹑（</w:t>
      </w:r>
      <w:r>
        <w:rPr>
          <w:rFonts w:hAnsi="Times New Roman" w:cs="Times New Roman"/>
          <w:i/>
        </w:rPr>
        <w:t>Coturnix japonica</w:t>
      </w:r>
      <w:r>
        <w:rPr>
          <w:rFonts w:hAnsi="Times New Roman" w:cs="Times New Roman"/>
        </w:rPr>
        <w:t>）、</w:t>
      </w:r>
      <w:r>
        <w:t>小鹀</w:t>
      </w:r>
      <w:r>
        <w:rPr>
          <w:rFonts w:hAnsi="Times New Roman" w:cs="Times New Roman"/>
        </w:rPr>
        <w:t>（</w:t>
      </w:r>
      <w:r>
        <w:rPr>
          <w:rFonts w:hAnsi="Times New Roman" w:cs="Times New Roman"/>
          <w:i/>
          <w:iCs/>
        </w:rPr>
        <w:t>Emberiza pusilla</w:t>
      </w:r>
      <w:r>
        <w:rPr>
          <w:rFonts w:hAnsi="Times New Roman" w:cs="Times New Roman"/>
        </w:rPr>
        <w:t>）等。</w:t>
      </w:r>
    </w:p>
    <w:p w14:paraId="70CFDD53">
      <w:pPr>
        <w:pStyle w:val="5"/>
        <w:spacing w:before="120" w:after="120"/>
      </w:pPr>
      <w:r>
        <w:rPr>
          <w:rFonts w:hint="eastAsia"/>
        </w:rPr>
        <w:t>区内陆生重点野生动物</w:t>
      </w:r>
      <w:bookmarkEnd w:id="337"/>
    </w:p>
    <w:p w14:paraId="07D39463">
      <w:pPr>
        <w:ind w:firstLine="480"/>
      </w:pPr>
      <w:r>
        <w:rPr>
          <w:rFonts w:hint="eastAsia"/>
        </w:rPr>
        <w:t>评价区范围内的72种陆生脊椎动物，对照《国家重点保护野生动物名录》（年国家林业和草原局、农业农村部，2021）发现国家二级重点保护野生动物5种，哺乳类1种，鸟类4种。对照详见下表：</w:t>
      </w:r>
    </w:p>
    <w:p w14:paraId="7B5CF28C">
      <w:pPr>
        <w:pStyle w:val="178"/>
      </w:pPr>
      <w:r>
        <w:rPr>
          <w:rFonts w:hint="eastAsia"/>
        </w:rPr>
        <w:t>表4.3-18  评价区国家重点保护野生动物统计</w:t>
      </w:r>
    </w:p>
    <w:tbl>
      <w:tblPr>
        <w:tblStyle w:val="36"/>
        <w:tblW w:w="8505" w:type="dxa"/>
        <w:jc w:val="center"/>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Layout w:type="fixed"/>
        <w:tblCellMar>
          <w:top w:w="0" w:type="dxa"/>
          <w:left w:w="108" w:type="dxa"/>
          <w:bottom w:w="0" w:type="dxa"/>
          <w:right w:w="108" w:type="dxa"/>
        </w:tblCellMar>
      </w:tblPr>
      <w:tblGrid>
        <w:gridCol w:w="642"/>
        <w:gridCol w:w="2469"/>
        <w:gridCol w:w="4338"/>
        <w:gridCol w:w="1056"/>
      </w:tblGrid>
      <w:tr w14:paraId="6912627D">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97" w:hRule="atLeast"/>
          <w:tblHeader/>
          <w:jc w:val="center"/>
        </w:trPr>
        <w:tc>
          <w:tcPr>
            <w:tcW w:w="684" w:type="dxa"/>
            <w:noWrap/>
            <w:vAlign w:val="center"/>
          </w:tcPr>
          <w:p w14:paraId="680C4AA3">
            <w:pPr>
              <w:pStyle w:val="179"/>
              <w:rPr>
                <w:b/>
              </w:rPr>
            </w:pPr>
            <w:r>
              <w:rPr>
                <w:rFonts w:hint="eastAsia"/>
                <w:b/>
              </w:rPr>
              <w:t>序号</w:t>
            </w:r>
          </w:p>
        </w:tc>
        <w:tc>
          <w:tcPr>
            <w:tcW w:w="2700" w:type="dxa"/>
            <w:noWrap/>
            <w:vAlign w:val="center"/>
          </w:tcPr>
          <w:p w14:paraId="192839B6">
            <w:pPr>
              <w:pStyle w:val="179"/>
              <w:rPr>
                <w:b/>
              </w:rPr>
            </w:pPr>
            <w:r>
              <w:rPr>
                <w:rFonts w:hint="eastAsia"/>
                <w:b/>
              </w:rPr>
              <w:t>中文名、学名</w:t>
            </w:r>
          </w:p>
        </w:tc>
        <w:tc>
          <w:tcPr>
            <w:tcW w:w="4763" w:type="dxa"/>
            <w:noWrap/>
            <w:vAlign w:val="center"/>
          </w:tcPr>
          <w:p w14:paraId="11F4F611">
            <w:pPr>
              <w:pStyle w:val="179"/>
              <w:rPr>
                <w:b/>
              </w:rPr>
            </w:pPr>
            <w:r>
              <w:rPr>
                <w:rFonts w:hint="eastAsia"/>
                <w:b/>
              </w:rPr>
              <w:t>栖息生境</w:t>
            </w:r>
          </w:p>
        </w:tc>
        <w:tc>
          <w:tcPr>
            <w:tcW w:w="1141" w:type="dxa"/>
            <w:noWrap/>
            <w:vAlign w:val="center"/>
          </w:tcPr>
          <w:p w14:paraId="4F92C5A3">
            <w:pPr>
              <w:pStyle w:val="179"/>
              <w:rPr>
                <w:b/>
              </w:rPr>
            </w:pPr>
            <w:r>
              <w:rPr>
                <w:rFonts w:hint="eastAsia"/>
                <w:b/>
              </w:rPr>
              <w:t>保护等级</w:t>
            </w:r>
          </w:p>
        </w:tc>
      </w:tr>
      <w:tr w14:paraId="0FD9D19F">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684" w:type="dxa"/>
            <w:noWrap/>
            <w:vAlign w:val="center"/>
          </w:tcPr>
          <w:p w14:paraId="496F3175">
            <w:pPr>
              <w:pStyle w:val="179"/>
            </w:pPr>
            <w:r>
              <w:rPr>
                <w:rFonts w:hint="eastAsia"/>
              </w:rPr>
              <w:t>1</w:t>
            </w:r>
          </w:p>
        </w:tc>
        <w:tc>
          <w:tcPr>
            <w:tcW w:w="2700" w:type="dxa"/>
            <w:noWrap/>
            <w:vAlign w:val="center"/>
          </w:tcPr>
          <w:p w14:paraId="5DDDAC3C">
            <w:pPr>
              <w:pStyle w:val="179"/>
            </w:pPr>
            <w:r>
              <w:rPr>
                <w:rFonts w:hint="eastAsia"/>
              </w:rPr>
              <w:t>雪兔</w:t>
            </w:r>
            <w:r>
              <w:rPr>
                <w:rFonts w:hint="eastAsia"/>
                <w:i/>
                <w:iCs/>
              </w:rPr>
              <w:t>Lepus timidus</w:t>
            </w:r>
          </w:p>
        </w:tc>
        <w:tc>
          <w:tcPr>
            <w:tcW w:w="4763" w:type="dxa"/>
            <w:noWrap/>
            <w:vAlign w:val="center"/>
          </w:tcPr>
          <w:p w14:paraId="462E5562">
            <w:pPr>
              <w:pStyle w:val="179"/>
            </w:pPr>
            <w:r>
              <w:rPr>
                <w:rFonts w:hint="eastAsia"/>
              </w:rPr>
              <w:t>栖息于小兴安岭低山丘陵次生林、针阔混交林、林下榛灌丛、林间草甸、河谷灌丛、荒坡裸地、采伐迹地、林缘农田交界带、山间沟壑及稀疏木本覆盖的旷野地带。</w:t>
            </w:r>
          </w:p>
        </w:tc>
        <w:tc>
          <w:tcPr>
            <w:tcW w:w="1141" w:type="dxa"/>
            <w:noWrap/>
            <w:vAlign w:val="center"/>
          </w:tcPr>
          <w:p w14:paraId="0F751512">
            <w:pPr>
              <w:pStyle w:val="179"/>
            </w:pPr>
            <w:r>
              <w:rPr>
                <w:rFonts w:hint="eastAsia"/>
              </w:rPr>
              <w:t>国家二级</w:t>
            </w:r>
          </w:p>
        </w:tc>
      </w:tr>
      <w:tr w14:paraId="381AA345">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684" w:type="dxa"/>
            <w:noWrap/>
            <w:vAlign w:val="center"/>
          </w:tcPr>
          <w:p w14:paraId="59138CF8">
            <w:pPr>
              <w:pStyle w:val="179"/>
            </w:pPr>
            <w:r>
              <w:rPr>
                <w:rFonts w:hint="eastAsia"/>
              </w:rPr>
              <w:t>2</w:t>
            </w:r>
          </w:p>
        </w:tc>
        <w:tc>
          <w:tcPr>
            <w:tcW w:w="2700" w:type="dxa"/>
            <w:noWrap/>
            <w:vAlign w:val="center"/>
          </w:tcPr>
          <w:p w14:paraId="0335B44C">
            <w:pPr>
              <w:pStyle w:val="179"/>
            </w:pPr>
            <w:r>
              <w:rPr>
                <w:rFonts w:hint="eastAsia"/>
              </w:rPr>
              <w:t>苍鹰</w:t>
            </w:r>
            <w:r>
              <w:rPr>
                <w:rFonts w:hint="eastAsia"/>
                <w:i/>
                <w:iCs/>
              </w:rPr>
              <w:t xml:space="preserve"> Accipiter gentilis</w:t>
            </w:r>
          </w:p>
        </w:tc>
        <w:tc>
          <w:tcPr>
            <w:tcW w:w="4763" w:type="dxa"/>
            <w:noWrap/>
            <w:vAlign w:val="center"/>
          </w:tcPr>
          <w:p w14:paraId="641C6C75">
            <w:pPr>
              <w:pStyle w:val="179"/>
            </w:pPr>
            <w:r>
              <w:rPr>
                <w:rFonts w:hint="eastAsia"/>
              </w:rPr>
              <w:t>栖息于低山丘陵次生林、针阔混交林、河谷林地、林缘地带、林间开阔空地、山地疏林、灌丛坡地、草甸草原、农田林带、河滩湿地、村落外围防护林及旷野孤立乔木区域。</w:t>
            </w:r>
          </w:p>
        </w:tc>
        <w:tc>
          <w:tcPr>
            <w:tcW w:w="1141" w:type="dxa"/>
            <w:noWrap/>
            <w:vAlign w:val="center"/>
          </w:tcPr>
          <w:p w14:paraId="54A626DA">
            <w:pPr>
              <w:pStyle w:val="179"/>
            </w:pPr>
            <w:r>
              <w:rPr>
                <w:rFonts w:hint="eastAsia"/>
              </w:rPr>
              <w:t>国家二级</w:t>
            </w:r>
          </w:p>
        </w:tc>
      </w:tr>
      <w:tr w14:paraId="7965962B">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684" w:type="dxa"/>
            <w:noWrap/>
            <w:vAlign w:val="center"/>
          </w:tcPr>
          <w:p w14:paraId="7E9CE644">
            <w:pPr>
              <w:pStyle w:val="179"/>
            </w:pPr>
            <w:r>
              <w:rPr>
                <w:rFonts w:hint="eastAsia"/>
              </w:rPr>
              <w:t>3</w:t>
            </w:r>
          </w:p>
        </w:tc>
        <w:tc>
          <w:tcPr>
            <w:tcW w:w="2700" w:type="dxa"/>
            <w:noWrap/>
            <w:vAlign w:val="center"/>
          </w:tcPr>
          <w:p w14:paraId="6D58C26B">
            <w:pPr>
              <w:pStyle w:val="179"/>
            </w:pPr>
            <w:r>
              <w:t xml:space="preserve">红隼 </w:t>
            </w:r>
            <w:r>
              <w:rPr>
                <w:i/>
                <w:iCs/>
              </w:rPr>
              <w:t>Falco tinnunculus</w:t>
            </w:r>
          </w:p>
        </w:tc>
        <w:tc>
          <w:tcPr>
            <w:tcW w:w="4763" w:type="dxa"/>
            <w:noWrap/>
            <w:vAlign w:val="center"/>
          </w:tcPr>
          <w:p w14:paraId="6B82728C">
            <w:pPr>
              <w:pStyle w:val="179"/>
            </w:pPr>
            <w:r>
              <w:rPr>
                <w:rFonts w:hint="eastAsia"/>
              </w:rPr>
              <w:t>栖息于山地森林、森林苔原、低山丘陵、草原、旷野、森林平原、山区植物稀疏的混合林、开垦耕地、旷野灌丛草地、林缘、林间空地、疏林和有稀疏树木生长的旷野、河谷和农田地区。</w:t>
            </w:r>
          </w:p>
        </w:tc>
        <w:tc>
          <w:tcPr>
            <w:tcW w:w="1141" w:type="dxa"/>
            <w:noWrap/>
            <w:vAlign w:val="center"/>
          </w:tcPr>
          <w:p w14:paraId="1FF543F4">
            <w:pPr>
              <w:pStyle w:val="179"/>
            </w:pPr>
            <w:r>
              <w:rPr>
                <w:rFonts w:hint="eastAsia"/>
              </w:rPr>
              <w:t>国家二级</w:t>
            </w:r>
          </w:p>
        </w:tc>
      </w:tr>
    </w:tbl>
    <w:p w14:paraId="0C6CB0A7">
      <w:pPr>
        <w:pStyle w:val="178"/>
      </w:pPr>
      <w:r>
        <w:rPr>
          <w:rFonts w:hint="eastAsia"/>
        </w:rPr>
        <w:t>表4.3-19  评价区重点保护野生动物名录</w:t>
      </w:r>
    </w:p>
    <w:tbl>
      <w:tblPr>
        <w:tblStyle w:val="36"/>
        <w:tblW w:w="5000" w:type="pct"/>
        <w:jc w:val="center"/>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Layout w:type="fixed"/>
        <w:tblCellMar>
          <w:top w:w="0" w:type="dxa"/>
          <w:left w:w="57" w:type="dxa"/>
          <w:bottom w:w="0" w:type="dxa"/>
          <w:right w:w="57" w:type="dxa"/>
        </w:tblCellMar>
      </w:tblPr>
      <w:tblGrid>
        <w:gridCol w:w="534"/>
        <w:gridCol w:w="1083"/>
        <w:gridCol w:w="1134"/>
        <w:gridCol w:w="992"/>
        <w:gridCol w:w="850"/>
        <w:gridCol w:w="1088"/>
        <w:gridCol w:w="1322"/>
        <w:gridCol w:w="1367"/>
      </w:tblGrid>
      <w:tr w14:paraId="5609D7CE">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97" w:hRule="atLeast"/>
          <w:tblHeader/>
          <w:jc w:val="center"/>
        </w:trPr>
        <w:tc>
          <w:tcPr>
            <w:tcW w:w="534" w:type="dxa"/>
            <w:vMerge w:val="restart"/>
            <w:noWrap/>
            <w:vAlign w:val="center"/>
          </w:tcPr>
          <w:p w14:paraId="36BBE444">
            <w:pPr>
              <w:pStyle w:val="179"/>
              <w:rPr>
                <w:b/>
              </w:rPr>
            </w:pPr>
            <w:r>
              <w:rPr>
                <w:rFonts w:hint="eastAsia"/>
                <w:b/>
              </w:rPr>
              <w:t>序号</w:t>
            </w:r>
          </w:p>
        </w:tc>
        <w:tc>
          <w:tcPr>
            <w:tcW w:w="1083" w:type="dxa"/>
            <w:vMerge w:val="restart"/>
            <w:noWrap/>
            <w:vAlign w:val="center"/>
          </w:tcPr>
          <w:p w14:paraId="19B9B046">
            <w:pPr>
              <w:pStyle w:val="179"/>
              <w:rPr>
                <w:b/>
              </w:rPr>
            </w:pPr>
            <w:r>
              <w:rPr>
                <w:rFonts w:hint="eastAsia"/>
                <w:b/>
              </w:rPr>
              <w:t>物种名称</w:t>
            </w:r>
          </w:p>
        </w:tc>
        <w:tc>
          <w:tcPr>
            <w:tcW w:w="1134" w:type="dxa"/>
            <w:vMerge w:val="restart"/>
            <w:noWrap/>
            <w:vAlign w:val="center"/>
          </w:tcPr>
          <w:p w14:paraId="04176987">
            <w:pPr>
              <w:pStyle w:val="179"/>
              <w:rPr>
                <w:b/>
              </w:rPr>
            </w:pPr>
            <w:r>
              <w:rPr>
                <w:rFonts w:hint="eastAsia"/>
                <w:b/>
              </w:rPr>
              <w:t>保护级别</w:t>
            </w:r>
          </w:p>
        </w:tc>
        <w:tc>
          <w:tcPr>
            <w:tcW w:w="992" w:type="dxa"/>
            <w:vMerge w:val="restart"/>
            <w:noWrap/>
            <w:vAlign w:val="center"/>
          </w:tcPr>
          <w:p w14:paraId="62F9E368">
            <w:pPr>
              <w:pStyle w:val="179"/>
              <w:rPr>
                <w:b/>
              </w:rPr>
            </w:pPr>
            <w:r>
              <w:rPr>
                <w:rFonts w:hint="eastAsia"/>
                <w:b/>
              </w:rPr>
              <w:t>濒危级别</w:t>
            </w:r>
          </w:p>
        </w:tc>
        <w:tc>
          <w:tcPr>
            <w:tcW w:w="850" w:type="dxa"/>
            <w:vMerge w:val="restart"/>
            <w:noWrap/>
            <w:vAlign w:val="center"/>
          </w:tcPr>
          <w:p w14:paraId="0F070391">
            <w:pPr>
              <w:pStyle w:val="179"/>
              <w:rPr>
                <w:b/>
              </w:rPr>
            </w:pPr>
            <w:r>
              <w:rPr>
                <w:rFonts w:hint="eastAsia"/>
                <w:b/>
              </w:rPr>
              <w:t>特有种</w:t>
            </w:r>
          </w:p>
        </w:tc>
        <w:tc>
          <w:tcPr>
            <w:tcW w:w="1088" w:type="dxa"/>
            <w:vMerge w:val="restart"/>
            <w:noWrap/>
            <w:vAlign w:val="center"/>
          </w:tcPr>
          <w:p w14:paraId="732BDF11">
            <w:pPr>
              <w:pStyle w:val="179"/>
              <w:rPr>
                <w:b/>
              </w:rPr>
            </w:pPr>
            <w:r>
              <w:rPr>
                <w:rFonts w:hint="eastAsia"/>
                <w:b/>
              </w:rPr>
              <w:t>分布区域</w:t>
            </w:r>
          </w:p>
        </w:tc>
        <w:tc>
          <w:tcPr>
            <w:tcW w:w="1322" w:type="dxa"/>
            <w:vMerge w:val="restart"/>
            <w:noWrap/>
            <w:vAlign w:val="center"/>
          </w:tcPr>
          <w:p w14:paraId="600C5B68">
            <w:pPr>
              <w:pStyle w:val="179"/>
              <w:rPr>
                <w:b/>
              </w:rPr>
            </w:pPr>
            <w:r>
              <w:rPr>
                <w:rFonts w:hint="eastAsia"/>
                <w:b/>
              </w:rPr>
              <w:t>资料来源</w:t>
            </w:r>
          </w:p>
        </w:tc>
        <w:tc>
          <w:tcPr>
            <w:tcW w:w="1367" w:type="dxa"/>
            <w:vMerge w:val="restart"/>
            <w:noWrap/>
            <w:vAlign w:val="center"/>
          </w:tcPr>
          <w:p w14:paraId="4E467340">
            <w:pPr>
              <w:pStyle w:val="179"/>
              <w:rPr>
                <w:b/>
              </w:rPr>
            </w:pPr>
            <w:r>
              <w:rPr>
                <w:rFonts w:hint="eastAsia"/>
                <w:b/>
              </w:rPr>
              <w:t>工程占用情况（是/否）</w:t>
            </w:r>
          </w:p>
        </w:tc>
      </w:tr>
      <w:tr w14:paraId="2ABFD7CA">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97" w:hRule="atLeast"/>
          <w:tblHeader/>
          <w:jc w:val="center"/>
        </w:trPr>
        <w:tc>
          <w:tcPr>
            <w:tcW w:w="534" w:type="dxa"/>
            <w:vMerge w:val="continue"/>
            <w:noWrap/>
            <w:vAlign w:val="center"/>
          </w:tcPr>
          <w:p w14:paraId="05134134">
            <w:pPr>
              <w:pStyle w:val="179"/>
            </w:pPr>
          </w:p>
        </w:tc>
        <w:tc>
          <w:tcPr>
            <w:tcW w:w="1083" w:type="dxa"/>
            <w:vMerge w:val="continue"/>
            <w:noWrap/>
            <w:vAlign w:val="center"/>
          </w:tcPr>
          <w:p w14:paraId="70A304B1">
            <w:pPr>
              <w:pStyle w:val="179"/>
            </w:pPr>
          </w:p>
        </w:tc>
        <w:tc>
          <w:tcPr>
            <w:tcW w:w="1134" w:type="dxa"/>
            <w:vMerge w:val="continue"/>
            <w:noWrap/>
            <w:vAlign w:val="center"/>
          </w:tcPr>
          <w:p w14:paraId="191EB60C">
            <w:pPr>
              <w:pStyle w:val="179"/>
            </w:pPr>
          </w:p>
        </w:tc>
        <w:tc>
          <w:tcPr>
            <w:tcW w:w="992" w:type="dxa"/>
            <w:vMerge w:val="continue"/>
            <w:noWrap/>
            <w:vAlign w:val="center"/>
          </w:tcPr>
          <w:p w14:paraId="7889C6B7">
            <w:pPr>
              <w:pStyle w:val="179"/>
            </w:pPr>
          </w:p>
        </w:tc>
        <w:tc>
          <w:tcPr>
            <w:tcW w:w="850" w:type="dxa"/>
            <w:vMerge w:val="continue"/>
            <w:noWrap/>
            <w:vAlign w:val="center"/>
          </w:tcPr>
          <w:p w14:paraId="2D3C5F19">
            <w:pPr>
              <w:pStyle w:val="179"/>
            </w:pPr>
          </w:p>
        </w:tc>
        <w:tc>
          <w:tcPr>
            <w:tcW w:w="1088" w:type="dxa"/>
            <w:vMerge w:val="continue"/>
            <w:noWrap/>
            <w:vAlign w:val="center"/>
          </w:tcPr>
          <w:p w14:paraId="5B50496E">
            <w:pPr>
              <w:pStyle w:val="179"/>
            </w:pPr>
          </w:p>
        </w:tc>
        <w:tc>
          <w:tcPr>
            <w:tcW w:w="1322" w:type="dxa"/>
            <w:vMerge w:val="continue"/>
            <w:noWrap/>
            <w:vAlign w:val="center"/>
          </w:tcPr>
          <w:p w14:paraId="545E03A1">
            <w:pPr>
              <w:pStyle w:val="179"/>
            </w:pPr>
          </w:p>
        </w:tc>
        <w:tc>
          <w:tcPr>
            <w:tcW w:w="1367" w:type="dxa"/>
            <w:vMerge w:val="continue"/>
            <w:noWrap/>
            <w:vAlign w:val="center"/>
          </w:tcPr>
          <w:p w14:paraId="36008EC6">
            <w:pPr>
              <w:pStyle w:val="179"/>
            </w:pPr>
          </w:p>
        </w:tc>
      </w:tr>
      <w:tr w14:paraId="102F782F">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97" w:hRule="atLeast"/>
          <w:jc w:val="center"/>
        </w:trPr>
        <w:tc>
          <w:tcPr>
            <w:tcW w:w="534" w:type="dxa"/>
            <w:noWrap/>
            <w:vAlign w:val="center"/>
          </w:tcPr>
          <w:p w14:paraId="0D813058">
            <w:pPr>
              <w:pStyle w:val="179"/>
            </w:pPr>
            <w:r>
              <w:rPr>
                <w:rFonts w:hint="eastAsia"/>
              </w:rPr>
              <w:t>1</w:t>
            </w:r>
          </w:p>
        </w:tc>
        <w:tc>
          <w:tcPr>
            <w:tcW w:w="1083" w:type="dxa"/>
            <w:noWrap/>
            <w:vAlign w:val="center"/>
          </w:tcPr>
          <w:p w14:paraId="6725C26B">
            <w:pPr>
              <w:pStyle w:val="179"/>
            </w:pPr>
            <w:r>
              <w:rPr>
                <w:rFonts w:hint="eastAsia"/>
              </w:rPr>
              <w:t>苍鹰</w:t>
            </w:r>
          </w:p>
        </w:tc>
        <w:tc>
          <w:tcPr>
            <w:tcW w:w="1134" w:type="dxa"/>
            <w:noWrap/>
            <w:vAlign w:val="center"/>
          </w:tcPr>
          <w:p w14:paraId="348E84F5">
            <w:pPr>
              <w:pStyle w:val="179"/>
            </w:pPr>
            <w:r>
              <w:rPr>
                <w:rFonts w:hint="eastAsia"/>
              </w:rPr>
              <w:t>国家二级</w:t>
            </w:r>
          </w:p>
        </w:tc>
        <w:tc>
          <w:tcPr>
            <w:tcW w:w="992" w:type="dxa"/>
            <w:noWrap/>
            <w:vAlign w:val="center"/>
          </w:tcPr>
          <w:p w14:paraId="45B4D416">
            <w:pPr>
              <w:pStyle w:val="179"/>
            </w:pPr>
            <w:r>
              <w:rPr>
                <w:rFonts w:hint="eastAsia"/>
              </w:rPr>
              <w:t>无危</w:t>
            </w:r>
          </w:p>
        </w:tc>
        <w:tc>
          <w:tcPr>
            <w:tcW w:w="850" w:type="dxa"/>
            <w:noWrap/>
            <w:vAlign w:val="center"/>
          </w:tcPr>
          <w:p w14:paraId="3875BE75">
            <w:pPr>
              <w:pStyle w:val="179"/>
            </w:pPr>
            <w:r>
              <w:rPr>
                <w:rFonts w:hint="eastAsia"/>
              </w:rPr>
              <w:t>否</w:t>
            </w:r>
          </w:p>
        </w:tc>
        <w:tc>
          <w:tcPr>
            <w:tcW w:w="1088" w:type="dxa"/>
            <w:noWrap/>
            <w:vAlign w:val="center"/>
          </w:tcPr>
          <w:p w14:paraId="07C340AD">
            <w:pPr>
              <w:pStyle w:val="179"/>
            </w:pPr>
            <w:r>
              <w:rPr>
                <w:rFonts w:hint="eastAsia"/>
              </w:rPr>
              <w:t>嫩江市</w:t>
            </w:r>
          </w:p>
        </w:tc>
        <w:tc>
          <w:tcPr>
            <w:tcW w:w="1322" w:type="dxa"/>
            <w:noWrap/>
            <w:vAlign w:val="center"/>
          </w:tcPr>
          <w:p w14:paraId="78592CD4">
            <w:pPr>
              <w:pStyle w:val="179"/>
            </w:pPr>
            <w:r>
              <w:rPr>
                <w:rFonts w:hint="eastAsia"/>
              </w:rPr>
              <w:t>科考报告、现场调查</w:t>
            </w:r>
          </w:p>
        </w:tc>
        <w:tc>
          <w:tcPr>
            <w:tcW w:w="1367" w:type="dxa"/>
            <w:noWrap/>
            <w:vAlign w:val="center"/>
          </w:tcPr>
          <w:p w14:paraId="7E4E5149">
            <w:pPr>
              <w:pStyle w:val="179"/>
            </w:pPr>
            <w:r>
              <w:rPr>
                <w:rFonts w:hint="eastAsia"/>
              </w:rPr>
              <w:t>否</w:t>
            </w:r>
          </w:p>
        </w:tc>
      </w:tr>
      <w:tr w14:paraId="68C6FC01">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97" w:hRule="atLeast"/>
          <w:jc w:val="center"/>
        </w:trPr>
        <w:tc>
          <w:tcPr>
            <w:tcW w:w="534" w:type="dxa"/>
            <w:noWrap/>
            <w:vAlign w:val="center"/>
          </w:tcPr>
          <w:p w14:paraId="7CE26B56">
            <w:pPr>
              <w:pStyle w:val="179"/>
            </w:pPr>
            <w:r>
              <w:rPr>
                <w:rFonts w:hint="eastAsia"/>
              </w:rPr>
              <w:t>2</w:t>
            </w:r>
          </w:p>
        </w:tc>
        <w:tc>
          <w:tcPr>
            <w:tcW w:w="1083" w:type="dxa"/>
            <w:noWrap/>
            <w:vAlign w:val="center"/>
          </w:tcPr>
          <w:p w14:paraId="2FDC8DC6">
            <w:pPr>
              <w:pStyle w:val="179"/>
            </w:pPr>
            <w:r>
              <w:rPr>
                <w:rFonts w:hint="eastAsia"/>
              </w:rPr>
              <w:t>雪兔</w:t>
            </w:r>
          </w:p>
        </w:tc>
        <w:tc>
          <w:tcPr>
            <w:tcW w:w="1134" w:type="dxa"/>
            <w:noWrap/>
            <w:vAlign w:val="center"/>
          </w:tcPr>
          <w:p w14:paraId="5781C231">
            <w:pPr>
              <w:pStyle w:val="179"/>
            </w:pPr>
            <w:r>
              <w:rPr>
                <w:rFonts w:hint="eastAsia"/>
              </w:rPr>
              <w:t>国家二级</w:t>
            </w:r>
          </w:p>
        </w:tc>
        <w:tc>
          <w:tcPr>
            <w:tcW w:w="992" w:type="dxa"/>
            <w:noWrap/>
            <w:vAlign w:val="center"/>
          </w:tcPr>
          <w:p w14:paraId="6CDD349A">
            <w:pPr>
              <w:pStyle w:val="179"/>
            </w:pPr>
            <w:r>
              <w:rPr>
                <w:rFonts w:hint="eastAsia"/>
              </w:rPr>
              <w:t>无危</w:t>
            </w:r>
          </w:p>
        </w:tc>
        <w:tc>
          <w:tcPr>
            <w:tcW w:w="850" w:type="dxa"/>
            <w:noWrap/>
            <w:vAlign w:val="center"/>
          </w:tcPr>
          <w:p w14:paraId="042B4091">
            <w:pPr>
              <w:pStyle w:val="179"/>
            </w:pPr>
            <w:r>
              <w:rPr>
                <w:rFonts w:hint="eastAsia"/>
              </w:rPr>
              <w:t>否</w:t>
            </w:r>
          </w:p>
        </w:tc>
        <w:tc>
          <w:tcPr>
            <w:tcW w:w="1088" w:type="dxa"/>
            <w:noWrap/>
            <w:vAlign w:val="center"/>
          </w:tcPr>
          <w:p w14:paraId="0714B5A0">
            <w:pPr>
              <w:pStyle w:val="179"/>
            </w:pPr>
            <w:r>
              <w:rPr>
                <w:rFonts w:hint="eastAsia"/>
              </w:rPr>
              <w:t>嫩江市</w:t>
            </w:r>
          </w:p>
        </w:tc>
        <w:tc>
          <w:tcPr>
            <w:tcW w:w="1322" w:type="dxa"/>
            <w:noWrap/>
            <w:vAlign w:val="center"/>
          </w:tcPr>
          <w:p w14:paraId="6F7E7DB5">
            <w:pPr>
              <w:pStyle w:val="179"/>
            </w:pPr>
            <w:r>
              <w:rPr>
                <w:rFonts w:hint="eastAsia"/>
              </w:rPr>
              <w:t>科考报告、现场调查</w:t>
            </w:r>
          </w:p>
        </w:tc>
        <w:tc>
          <w:tcPr>
            <w:tcW w:w="1367" w:type="dxa"/>
            <w:noWrap/>
            <w:vAlign w:val="center"/>
          </w:tcPr>
          <w:p w14:paraId="2157E229">
            <w:pPr>
              <w:pStyle w:val="179"/>
            </w:pPr>
            <w:r>
              <w:rPr>
                <w:rFonts w:hint="eastAsia"/>
              </w:rPr>
              <w:t>否</w:t>
            </w:r>
          </w:p>
        </w:tc>
      </w:tr>
      <w:tr w14:paraId="6A42AEF3">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97" w:hRule="atLeast"/>
          <w:jc w:val="center"/>
        </w:trPr>
        <w:tc>
          <w:tcPr>
            <w:tcW w:w="534" w:type="dxa"/>
            <w:noWrap/>
            <w:vAlign w:val="center"/>
          </w:tcPr>
          <w:p w14:paraId="02EC9F27">
            <w:pPr>
              <w:pStyle w:val="179"/>
            </w:pPr>
            <w:r>
              <w:rPr>
                <w:rFonts w:hint="eastAsia"/>
              </w:rPr>
              <w:t>3</w:t>
            </w:r>
          </w:p>
        </w:tc>
        <w:tc>
          <w:tcPr>
            <w:tcW w:w="1083" w:type="dxa"/>
            <w:noWrap/>
            <w:vAlign w:val="center"/>
          </w:tcPr>
          <w:p w14:paraId="16B52AD7">
            <w:pPr>
              <w:pStyle w:val="179"/>
            </w:pPr>
            <w:r>
              <w:t>红隼</w:t>
            </w:r>
          </w:p>
        </w:tc>
        <w:tc>
          <w:tcPr>
            <w:tcW w:w="1134" w:type="dxa"/>
            <w:noWrap/>
            <w:vAlign w:val="center"/>
          </w:tcPr>
          <w:p w14:paraId="65B8E40C">
            <w:pPr>
              <w:pStyle w:val="179"/>
            </w:pPr>
            <w:r>
              <w:rPr>
                <w:rFonts w:hint="eastAsia"/>
              </w:rPr>
              <w:t>国家二级</w:t>
            </w:r>
          </w:p>
        </w:tc>
        <w:tc>
          <w:tcPr>
            <w:tcW w:w="992" w:type="dxa"/>
            <w:noWrap/>
            <w:vAlign w:val="center"/>
          </w:tcPr>
          <w:p w14:paraId="476927E2">
            <w:pPr>
              <w:pStyle w:val="179"/>
            </w:pPr>
            <w:r>
              <w:rPr>
                <w:rFonts w:hint="eastAsia"/>
              </w:rPr>
              <w:t>无危</w:t>
            </w:r>
          </w:p>
        </w:tc>
        <w:tc>
          <w:tcPr>
            <w:tcW w:w="850" w:type="dxa"/>
            <w:noWrap/>
            <w:vAlign w:val="center"/>
          </w:tcPr>
          <w:p w14:paraId="71BF0399">
            <w:pPr>
              <w:pStyle w:val="179"/>
            </w:pPr>
            <w:r>
              <w:rPr>
                <w:rFonts w:hint="eastAsia"/>
              </w:rPr>
              <w:t>否</w:t>
            </w:r>
          </w:p>
        </w:tc>
        <w:tc>
          <w:tcPr>
            <w:tcW w:w="1088" w:type="dxa"/>
            <w:noWrap/>
            <w:vAlign w:val="center"/>
          </w:tcPr>
          <w:p w14:paraId="409ACC88">
            <w:pPr>
              <w:pStyle w:val="179"/>
            </w:pPr>
            <w:r>
              <w:rPr>
                <w:rFonts w:hint="eastAsia"/>
              </w:rPr>
              <w:t>嫩江市</w:t>
            </w:r>
          </w:p>
        </w:tc>
        <w:tc>
          <w:tcPr>
            <w:tcW w:w="1322" w:type="dxa"/>
            <w:noWrap/>
            <w:vAlign w:val="center"/>
          </w:tcPr>
          <w:p w14:paraId="37F66E1B">
            <w:pPr>
              <w:pStyle w:val="179"/>
            </w:pPr>
            <w:r>
              <w:rPr>
                <w:rFonts w:hint="eastAsia"/>
              </w:rPr>
              <w:t>科考报告、现场调查</w:t>
            </w:r>
          </w:p>
        </w:tc>
        <w:tc>
          <w:tcPr>
            <w:tcW w:w="1367" w:type="dxa"/>
            <w:noWrap/>
            <w:vAlign w:val="center"/>
          </w:tcPr>
          <w:p w14:paraId="1B8D7E1B">
            <w:pPr>
              <w:pStyle w:val="179"/>
            </w:pPr>
            <w:r>
              <w:rPr>
                <w:rFonts w:hint="eastAsia"/>
              </w:rPr>
              <w:t>否</w:t>
            </w:r>
          </w:p>
        </w:tc>
      </w:tr>
    </w:tbl>
    <w:p w14:paraId="3BD59F60">
      <w:pPr>
        <w:ind w:firstLine="482"/>
        <w:rPr>
          <w:b/>
          <w:bCs w:val="0"/>
        </w:rPr>
      </w:pPr>
      <w:r>
        <w:rPr>
          <w:rFonts w:hint="eastAsia"/>
          <w:b/>
        </w:rPr>
        <w:t>苍鹰（</w:t>
      </w:r>
      <w:r>
        <w:rPr>
          <w:rFonts w:hint="eastAsia"/>
          <w:b/>
          <w:i/>
          <w:iCs/>
        </w:rPr>
        <w:t>Accipiter gentilis</w:t>
      </w:r>
      <w:r>
        <w:rPr>
          <w:rFonts w:hint="eastAsia"/>
          <w:b/>
        </w:rPr>
        <w:t>）</w:t>
      </w:r>
    </w:p>
    <w:p w14:paraId="0AC052D0">
      <w:pPr>
        <w:ind w:firstLine="480"/>
      </w:pPr>
      <w:r>
        <w:rPr>
          <w:rFonts w:hint="eastAsia"/>
        </w:rPr>
        <w:t>形态特征：体重 500～1100 克，体长 47～67 厘米；翅短而宽，尾长呈方形，雌雄体型差异明显，雌鸟体型显著大于雄鸟；雄鸟上体石板蓝灰色，下体密布细密灰褐色横纹；雌鸟上体暗褐色，下体具粗褐色横斑，飞行时翼下宽阔，擅长林间穿梭飞行。苍鹰多单独活动，常在林中空地、林缘低空盘旋捕猎，以中小型鸟类、啮齿类、野兔为主要食物。</w:t>
      </w:r>
    </w:p>
    <w:p w14:paraId="1DB2403E">
      <w:pPr>
        <w:ind w:firstLine="480"/>
      </w:pPr>
      <w:r>
        <w:rPr>
          <w:rFonts w:hint="eastAsia"/>
        </w:rPr>
        <w:t>生境特点：栖息于小兴安岭低山针阔混交林、次生阔叶林、河谷林地、茂密林带、林间空地、林缘疏灌、山坡密林、采伐更新林地、近林农田、河畔树丛及远离村落的荒野地带。</w:t>
      </w:r>
    </w:p>
    <w:p w14:paraId="58A19834">
      <w:pPr>
        <w:ind w:firstLine="480"/>
      </w:pPr>
      <w:r>
        <w:rPr>
          <w:rFonts w:hint="eastAsia"/>
        </w:rPr>
        <w:t>调查现状：苍鹰常年依托成片密林栖息，极少靠近人为采石开阔区域，查阅《黑龙江省鸟类动物志》可知本区域有苍鹰分布记录；经现场踏勘、走访当地群众，矿区占地范围内未发现苍鹰巢穴与固定栖息区域，评价区内远处成片次生林仅为其偶尔过境、短暂觅食区域。</w:t>
      </w:r>
    </w:p>
    <w:p w14:paraId="2137D735">
      <w:pPr>
        <w:ind w:firstLine="482"/>
        <w:rPr>
          <w:b/>
          <w:bCs w:val="0"/>
        </w:rPr>
      </w:pPr>
      <w:r>
        <w:rPr>
          <w:rFonts w:hint="eastAsia"/>
          <w:b/>
        </w:rPr>
        <w:t>雪兔（</w:t>
      </w:r>
      <w:r>
        <w:rPr>
          <w:rFonts w:hint="eastAsia"/>
          <w:b/>
          <w:i/>
          <w:iCs/>
        </w:rPr>
        <w:t>Lepus timidus</w:t>
      </w:r>
      <w:r>
        <w:rPr>
          <w:rFonts w:hint="eastAsia"/>
          <w:b/>
        </w:rPr>
        <w:t>）</w:t>
      </w:r>
    </w:p>
    <w:p w14:paraId="66FC70AB">
      <w:pPr>
        <w:ind w:firstLine="480"/>
      </w:pPr>
      <w:r>
        <w:rPr>
          <w:rFonts w:hint="eastAsia"/>
        </w:rPr>
        <w:t>形态特征：体重 1.2～2.5 千克，体长 45～65 厘米，耳短且耳尖具黑色斑纹，后腿粗壮善于奔跑；冬毛通体雪白，仅耳尖黑色，夏毛转为灰褐色，体侧散布浅棕斑纹；多晨昏时段活动，独居，以灌木嫩枝、草本、树皮为食，依靠灌丛、密林躲避天敌。</w:t>
      </w:r>
    </w:p>
    <w:p w14:paraId="3DE2C7F7">
      <w:pPr>
        <w:ind w:firstLine="480"/>
      </w:pPr>
      <w:r>
        <w:rPr>
          <w:rFonts w:hint="eastAsia"/>
        </w:rPr>
        <w:t>生境特点：栖息于小兴安岭低山次生林、榛灌丛、林间草甸、采伐迹地、沟壑灌丛、林缘荒坡、河谷柴桦丛、稀疏林地、山地缓坡及远离工矿的农田边缘地带。</w:t>
      </w:r>
    </w:p>
    <w:p w14:paraId="36C4A70B">
      <w:pPr>
        <w:ind w:firstLine="480"/>
      </w:pPr>
      <w:r>
        <w:rPr>
          <w:rFonts w:hint="eastAsia"/>
        </w:rPr>
        <w:t>调查现状：雪兔依赖连片茂密灌丛生存，矿区开采形成裸露岩面、人为活动频繁区域不适宜其长期停留；查阅区域野生动物调查资料，评价区外围远山林带有雪兔分布，矿区占地及周边无稳定栖息种群，仅偶有个体远距离途经评价外围林地。</w:t>
      </w:r>
    </w:p>
    <w:p w14:paraId="2542B48C">
      <w:pPr>
        <w:ind w:firstLine="482"/>
        <w:rPr>
          <w:rFonts w:cs="Times New Roman"/>
        </w:rPr>
      </w:pPr>
      <w:r>
        <w:rPr>
          <w:b/>
        </w:rPr>
        <w:t>红隼</w:t>
      </w:r>
      <w:r>
        <w:rPr>
          <w:rFonts w:hint="eastAsia" w:hAnsi="Times New Roman" w:eastAsia="宋体" w:cs="Times New Roman"/>
          <w:b/>
        </w:rPr>
        <w:t>（</w:t>
      </w:r>
      <w:r>
        <w:rPr>
          <w:rFonts w:hint="eastAsia" w:hAnsi="Times New Roman" w:eastAsia="宋体" w:cs="Times New Roman"/>
          <w:b/>
          <w:i/>
          <w:iCs/>
        </w:rPr>
        <w:t>Falco tinnunculus</w:t>
      </w:r>
      <w:r>
        <w:rPr>
          <w:rFonts w:hint="eastAsia" w:hAnsi="Times New Roman" w:eastAsia="宋体" w:cs="Times New Roman"/>
          <w:b/>
        </w:rPr>
        <w:t>）</w:t>
      </w:r>
    </w:p>
    <w:p w14:paraId="668651D9">
      <w:pPr>
        <w:ind w:firstLine="480"/>
      </w:pPr>
      <w:r>
        <w:rPr>
          <w:rFonts w:hint="eastAsia"/>
        </w:rPr>
        <w:t>形态特征：红隼体重173~335克，体长305~360毫米；翅狭长而尖，尾亦较长，外形和共同爪隼非常相似；雄鸟头蓝灰色，背和翅上覆羽砖红色；雌鸟上体从头至尾棕红色。红隼一般栖息于山地和旷野中，多单个或成对活动，飞行较高，以大型昆虫、鸟和小哺乳动物为食。</w:t>
      </w:r>
    </w:p>
    <w:p w14:paraId="0247D083">
      <w:pPr>
        <w:ind w:firstLine="480"/>
      </w:pPr>
      <w:r>
        <w:rPr>
          <w:rFonts w:hint="eastAsia"/>
        </w:rPr>
        <w:t>生境特点：栖息于山地森林、森林苔原、低山丘陵、草原、旷野、森林平原、山区植物稀疏的混合林、开垦耕地、旷野灌丛草地、林缘、林间空地、疏林和有稀疏树木生长的旷野、河谷和农田地区。</w:t>
      </w:r>
    </w:p>
    <w:p w14:paraId="7E72CC13">
      <w:pPr>
        <w:ind w:firstLine="480"/>
      </w:pPr>
      <w:r>
        <w:rPr>
          <w:rFonts w:hint="eastAsia"/>
        </w:rPr>
        <w:t>调查现状：</w:t>
      </w:r>
      <w:r>
        <w:t>红隼</w:t>
      </w:r>
      <w:r>
        <w:rPr>
          <w:rFonts w:hint="eastAsia"/>
        </w:rPr>
        <w:t>夏季多在森林中活动，但较少到开阔区域觅食，通过《黑龙省鸟类动物志》资料记载，此处有其踪迹分布。根据走访调查和现场调查的结果，占地范围内未发现其栖息地，评价范围内可能是</w:t>
      </w:r>
      <w:r>
        <w:t>红隼</w:t>
      </w:r>
      <w:r>
        <w:rPr>
          <w:rFonts w:hint="eastAsia"/>
        </w:rPr>
        <w:t>活动较少的觅食地。</w:t>
      </w:r>
    </w:p>
    <w:p w14:paraId="02A9C1C4">
      <w:pPr>
        <w:pStyle w:val="178"/>
      </w:pPr>
      <w:r>
        <w:rPr>
          <w:rFonts w:hint="eastAsia"/>
        </w:rPr>
        <w:drawing>
          <wp:inline distT="0" distB="0" distL="114300" distR="114300">
            <wp:extent cx="5140325" cy="3618230"/>
            <wp:effectExtent l="19050" t="0" r="2655" b="0"/>
            <wp:docPr id="74" name="图片 12" descr="783254dca521b0c7ec63f60b336f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2" descr="783254dca521b0c7ec63f60b336f3045"/>
                    <pic:cNvPicPr>
                      <a:picLocks noChangeAspect="1"/>
                    </pic:cNvPicPr>
                  </pic:nvPicPr>
                  <pic:blipFill>
                    <a:blip r:embed="rId89"/>
                    <a:srcRect l="2176" t="6803" r="8519" b="4354"/>
                    <a:stretch>
                      <a:fillRect/>
                    </a:stretch>
                  </pic:blipFill>
                  <pic:spPr>
                    <a:xfrm>
                      <a:off x="0" y="0"/>
                      <a:ext cx="5140845" cy="3618807"/>
                    </a:xfrm>
                    <a:prstGeom prst="rect">
                      <a:avLst/>
                    </a:prstGeom>
                  </pic:spPr>
                </pic:pic>
              </a:graphicData>
            </a:graphic>
          </wp:inline>
        </w:drawing>
      </w:r>
    </w:p>
    <w:p w14:paraId="69127E8D">
      <w:pPr>
        <w:pStyle w:val="178"/>
      </w:pPr>
      <w:r>
        <w:rPr>
          <w:rFonts w:hint="eastAsia"/>
        </w:rPr>
        <w:t>图4.3-10  评价范围内重点保护野生动物分布图</w:t>
      </w:r>
    </w:p>
    <w:p w14:paraId="7630EDD6">
      <w:pPr>
        <w:pStyle w:val="5"/>
        <w:spacing w:before="120" w:after="120"/>
      </w:pPr>
      <w:r>
        <w:t>陆生动物调查</w:t>
      </w:r>
      <w:r>
        <w:rPr>
          <w:rFonts w:hint="eastAsia"/>
        </w:rPr>
        <w:t>评价</w:t>
      </w:r>
    </w:p>
    <w:p w14:paraId="715997F1">
      <w:pPr>
        <w:ind w:firstLine="480"/>
      </w:pPr>
      <w:bookmarkStart w:id="338" w:name="_Toc30303"/>
      <w:r>
        <w:rPr>
          <w:rFonts w:hint="eastAsia"/>
        </w:rPr>
        <w:t>（1）评价范围内动物物种分布特点评价</w:t>
      </w:r>
      <w:bookmarkEnd w:id="338"/>
    </w:p>
    <w:p w14:paraId="232B1925">
      <w:pPr>
        <w:ind w:firstLine="480"/>
      </w:pPr>
      <w:r>
        <w:rPr>
          <w:rFonts w:hint="eastAsia"/>
        </w:rPr>
        <w:t>根据现场调查及走访调查，</w:t>
      </w:r>
      <w:r>
        <w:t>从</w:t>
      </w:r>
      <w:r>
        <w:rPr>
          <w:rFonts w:hint="eastAsia"/>
        </w:rPr>
        <w:t>动物</w:t>
      </w:r>
      <w:r>
        <w:t>调查及</w:t>
      </w:r>
      <w:r>
        <w:rPr>
          <w:rFonts w:hint="eastAsia"/>
        </w:rPr>
        <w:t>动物</w:t>
      </w:r>
      <w:r>
        <w:t>分布情况可以看出</w:t>
      </w:r>
      <w:r>
        <w:rPr>
          <w:rFonts w:hint="eastAsia"/>
        </w:rPr>
        <w:t>，无珍稀保护动物栖息地，调查范围内人员活动较频繁，无大型野生保护动物活动，涉及的动物主要为农田常见小型动物如田鼠、松鼠、野兔和普通鸟类等，工程占地范围内没有这些动物的栖息地，不会破坏其生境环境和减少其生境面积。</w:t>
      </w:r>
    </w:p>
    <w:p w14:paraId="21EB7D24">
      <w:pPr>
        <w:ind w:firstLine="480"/>
      </w:pPr>
      <w:bookmarkStart w:id="339" w:name="_Toc8472"/>
      <w:r>
        <w:rPr>
          <w:rFonts w:hint="eastAsia"/>
        </w:rPr>
        <w:t>（2）评价范围内重要物种种群现状、生境质量、连通性、破碎化程度评价</w:t>
      </w:r>
      <w:bookmarkEnd w:id="339"/>
    </w:p>
    <w:p w14:paraId="58EFDF59">
      <w:pPr>
        <w:ind w:firstLine="480"/>
      </w:pPr>
      <w:r>
        <w:rPr>
          <w:rFonts w:hint="eastAsia"/>
        </w:rPr>
        <w:t>本项目周边早期存在工业场地和道路，可能对部分野生动物的栖息地产生了切割和分割的影响，使生境破碎化，造成了部分野生动物的种群隔离，压缩了活动范围，所以附近存在部分野生动物生境有一定程度的破碎化现象，但大多都是普通野生物种，且多数影响为两栖爬行类及小型哺乳类动物，通过调查可知，本次评价范围内重要动物多为鸟类，对重要动物的分布影响很小，本项目永久占地面积很少，且动物已适应当地环境，会自动避开，所以工程永久占地范围内没有重点保护野生动物的分布，工程占地对重点保护野生动物的影响很小。项目工程占地范围内未</w:t>
      </w:r>
      <w:r>
        <w:t>发现国家</w:t>
      </w:r>
      <w:r>
        <w:rPr>
          <w:rFonts w:hint="eastAsia"/>
        </w:rPr>
        <w:t>级及省级野生</w:t>
      </w:r>
      <w:r>
        <w:t>保护</w:t>
      </w:r>
      <w:r>
        <w:rPr>
          <w:rFonts w:hint="eastAsia"/>
        </w:rPr>
        <w:t>动物</w:t>
      </w:r>
      <w:r>
        <w:t>。</w:t>
      </w:r>
    </w:p>
    <w:p w14:paraId="36272639">
      <w:pPr>
        <w:ind w:firstLine="480"/>
      </w:pPr>
      <w:r>
        <w:rPr>
          <w:rFonts w:hint="eastAsia"/>
        </w:rPr>
        <w:t>根据现场调查及走访调查，从动物调查及动物分布情况可以看出，占地范围无珍稀保护动物栖息地，调查范围内村屯人员活动较频繁，无大型野生保护动物活动，涉及的动物主要为农田常见小型动物如田鼠、松鼠、野兔及普通鸟类等，工程占地范围内没有保护动物的分布也没有这些动物的栖息地，因通过现场调查、资料收集和走访当地居民发现的评价区内保护动物都是零星偶然出现在远离道路的评价范围内，因此工程建设不会破坏其生境环境和减少其生境面积。</w:t>
      </w:r>
    </w:p>
    <w:p w14:paraId="47B66FCB">
      <w:pPr>
        <w:pStyle w:val="5"/>
        <w:spacing w:before="120" w:after="120"/>
      </w:pPr>
      <w:r>
        <w:t>陆生动物调查</w:t>
      </w:r>
      <w:r>
        <w:rPr>
          <w:rFonts w:hint="eastAsia"/>
        </w:rPr>
        <w:t>小结</w:t>
      </w:r>
    </w:p>
    <w:p w14:paraId="7C79A6BF">
      <w:pPr>
        <w:ind w:firstLine="480"/>
      </w:pPr>
      <w:r>
        <w:t>根据</w:t>
      </w:r>
      <w:r>
        <w:rPr>
          <w:rFonts w:hint="eastAsia"/>
        </w:rPr>
        <w:t>《陆生野生动物重要栖息地名录》、现场调查和走访调查</w:t>
      </w:r>
      <w:r>
        <w:t>，从动物调查及动物分布情况可以看出，该项目不占用珍稀保护动物栖息地，</w:t>
      </w:r>
      <w:r>
        <w:rPr>
          <w:rFonts w:hint="eastAsia"/>
        </w:rPr>
        <w:t>重要动物物种栖息地主要分布在生态敏感区中，多在河流、农田区域进行捕食或在乔灌木林中停歇。</w:t>
      </w:r>
      <w:r>
        <w:t>调查范围内人员活动较频繁，无大型野生保护动物活动，涉及的动物主要为农田常见小型动物如</w:t>
      </w:r>
      <w:r>
        <w:rPr>
          <w:rFonts w:hint="eastAsia"/>
        </w:rPr>
        <w:t>田鼠、野兔及普通鸟类</w:t>
      </w:r>
      <w:r>
        <w:t>等，</w:t>
      </w:r>
      <w:r>
        <w:rPr>
          <w:rFonts w:hint="eastAsia"/>
        </w:rPr>
        <w:t>本项目施工活动影响范围涉及1处生态保护红线</w:t>
      </w:r>
      <w:r>
        <w:t>，评价范围内可能偶尔有保护动物出没</w:t>
      </w:r>
      <w:r>
        <w:rPr>
          <w:rFonts w:hint="eastAsia"/>
        </w:rPr>
        <w:t>，</w:t>
      </w:r>
      <w:r>
        <w:t>通过现场调查、资料收集和走访当地居民发现评价区内大多都是普通野生物种，并未发现保护动物，加之采取措施</w:t>
      </w:r>
      <w:r>
        <w:rPr>
          <w:rFonts w:hint="eastAsia"/>
        </w:rPr>
        <w:t>可有效</w:t>
      </w:r>
      <w:r>
        <w:t>减少对动物的影响</w:t>
      </w:r>
      <w:r>
        <w:rPr>
          <w:rFonts w:hint="eastAsia"/>
        </w:rPr>
        <w:t>。通过现场调查和物种适宜性分布图</w:t>
      </w:r>
      <w:r>
        <w:t>可以看出该地区以</w:t>
      </w:r>
      <w:r>
        <w:rPr>
          <w:rFonts w:hint="eastAsia"/>
        </w:rPr>
        <w:t>中</w:t>
      </w:r>
      <w:r>
        <w:t>适宜区为主，</w:t>
      </w:r>
      <w:r>
        <w:rPr>
          <w:rFonts w:hint="eastAsia"/>
        </w:rPr>
        <w:t>本项目施工区域为适宜区，对</w:t>
      </w:r>
      <w:r>
        <w:t>珍稀保护动物</w:t>
      </w:r>
      <w:r>
        <w:rPr>
          <w:rFonts w:hint="eastAsia"/>
        </w:rPr>
        <w:t>影响程度较低。</w:t>
      </w:r>
    </w:p>
    <w:p w14:paraId="7F8CEBCB">
      <w:pPr>
        <w:pStyle w:val="178"/>
      </w:pPr>
      <w:r>
        <w:drawing>
          <wp:inline distT="0" distB="0" distL="114300" distR="114300">
            <wp:extent cx="5242560" cy="3706495"/>
            <wp:effectExtent l="19050" t="0" r="0" b="0"/>
            <wp:docPr id="61" name="图片 44" descr="苍鹰_红隼物种适宜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44" descr="苍鹰_红隼物种适宜性"/>
                    <pic:cNvPicPr>
                      <a:picLocks noChangeAspect="1"/>
                    </pic:cNvPicPr>
                  </pic:nvPicPr>
                  <pic:blipFill>
                    <a:blip r:embed="rId90"/>
                    <a:stretch>
                      <a:fillRect/>
                    </a:stretch>
                  </pic:blipFill>
                  <pic:spPr>
                    <a:xfrm>
                      <a:off x="0" y="0"/>
                      <a:ext cx="5242560" cy="3706586"/>
                    </a:xfrm>
                    <a:prstGeom prst="rect">
                      <a:avLst/>
                    </a:prstGeom>
                  </pic:spPr>
                </pic:pic>
              </a:graphicData>
            </a:graphic>
          </wp:inline>
        </w:drawing>
      </w:r>
    </w:p>
    <w:p w14:paraId="1DB7DDFA">
      <w:pPr>
        <w:pStyle w:val="178"/>
      </w:pPr>
      <w:r>
        <w:rPr>
          <w:rFonts w:hint="eastAsia"/>
        </w:rPr>
        <w:t>图4.3-11 物种适宜性生境分布图</w:t>
      </w:r>
    </w:p>
    <w:p w14:paraId="0D348A9D">
      <w:pPr>
        <w:pStyle w:val="4"/>
        <w:spacing w:before="180" w:after="120"/>
        <w:rPr>
          <w:rFonts w:hAnsi="Times New Roman" w:cs="Times New Roman"/>
        </w:rPr>
      </w:pPr>
      <w:r>
        <w:rPr>
          <w:rFonts w:hAnsi="Times New Roman" w:cs="Times New Roman"/>
          <w:bCs/>
        </w:rPr>
        <w:t>生物多样性现状及评价</w:t>
      </w:r>
    </w:p>
    <w:p w14:paraId="0F45574A">
      <w:pPr>
        <w:ind w:firstLine="480"/>
      </w:pPr>
      <w:r>
        <w:rPr>
          <w:rFonts w:hint="eastAsia"/>
        </w:rPr>
        <w:t>生物多样性包括生态系统的多样性、物种多样性和遗传多样性三个层次。评价区域内生态系统多样性比较简单，主要系统单元为河流生态系统，陆域生态系统农田生态系统和湿地生态系统为主，其他生态系统面积很小，基本构不成完整的生态系统。从系统多样性看，评价区域内的河流系统生物多样性水平较丰富。物种多样性受系统多样性和景观多样性制约。评价区域内农田生态系统中除了人工栽培的少数几种农作物外，天然成分很少，因此物种贫乏，作物仅为水稻、玉米、大豆等，不仅系统间结构简单，系统内群落亦比较简单，生物种群多为长期依附于或适应于人类而生存的种类（包括植物和动物种类），因此农田系统内物种的生物多样性水平是比较低的，基本不具备珍贵和稀有物种的生存条件。</w:t>
      </w:r>
    </w:p>
    <w:p w14:paraId="23550D03">
      <w:pPr>
        <w:ind w:firstLine="480"/>
      </w:pPr>
      <w:r>
        <w:rPr>
          <w:rFonts w:hint="eastAsia"/>
        </w:rPr>
        <w:t>生物多样性是反映一个生物群落复杂程度的指标，本次采用香农-威纳多样性指数、Simpson优势度指数和Pielou均匀度指数对25个样方的生物多样性进行了计算，计算结果见表4.3-46。</w:t>
      </w:r>
    </w:p>
    <w:p w14:paraId="3828B86D">
      <w:pPr>
        <w:ind w:firstLine="480"/>
      </w:pPr>
    </w:p>
    <w:p w14:paraId="386F3654">
      <w:pPr>
        <w:ind w:firstLine="480"/>
      </w:pPr>
    </w:p>
    <w:p w14:paraId="4B2A3E83">
      <w:pPr>
        <w:pStyle w:val="178"/>
      </w:pPr>
      <w:r>
        <w:t>表</w:t>
      </w:r>
      <w:r>
        <w:rPr>
          <w:rFonts w:hint="eastAsia"/>
        </w:rPr>
        <w:t xml:space="preserve">4.3-20 </w:t>
      </w:r>
      <w:r>
        <w:t xml:space="preserve"> 评价范围内生物多样性指数</w:t>
      </w:r>
    </w:p>
    <w:tbl>
      <w:tblPr>
        <w:tblStyle w:val="37"/>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461"/>
        <w:gridCol w:w="2583"/>
        <w:gridCol w:w="2151"/>
        <w:gridCol w:w="2277"/>
      </w:tblGrid>
      <w:tr w14:paraId="37B5045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599" w:type="dxa"/>
            <w:vAlign w:val="center"/>
          </w:tcPr>
          <w:p w14:paraId="2646E2AC">
            <w:pPr>
              <w:pStyle w:val="179"/>
              <w:widowControl w:val="0"/>
              <w:rPr>
                <w:b/>
              </w:rPr>
            </w:pPr>
            <w:r>
              <w:rPr>
                <w:rFonts w:hint="eastAsia"/>
                <w:b/>
              </w:rPr>
              <w:t>样方</w:t>
            </w:r>
          </w:p>
        </w:tc>
        <w:tc>
          <w:tcPr>
            <w:tcW w:w="2865" w:type="dxa"/>
            <w:vAlign w:val="center"/>
          </w:tcPr>
          <w:p w14:paraId="718B6918">
            <w:pPr>
              <w:pStyle w:val="179"/>
              <w:widowControl w:val="0"/>
              <w:rPr>
                <w:b/>
              </w:rPr>
            </w:pPr>
            <w:r>
              <w:rPr>
                <w:rFonts w:hint="eastAsia"/>
                <w:b/>
              </w:rPr>
              <w:t>香农-威纳多样性指数</w:t>
            </w:r>
          </w:p>
        </w:tc>
        <w:tc>
          <w:tcPr>
            <w:tcW w:w="2355" w:type="dxa"/>
            <w:vAlign w:val="center"/>
          </w:tcPr>
          <w:p w14:paraId="3D5E7082">
            <w:pPr>
              <w:pStyle w:val="179"/>
              <w:widowControl w:val="0"/>
              <w:rPr>
                <w:b/>
              </w:rPr>
            </w:pPr>
            <w:r>
              <w:rPr>
                <w:rFonts w:hint="eastAsia"/>
                <w:b/>
              </w:rPr>
              <w:t>Pielou均匀度指数</w:t>
            </w:r>
          </w:p>
        </w:tc>
        <w:tc>
          <w:tcPr>
            <w:tcW w:w="2469" w:type="dxa"/>
            <w:vAlign w:val="center"/>
          </w:tcPr>
          <w:p w14:paraId="518D5ADF">
            <w:pPr>
              <w:pStyle w:val="179"/>
              <w:widowControl w:val="0"/>
              <w:rPr>
                <w:b/>
              </w:rPr>
            </w:pPr>
            <w:r>
              <w:rPr>
                <w:rFonts w:hint="eastAsia"/>
                <w:b/>
              </w:rPr>
              <w:t>Simpson优势度指数</w:t>
            </w:r>
          </w:p>
        </w:tc>
      </w:tr>
      <w:tr w14:paraId="369FEA0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99" w:type="dxa"/>
            <w:vAlign w:val="center"/>
          </w:tcPr>
          <w:p w14:paraId="6D46DC73">
            <w:pPr>
              <w:pStyle w:val="179"/>
              <w:widowControl w:val="0"/>
            </w:pPr>
            <w:r>
              <w:t>#1</w:t>
            </w:r>
          </w:p>
        </w:tc>
        <w:tc>
          <w:tcPr>
            <w:tcW w:w="2865" w:type="dxa"/>
            <w:shd w:val="clear" w:color="auto" w:fill="auto"/>
            <w:vAlign w:val="center"/>
          </w:tcPr>
          <w:p w14:paraId="47985D24">
            <w:pPr>
              <w:pStyle w:val="179"/>
              <w:widowControl w:val="0"/>
            </w:pPr>
            <w:r>
              <w:rPr>
                <w:rFonts w:hint="eastAsia"/>
              </w:rPr>
              <w:t>1.530</w:t>
            </w:r>
          </w:p>
        </w:tc>
        <w:tc>
          <w:tcPr>
            <w:tcW w:w="2355" w:type="dxa"/>
            <w:shd w:val="clear" w:color="auto" w:fill="auto"/>
            <w:vAlign w:val="center"/>
          </w:tcPr>
          <w:p w14:paraId="1E79B35C">
            <w:pPr>
              <w:pStyle w:val="179"/>
              <w:widowControl w:val="0"/>
            </w:pPr>
            <w:r>
              <w:rPr>
                <w:rFonts w:hint="eastAsia"/>
              </w:rPr>
              <w:t>0.736</w:t>
            </w:r>
          </w:p>
        </w:tc>
        <w:tc>
          <w:tcPr>
            <w:tcW w:w="2469" w:type="dxa"/>
            <w:shd w:val="clear" w:color="auto" w:fill="auto"/>
            <w:vAlign w:val="center"/>
          </w:tcPr>
          <w:p w14:paraId="39207778">
            <w:pPr>
              <w:pStyle w:val="179"/>
              <w:widowControl w:val="0"/>
            </w:pPr>
            <w:r>
              <w:rPr>
                <w:rFonts w:hint="eastAsia"/>
              </w:rPr>
              <w:t>0.668</w:t>
            </w:r>
          </w:p>
        </w:tc>
      </w:tr>
      <w:tr w14:paraId="5E0EDDC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99" w:type="dxa"/>
            <w:vAlign w:val="center"/>
          </w:tcPr>
          <w:p w14:paraId="54861FDC">
            <w:pPr>
              <w:pStyle w:val="179"/>
              <w:widowControl w:val="0"/>
            </w:pPr>
            <w:r>
              <w:t>#2</w:t>
            </w:r>
          </w:p>
        </w:tc>
        <w:tc>
          <w:tcPr>
            <w:tcW w:w="2865" w:type="dxa"/>
            <w:shd w:val="clear" w:color="auto" w:fill="auto"/>
            <w:vAlign w:val="center"/>
          </w:tcPr>
          <w:p w14:paraId="56A0636A">
            <w:pPr>
              <w:pStyle w:val="179"/>
              <w:widowControl w:val="0"/>
            </w:pPr>
            <w:r>
              <w:rPr>
                <w:rFonts w:hint="eastAsia"/>
              </w:rPr>
              <w:t>1.676</w:t>
            </w:r>
          </w:p>
        </w:tc>
        <w:tc>
          <w:tcPr>
            <w:tcW w:w="2355" w:type="dxa"/>
            <w:shd w:val="clear" w:color="auto" w:fill="auto"/>
            <w:vAlign w:val="center"/>
          </w:tcPr>
          <w:p w14:paraId="0585692B">
            <w:pPr>
              <w:pStyle w:val="179"/>
              <w:widowControl w:val="0"/>
            </w:pPr>
            <w:r>
              <w:rPr>
                <w:rFonts w:hint="eastAsia"/>
              </w:rPr>
              <w:t>0.806</w:t>
            </w:r>
          </w:p>
        </w:tc>
        <w:tc>
          <w:tcPr>
            <w:tcW w:w="2469" w:type="dxa"/>
            <w:shd w:val="clear" w:color="auto" w:fill="auto"/>
            <w:vAlign w:val="center"/>
          </w:tcPr>
          <w:p w14:paraId="38B72B88">
            <w:pPr>
              <w:pStyle w:val="179"/>
              <w:widowControl w:val="0"/>
            </w:pPr>
            <w:r>
              <w:rPr>
                <w:rFonts w:hint="eastAsia"/>
              </w:rPr>
              <w:t>0.739</w:t>
            </w:r>
          </w:p>
        </w:tc>
      </w:tr>
      <w:tr w14:paraId="0D26581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99" w:type="dxa"/>
            <w:vAlign w:val="center"/>
          </w:tcPr>
          <w:p w14:paraId="541CFAFF">
            <w:pPr>
              <w:pStyle w:val="179"/>
              <w:widowControl w:val="0"/>
            </w:pPr>
            <w:r>
              <w:t>#3</w:t>
            </w:r>
          </w:p>
        </w:tc>
        <w:tc>
          <w:tcPr>
            <w:tcW w:w="2865" w:type="dxa"/>
            <w:shd w:val="clear" w:color="auto" w:fill="auto"/>
            <w:vAlign w:val="center"/>
          </w:tcPr>
          <w:p w14:paraId="0B3FCF9D">
            <w:pPr>
              <w:pStyle w:val="179"/>
              <w:widowControl w:val="0"/>
            </w:pPr>
            <w:r>
              <w:rPr>
                <w:rFonts w:hint="eastAsia"/>
              </w:rPr>
              <w:t>1.967</w:t>
            </w:r>
          </w:p>
        </w:tc>
        <w:tc>
          <w:tcPr>
            <w:tcW w:w="2355" w:type="dxa"/>
            <w:shd w:val="clear" w:color="auto" w:fill="auto"/>
            <w:vAlign w:val="center"/>
          </w:tcPr>
          <w:p w14:paraId="59871258">
            <w:pPr>
              <w:pStyle w:val="179"/>
              <w:widowControl w:val="0"/>
            </w:pPr>
            <w:r>
              <w:rPr>
                <w:rFonts w:hint="eastAsia"/>
              </w:rPr>
              <w:t>0.895</w:t>
            </w:r>
          </w:p>
        </w:tc>
        <w:tc>
          <w:tcPr>
            <w:tcW w:w="2469" w:type="dxa"/>
            <w:shd w:val="clear" w:color="auto" w:fill="auto"/>
            <w:vAlign w:val="center"/>
          </w:tcPr>
          <w:p w14:paraId="0028E402">
            <w:pPr>
              <w:pStyle w:val="179"/>
              <w:widowControl w:val="0"/>
            </w:pPr>
            <w:r>
              <w:rPr>
                <w:rFonts w:hint="eastAsia"/>
              </w:rPr>
              <w:t>0.822</w:t>
            </w:r>
          </w:p>
        </w:tc>
      </w:tr>
      <w:tr w14:paraId="6560896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99" w:type="dxa"/>
            <w:vAlign w:val="center"/>
          </w:tcPr>
          <w:p w14:paraId="7BC2111B">
            <w:pPr>
              <w:pStyle w:val="179"/>
              <w:widowControl w:val="0"/>
            </w:pPr>
            <w:r>
              <w:t>#4</w:t>
            </w:r>
          </w:p>
        </w:tc>
        <w:tc>
          <w:tcPr>
            <w:tcW w:w="2865" w:type="dxa"/>
            <w:shd w:val="clear" w:color="auto" w:fill="auto"/>
            <w:vAlign w:val="center"/>
          </w:tcPr>
          <w:p w14:paraId="068B7454">
            <w:pPr>
              <w:pStyle w:val="179"/>
              <w:widowControl w:val="0"/>
            </w:pPr>
            <w:r>
              <w:rPr>
                <w:rFonts w:hint="eastAsia"/>
              </w:rPr>
              <w:t>2.160</w:t>
            </w:r>
          </w:p>
        </w:tc>
        <w:tc>
          <w:tcPr>
            <w:tcW w:w="2355" w:type="dxa"/>
            <w:shd w:val="clear" w:color="auto" w:fill="auto"/>
            <w:vAlign w:val="center"/>
          </w:tcPr>
          <w:p w14:paraId="14064B64">
            <w:pPr>
              <w:pStyle w:val="179"/>
              <w:widowControl w:val="0"/>
            </w:pPr>
            <w:r>
              <w:rPr>
                <w:rFonts w:hint="eastAsia"/>
              </w:rPr>
              <w:t>0.901</w:t>
            </w:r>
          </w:p>
        </w:tc>
        <w:tc>
          <w:tcPr>
            <w:tcW w:w="2469" w:type="dxa"/>
            <w:shd w:val="clear" w:color="auto" w:fill="auto"/>
            <w:vAlign w:val="center"/>
          </w:tcPr>
          <w:p w14:paraId="2FF35960">
            <w:pPr>
              <w:pStyle w:val="179"/>
              <w:widowControl w:val="0"/>
            </w:pPr>
            <w:r>
              <w:rPr>
                <w:rFonts w:hint="eastAsia"/>
              </w:rPr>
              <w:t>0.858</w:t>
            </w:r>
          </w:p>
        </w:tc>
      </w:tr>
      <w:tr w14:paraId="3EF196D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99" w:type="dxa"/>
            <w:vAlign w:val="center"/>
          </w:tcPr>
          <w:p w14:paraId="07100D1A">
            <w:pPr>
              <w:pStyle w:val="179"/>
              <w:widowControl w:val="0"/>
            </w:pPr>
            <w:r>
              <w:t>#5</w:t>
            </w:r>
          </w:p>
        </w:tc>
        <w:tc>
          <w:tcPr>
            <w:tcW w:w="2865" w:type="dxa"/>
            <w:shd w:val="clear" w:color="auto" w:fill="auto"/>
            <w:vAlign w:val="center"/>
          </w:tcPr>
          <w:p w14:paraId="4C579B70">
            <w:pPr>
              <w:pStyle w:val="179"/>
              <w:widowControl w:val="0"/>
            </w:pPr>
            <w:r>
              <w:rPr>
                <w:rFonts w:hint="eastAsia"/>
              </w:rPr>
              <w:t>2.310</w:t>
            </w:r>
          </w:p>
        </w:tc>
        <w:tc>
          <w:tcPr>
            <w:tcW w:w="2355" w:type="dxa"/>
            <w:shd w:val="clear" w:color="auto" w:fill="auto"/>
            <w:vAlign w:val="center"/>
          </w:tcPr>
          <w:p w14:paraId="65D62865">
            <w:pPr>
              <w:pStyle w:val="179"/>
              <w:widowControl w:val="0"/>
            </w:pPr>
            <w:r>
              <w:rPr>
                <w:rFonts w:hint="eastAsia"/>
              </w:rPr>
              <w:t>0.853</w:t>
            </w:r>
          </w:p>
        </w:tc>
        <w:tc>
          <w:tcPr>
            <w:tcW w:w="2469" w:type="dxa"/>
            <w:shd w:val="clear" w:color="auto" w:fill="auto"/>
            <w:vAlign w:val="center"/>
          </w:tcPr>
          <w:p w14:paraId="43E8F960">
            <w:pPr>
              <w:pStyle w:val="179"/>
              <w:widowControl w:val="0"/>
            </w:pPr>
            <w:r>
              <w:rPr>
                <w:rFonts w:hint="eastAsia"/>
              </w:rPr>
              <w:t>0.872</w:t>
            </w:r>
          </w:p>
        </w:tc>
      </w:tr>
      <w:tr w14:paraId="51EF549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99" w:type="dxa"/>
            <w:vAlign w:val="center"/>
          </w:tcPr>
          <w:p w14:paraId="0EB248BB">
            <w:pPr>
              <w:pStyle w:val="179"/>
              <w:widowControl w:val="0"/>
            </w:pPr>
            <w:r>
              <w:rPr>
                <w:rFonts w:hint="eastAsia"/>
              </w:rPr>
              <w:t>#6</w:t>
            </w:r>
          </w:p>
        </w:tc>
        <w:tc>
          <w:tcPr>
            <w:tcW w:w="2865" w:type="dxa"/>
            <w:shd w:val="clear" w:color="auto" w:fill="auto"/>
            <w:vAlign w:val="center"/>
          </w:tcPr>
          <w:p w14:paraId="0E6ADB86">
            <w:pPr>
              <w:pStyle w:val="179"/>
              <w:widowControl w:val="0"/>
            </w:pPr>
            <w:r>
              <w:rPr>
                <w:rFonts w:hint="eastAsia"/>
              </w:rPr>
              <w:t>1.824</w:t>
            </w:r>
          </w:p>
        </w:tc>
        <w:tc>
          <w:tcPr>
            <w:tcW w:w="2355" w:type="dxa"/>
            <w:shd w:val="clear" w:color="auto" w:fill="auto"/>
            <w:vAlign w:val="center"/>
          </w:tcPr>
          <w:p w14:paraId="674CCAE5">
            <w:pPr>
              <w:pStyle w:val="179"/>
              <w:widowControl w:val="0"/>
            </w:pPr>
            <w:r>
              <w:rPr>
                <w:rFonts w:hint="eastAsia"/>
              </w:rPr>
              <w:t>0.937</w:t>
            </w:r>
          </w:p>
        </w:tc>
        <w:tc>
          <w:tcPr>
            <w:tcW w:w="2469" w:type="dxa"/>
            <w:shd w:val="clear" w:color="auto" w:fill="auto"/>
            <w:vAlign w:val="center"/>
          </w:tcPr>
          <w:p w14:paraId="275AEAC3">
            <w:pPr>
              <w:pStyle w:val="179"/>
              <w:widowControl w:val="0"/>
            </w:pPr>
            <w:r>
              <w:rPr>
                <w:rFonts w:hint="eastAsia"/>
              </w:rPr>
              <w:t>0.822</w:t>
            </w:r>
          </w:p>
        </w:tc>
      </w:tr>
      <w:tr w14:paraId="0C1B749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99" w:type="dxa"/>
            <w:vAlign w:val="center"/>
          </w:tcPr>
          <w:p w14:paraId="22A750C6">
            <w:pPr>
              <w:pStyle w:val="179"/>
              <w:widowControl w:val="0"/>
            </w:pPr>
            <w:r>
              <w:t>#</w:t>
            </w:r>
            <w:r>
              <w:rPr>
                <w:rFonts w:hint="eastAsia"/>
              </w:rPr>
              <w:t>7</w:t>
            </w:r>
          </w:p>
        </w:tc>
        <w:tc>
          <w:tcPr>
            <w:tcW w:w="2865" w:type="dxa"/>
            <w:shd w:val="clear" w:color="auto" w:fill="auto"/>
            <w:vAlign w:val="center"/>
          </w:tcPr>
          <w:p w14:paraId="0E31F1C3">
            <w:pPr>
              <w:pStyle w:val="179"/>
              <w:widowControl w:val="0"/>
            </w:pPr>
            <w:r>
              <w:rPr>
                <w:rFonts w:hint="eastAsia"/>
              </w:rPr>
              <w:t>2.085</w:t>
            </w:r>
          </w:p>
        </w:tc>
        <w:tc>
          <w:tcPr>
            <w:tcW w:w="2355" w:type="dxa"/>
            <w:shd w:val="clear" w:color="auto" w:fill="auto"/>
            <w:vAlign w:val="center"/>
          </w:tcPr>
          <w:p w14:paraId="0C17D71F">
            <w:pPr>
              <w:pStyle w:val="179"/>
              <w:widowControl w:val="0"/>
            </w:pPr>
            <w:r>
              <w:rPr>
                <w:rFonts w:hint="eastAsia"/>
              </w:rPr>
              <w:t>0.870</w:t>
            </w:r>
          </w:p>
        </w:tc>
        <w:tc>
          <w:tcPr>
            <w:tcW w:w="2469" w:type="dxa"/>
            <w:shd w:val="clear" w:color="auto" w:fill="auto"/>
            <w:vAlign w:val="center"/>
          </w:tcPr>
          <w:p w14:paraId="6BEDEF9D">
            <w:pPr>
              <w:pStyle w:val="179"/>
              <w:widowControl w:val="0"/>
            </w:pPr>
            <w:r>
              <w:rPr>
                <w:rFonts w:hint="eastAsia"/>
              </w:rPr>
              <w:t>0.850</w:t>
            </w:r>
          </w:p>
        </w:tc>
      </w:tr>
      <w:tr w14:paraId="0545F6B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99" w:type="dxa"/>
            <w:vAlign w:val="center"/>
          </w:tcPr>
          <w:p w14:paraId="768B6637">
            <w:pPr>
              <w:pStyle w:val="179"/>
              <w:widowControl w:val="0"/>
            </w:pPr>
            <w:r>
              <w:t>#</w:t>
            </w:r>
            <w:r>
              <w:rPr>
                <w:rFonts w:hint="eastAsia"/>
              </w:rPr>
              <w:t>8</w:t>
            </w:r>
          </w:p>
        </w:tc>
        <w:tc>
          <w:tcPr>
            <w:tcW w:w="2865" w:type="dxa"/>
            <w:shd w:val="clear" w:color="auto" w:fill="auto"/>
            <w:vAlign w:val="center"/>
          </w:tcPr>
          <w:p w14:paraId="651A06DD">
            <w:pPr>
              <w:pStyle w:val="179"/>
              <w:widowControl w:val="0"/>
            </w:pPr>
            <w:r>
              <w:rPr>
                <w:rFonts w:hint="eastAsia"/>
              </w:rPr>
              <w:t>0.831</w:t>
            </w:r>
          </w:p>
        </w:tc>
        <w:tc>
          <w:tcPr>
            <w:tcW w:w="2355" w:type="dxa"/>
            <w:shd w:val="clear" w:color="auto" w:fill="auto"/>
            <w:vAlign w:val="center"/>
          </w:tcPr>
          <w:p w14:paraId="154A65D8">
            <w:pPr>
              <w:pStyle w:val="179"/>
              <w:widowControl w:val="0"/>
            </w:pPr>
            <w:r>
              <w:rPr>
                <w:rFonts w:hint="eastAsia"/>
              </w:rPr>
              <w:t>0.844</w:t>
            </w:r>
          </w:p>
        </w:tc>
        <w:tc>
          <w:tcPr>
            <w:tcW w:w="2469" w:type="dxa"/>
            <w:shd w:val="clear" w:color="auto" w:fill="auto"/>
            <w:vAlign w:val="center"/>
          </w:tcPr>
          <w:p w14:paraId="42E5A706">
            <w:pPr>
              <w:pStyle w:val="179"/>
              <w:widowControl w:val="0"/>
            </w:pPr>
            <w:r>
              <w:rPr>
                <w:rFonts w:hint="eastAsia"/>
              </w:rPr>
              <w:t>0.830</w:t>
            </w:r>
          </w:p>
        </w:tc>
      </w:tr>
      <w:tr w14:paraId="227BB6A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99" w:type="dxa"/>
            <w:vAlign w:val="center"/>
          </w:tcPr>
          <w:p w14:paraId="6336E03A">
            <w:pPr>
              <w:pStyle w:val="179"/>
              <w:widowControl w:val="0"/>
            </w:pPr>
            <w:r>
              <w:t>#</w:t>
            </w:r>
            <w:r>
              <w:rPr>
                <w:rFonts w:hint="eastAsia"/>
              </w:rPr>
              <w:t>9</w:t>
            </w:r>
          </w:p>
        </w:tc>
        <w:tc>
          <w:tcPr>
            <w:tcW w:w="2865" w:type="dxa"/>
            <w:shd w:val="clear" w:color="auto" w:fill="auto"/>
            <w:vAlign w:val="center"/>
          </w:tcPr>
          <w:p w14:paraId="6DD55D02">
            <w:pPr>
              <w:pStyle w:val="179"/>
              <w:widowControl w:val="0"/>
            </w:pPr>
            <w:r>
              <w:rPr>
                <w:rFonts w:hint="eastAsia"/>
              </w:rPr>
              <w:t>2.307</w:t>
            </w:r>
          </w:p>
        </w:tc>
        <w:tc>
          <w:tcPr>
            <w:tcW w:w="2355" w:type="dxa"/>
            <w:shd w:val="clear" w:color="auto" w:fill="auto"/>
            <w:vAlign w:val="center"/>
          </w:tcPr>
          <w:p w14:paraId="2D1DDF1E">
            <w:pPr>
              <w:pStyle w:val="179"/>
              <w:widowControl w:val="0"/>
            </w:pPr>
            <w:r>
              <w:rPr>
                <w:rFonts w:hint="eastAsia"/>
              </w:rPr>
              <w:t>0.899</w:t>
            </w:r>
          </w:p>
        </w:tc>
        <w:tc>
          <w:tcPr>
            <w:tcW w:w="2469" w:type="dxa"/>
            <w:shd w:val="clear" w:color="auto" w:fill="auto"/>
            <w:vAlign w:val="center"/>
          </w:tcPr>
          <w:p w14:paraId="21374C13">
            <w:pPr>
              <w:pStyle w:val="179"/>
              <w:widowControl w:val="0"/>
            </w:pPr>
            <w:r>
              <w:rPr>
                <w:rFonts w:hint="eastAsia"/>
              </w:rPr>
              <w:t>0.879</w:t>
            </w:r>
          </w:p>
        </w:tc>
      </w:tr>
      <w:tr w14:paraId="725008B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99" w:type="dxa"/>
            <w:vAlign w:val="center"/>
          </w:tcPr>
          <w:p w14:paraId="39422FF3">
            <w:pPr>
              <w:pStyle w:val="179"/>
              <w:widowControl w:val="0"/>
            </w:pPr>
            <w:r>
              <w:t>#1</w:t>
            </w:r>
            <w:r>
              <w:rPr>
                <w:rFonts w:hint="eastAsia"/>
              </w:rPr>
              <w:t>0</w:t>
            </w:r>
          </w:p>
        </w:tc>
        <w:tc>
          <w:tcPr>
            <w:tcW w:w="2865" w:type="dxa"/>
            <w:shd w:val="clear" w:color="auto" w:fill="auto"/>
            <w:vAlign w:val="center"/>
          </w:tcPr>
          <w:p w14:paraId="527E786C">
            <w:pPr>
              <w:pStyle w:val="179"/>
              <w:widowControl w:val="0"/>
            </w:pPr>
            <w:r>
              <w:rPr>
                <w:rFonts w:hint="eastAsia"/>
              </w:rPr>
              <w:t>2.065</w:t>
            </w:r>
          </w:p>
        </w:tc>
        <w:tc>
          <w:tcPr>
            <w:tcW w:w="2355" w:type="dxa"/>
            <w:shd w:val="clear" w:color="auto" w:fill="auto"/>
            <w:vAlign w:val="center"/>
          </w:tcPr>
          <w:p w14:paraId="18B56A32">
            <w:pPr>
              <w:pStyle w:val="179"/>
              <w:widowControl w:val="0"/>
            </w:pPr>
            <w:r>
              <w:rPr>
                <w:rFonts w:hint="eastAsia"/>
              </w:rPr>
              <w:t>0.897</w:t>
            </w:r>
          </w:p>
        </w:tc>
        <w:tc>
          <w:tcPr>
            <w:tcW w:w="2469" w:type="dxa"/>
            <w:shd w:val="clear" w:color="auto" w:fill="auto"/>
            <w:vAlign w:val="center"/>
          </w:tcPr>
          <w:p w14:paraId="5E4E21BD">
            <w:pPr>
              <w:pStyle w:val="179"/>
              <w:widowControl w:val="0"/>
            </w:pPr>
            <w:r>
              <w:rPr>
                <w:rFonts w:hint="eastAsia"/>
              </w:rPr>
              <w:t>0.837</w:t>
            </w:r>
          </w:p>
        </w:tc>
      </w:tr>
      <w:tr w14:paraId="065775B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99" w:type="dxa"/>
            <w:vAlign w:val="center"/>
          </w:tcPr>
          <w:p w14:paraId="65C0B8EE">
            <w:pPr>
              <w:pStyle w:val="179"/>
              <w:widowControl w:val="0"/>
            </w:pPr>
            <w:r>
              <w:t>#1</w:t>
            </w:r>
            <w:r>
              <w:rPr>
                <w:rFonts w:hint="eastAsia"/>
              </w:rPr>
              <w:t>1</w:t>
            </w:r>
          </w:p>
        </w:tc>
        <w:tc>
          <w:tcPr>
            <w:tcW w:w="2865" w:type="dxa"/>
            <w:shd w:val="clear" w:color="auto" w:fill="auto"/>
            <w:vAlign w:val="center"/>
          </w:tcPr>
          <w:p w14:paraId="7D821E62">
            <w:pPr>
              <w:pStyle w:val="179"/>
              <w:widowControl w:val="0"/>
            </w:pPr>
            <w:r>
              <w:rPr>
                <w:rFonts w:hint="eastAsia"/>
              </w:rPr>
              <w:t>1.941</w:t>
            </w:r>
          </w:p>
        </w:tc>
        <w:tc>
          <w:tcPr>
            <w:tcW w:w="2355" w:type="dxa"/>
            <w:shd w:val="clear" w:color="auto" w:fill="auto"/>
            <w:vAlign w:val="center"/>
          </w:tcPr>
          <w:p w14:paraId="0594F586">
            <w:pPr>
              <w:pStyle w:val="179"/>
              <w:widowControl w:val="0"/>
            </w:pPr>
            <w:r>
              <w:rPr>
                <w:rFonts w:hint="eastAsia"/>
              </w:rPr>
              <w:t>0.884</w:t>
            </w:r>
          </w:p>
        </w:tc>
        <w:tc>
          <w:tcPr>
            <w:tcW w:w="2469" w:type="dxa"/>
            <w:shd w:val="clear" w:color="auto" w:fill="auto"/>
            <w:vAlign w:val="center"/>
          </w:tcPr>
          <w:p w14:paraId="7D255BE4">
            <w:pPr>
              <w:pStyle w:val="179"/>
              <w:widowControl w:val="0"/>
            </w:pPr>
            <w:r>
              <w:rPr>
                <w:rFonts w:hint="eastAsia"/>
              </w:rPr>
              <w:t>0.838</w:t>
            </w:r>
          </w:p>
        </w:tc>
      </w:tr>
      <w:tr w14:paraId="6CBFB1C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99" w:type="dxa"/>
            <w:vAlign w:val="center"/>
          </w:tcPr>
          <w:p w14:paraId="560FC8DC">
            <w:pPr>
              <w:pStyle w:val="179"/>
              <w:widowControl w:val="0"/>
            </w:pPr>
            <w:r>
              <w:t>#1</w:t>
            </w:r>
            <w:r>
              <w:rPr>
                <w:rFonts w:hint="eastAsia"/>
              </w:rPr>
              <w:t>2</w:t>
            </w:r>
          </w:p>
        </w:tc>
        <w:tc>
          <w:tcPr>
            <w:tcW w:w="2865" w:type="dxa"/>
            <w:shd w:val="clear" w:color="auto" w:fill="auto"/>
            <w:vAlign w:val="center"/>
          </w:tcPr>
          <w:p w14:paraId="3C8235F4">
            <w:pPr>
              <w:pStyle w:val="179"/>
              <w:widowControl w:val="0"/>
            </w:pPr>
            <w:r>
              <w:rPr>
                <w:rFonts w:hint="eastAsia"/>
              </w:rPr>
              <w:t>1.811</w:t>
            </w:r>
          </w:p>
        </w:tc>
        <w:tc>
          <w:tcPr>
            <w:tcW w:w="2355" w:type="dxa"/>
            <w:shd w:val="clear" w:color="auto" w:fill="auto"/>
            <w:vAlign w:val="center"/>
          </w:tcPr>
          <w:p w14:paraId="1C7E28C1">
            <w:pPr>
              <w:pStyle w:val="179"/>
              <w:widowControl w:val="0"/>
            </w:pPr>
            <w:r>
              <w:rPr>
                <w:rFonts w:hint="eastAsia"/>
              </w:rPr>
              <w:t>0.871</w:t>
            </w:r>
          </w:p>
        </w:tc>
        <w:tc>
          <w:tcPr>
            <w:tcW w:w="2469" w:type="dxa"/>
            <w:shd w:val="clear" w:color="auto" w:fill="auto"/>
            <w:vAlign w:val="center"/>
          </w:tcPr>
          <w:p w14:paraId="41B3FEB6">
            <w:pPr>
              <w:pStyle w:val="179"/>
              <w:widowControl w:val="0"/>
            </w:pPr>
            <w:r>
              <w:rPr>
                <w:rFonts w:hint="eastAsia"/>
              </w:rPr>
              <w:t>0.796</w:t>
            </w:r>
          </w:p>
        </w:tc>
      </w:tr>
      <w:tr w14:paraId="1518759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99" w:type="dxa"/>
            <w:vAlign w:val="center"/>
          </w:tcPr>
          <w:p w14:paraId="7398E338">
            <w:pPr>
              <w:pStyle w:val="179"/>
              <w:widowControl w:val="0"/>
            </w:pPr>
            <w:r>
              <w:t>#1</w:t>
            </w:r>
            <w:r>
              <w:rPr>
                <w:rFonts w:hint="eastAsia"/>
              </w:rPr>
              <w:t>3</w:t>
            </w:r>
          </w:p>
        </w:tc>
        <w:tc>
          <w:tcPr>
            <w:tcW w:w="2865" w:type="dxa"/>
            <w:shd w:val="clear" w:color="auto" w:fill="auto"/>
            <w:vAlign w:val="center"/>
          </w:tcPr>
          <w:p w14:paraId="4E2FCCFE">
            <w:pPr>
              <w:pStyle w:val="179"/>
              <w:widowControl w:val="0"/>
            </w:pPr>
            <w:r>
              <w:rPr>
                <w:rFonts w:hint="eastAsia"/>
              </w:rPr>
              <w:t>1.952</w:t>
            </w:r>
          </w:p>
        </w:tc>
        <w:tc>
          <w:tcPr>
            <w:tcW w:w="2355" w:type="dxa"/>
            <w:shd w:val="clear" w:color="auto" w:fill="auto"/>
            <w:vAlign w:val="center"/>
          </w:tcPr>
          <w:p w14:paraId="67376F15">
            <w:pPr>
              <w:pStyle w:val="179"/>
              <w:widowControl w:val="0"/>
            </w:pPr>
            <w:r>
              <w:rPr>
                <w:rFonts w:hint="eastAsia"/>
              </w:rPr>
              <w:t>0.889</w:t>
            </w:r>
          </w:p>
        </w:tc>
        <w:tc>
          <w:tcPr>
            <w:tcW w:w="2469" w:type="dxa"/>
            <w:shd w:val="clear" w:color="auto" w:fill="auto"/>
            <w:vAlign w:val="center"/>
          </w:tcPr>
          <w:p w14:paraId="21A3787A">
            <w:pPr>
              <w:pStyle w:val="179"/>
              <w:widowControl w:val="0"/>
            </w:pPr>
            <w:r>
              <w:rPr>
                <w:rFonts w:hint="eastAsia"/>
              </w:rPr>
              <w:t>0.828</w:t>
            </w:r>
          </w:p>
        </w:tc>
      </w:tr>
      <w:tr w14:paraId="395176B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99" w:type="dxa"/>
            <w:vAlign w:val="center"/>
          </w:tcPr>
          <w:p w14:paraId="1BE05417">
            <w:pPr>
              <w:pStyle w:val="179"/>
              <w:widowControl w:val="0"/>
            </w:pPr>
            <w:r>
              <w:t>#1</w:t>
            </w:r>
            <w:r>
              <w:rPr>
                <w:rFonts w:hint="eastAsia"/>
              </w:rPr>
              <w:t>4</w:t>
            </w:r>
          </w:p>
        </w:tc>
        <w:tc>
          <w:tcPr>
            <w:tcW w:w="2865" w:type="dxa"/>
            <w:shd w:val="clear" w:color="auto" w:fill="auto"/>
            <w:vAlign w:val="center"/>
          </w:tcPr>
          <w:p w14:paraId="0B0F74F9">
            <w:pPr>
              <w:pStyle w:val="179"/>
              <w:widowControl w:val="0"/>
            </w:pPr>
            <w:r>
              <w:rPr>
                <w:rFonts w:hint="eastAsia"/>
              </w:rPr>
              <w:t>2.001</w:t>
            </w:r>
          </w:p>
        </w:tc>
        <w:tc>
          <w:tcPr>
            <w:tcW w:w="2355" w:type="dxa"/>
            <w:shd w:val="clear" w:color="auto" w:fill="auto"/>
            <w:vAlign w:val="center"/>
          </w:tcPr>
          <w:p w14:paraId="33500FFB">
            <w:pPr>
              <w:pStyle w:val="179"/>
              <w:widowControl w:val="0"/>
            </w:pPr>
            <w:r>
              <w:rPr>
                <w:rFonts w:hint="eastAsia"/>
              </w:rPr>
              <w:t>0.686</w:t>
            </w:r>
          </w:p>
        </w:tc>
        <w:tc>
          <w:tcPr>
            <w:tcW w:w="2469" w:type="dxa"/>
            <w:shd w:val="clear" w:color="auto" w:fill="auto"/>
            <w:vAlign w:val="center"/>
          </w:tcPr>
          <w:p w14:paraId="7894AF49">
            <w:pPr>
              <w:pStyle w:val="179"/>
              <w:widowControl w:val="0"/>
            </w:pPr>
            <w:r>
              <w:rPr>
                <w:rFonts w:hint="eastAsia"/>
              </w:rPr>
              <w:t>0.850</w:t>
            </w:r>
          </w:p>
        </w:tc>
      </w:tr>
      <w:tr w14:paraId="64C212E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99" w:type="dxa"/>
            <w:vAlign w:val="center"/>
          </w:tcPr>
          <w:p w14:paraId="31CEA68A">
            <w:pPr>
              <w:pStyle w:val="179"/>
              <w:widowControl w:val="0"/>
            </w:pPr>
            <w:r>
              <w:t>#</w:t>
            </w:r>
            <w:r>
              <w:rPr>
                <w:rFonts w:hint="eastAsia"/>
              </w:rPr>
              <w:t>15</w:t>
            </w:r>
          </w:p>
        </w:tc>
        <w:tc>
          <w:tcPr>
            <w:tcW w:w="2865" w:type="dxa"/>
            <w:shd w:val="clear" w:color="auto" w:fill="auto"/>
            <w:vAlign w:val="center"/>
          </w:tcPr>
          <w:p w14:paraId="26419B14">
            <w:pPr>
              <w:pStyle w:val="179"/>
              <w:widowControl w:val="0"/>
            </w:pPr>
            <w:r>
              <w:rPr>
                <w:rFonts w:hint="eastAsia"/>
              </w:rPr>
              <w:t>2.096</w:t>
            </w:r>
          </w:p>
        </w:tc>
        <w:tc>
          <w:tcPr>
            <w:tcW w:w="2355" w:type="dxa"/>
            <w:shd w:val="clear" w:color="auto" w:fill="auto"/>
            <w:vAlign w:val="center"/>
          </w:tcPr>
          <w:p w14:paraId="2D6A11B3">
            <w:pPr>
              <w:pStyle w:val="179"/>
              <w:widowControl w:val="0"/>
            </w:pPr>
            <w:r>
              <w:rPr>
                <w:rFonts w:hint="eastAsia"/>
              </w:rPr>
              <w:t>0.910</w:t>
            </w:r>
          </w:p>
        </w:tc>
        <w:tc>
          <w:tcPr>
            <w:tcW w:w="2469" w:type="dxa"/>
            <w:shd w:val="clear" w:color="auto" w:fill="auto"/>
            <w:vAlign w:val="center"/>
          </w:tcPr>
          <w:p w14:paraId="08A2EF6C">
            <w:pPr>
              <w:pStyle w:val="179"/>
              <w:widowControl w:val="0"/>
            </w:pPr>
            <w:r>
              <w:rPr>
                <w:rFonts w:hint="eastAsia"/>
              </w:rPr>
              <w:t>0.856</w:t>
            </w:r>
          </w:p>
        </w:tc>
      </w:tr>
      <w:tr w14:paraId="36D624B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99" w:type="dxa"/>
            <w:vAlign w:val="center"/>
          </w:tcPr>
          <w:p w14:paraId="0194B224">
            <w:pPr>
              <w:pStyle w:val="179"/>
              <w:widowControl w:val="0"/>
            </w:pPr>
            <w:r>
              <w:t>#</w:t>
            </w:r>
            <w:r>
              <w:rPr>
                <w:rFonts w:hint="eastAsia"/>
              </w:rPr>
              <w:t>16</w:t>
            </w:r>
          </w:p>
        </w:tc>
        <w:tc>
          <w:tcPr>
            <w:tcW w:w="2865" w:type="dxa"/>
            <w:shd w:val="clear" w:color="auto" w:fill="auto"/>
            <w:vAlign w:val="center"/>
          </w:tcPr>
          <w:p w14:paraId="714A4E2C">
            <w:pPr>
              <w:pStyle w:val="179"/>
              <w:widowControl w:val="0"/>
            </w:pPr>
            <w:r>
              <w:rPr>
                <w:rFonts w:hint="eastAsia"/>
              </w:rPr>
              <w:t>1.377</w:t>
            </w:r>
          </w:p>
        </w:tc>
        <w:tc>
          <w:tcPr>
            <w:tcW w:w="2355" w:type="dxa"/>
            <w:shd w:val="clear" w:color="auto" w:fill="auto"/>
            <w:vAlign w:val="center"/>
          </w:tcPr>
          <w:p w14:paraId="1D76B710">
            <w:pPr>
              <w:pStyle w:val="179"/>
              <w:widowControl w:val="0"/>
            </w:pPr>
            <w:r>
              <w:rPr>
                <w:rFonts w:hint="eastAsia"/>
              </w:rPr>
              <w:t>0.768</w:t>
            </w:r>
          </w:p>
        </w:tc>
        <w:tc>
          <w:tcPr>
            <w:tcW w:w="2469" w:type="dxa"/>
            <w:shd w:val="clear" w:color="auto" w:fill="auto"/>
            <w:vAlign w:val="center"/>
          </w:tcPr>
          <w:p w14:paraId="475DDCF0">
            <w:pPr>
              <w:pStyle w:val="179"/>
              <w:widowControl w:val="0"/>
            </w:pPr>
            <w:r>
              <w:rPr>
                <w:rFonts w:hint="eastAsia"/>
              </w:rPr>
              <w:t>0.677</w:t>
            </w:r>
          </w:p>
        </w:tc>
      </w:tr>
      <w:tr w14:paraId="48799B3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99" w:type="dxa"/>
            <w:vAlign w:val="center"/>
          </w:tcPr>
          <w:p w14:paraId="0B46F894">
            <w:pPr>
              <w:pStyle w:val="179"/>
              <w:widowControl w:val="0"/>
            </w:pPr>
            <w:r>
              <w:t>#</w:t>
            </w:r>
            <w:r>
              <w:rPr>
                <w:rFonts w:hint="eastAsia"/>
              </w:rPr>
              <w:t>17</w:t>
            </w:r>
          </w:p>
        </w:tc>
        <w:tc>
          <w:tcPr>
            <w:tcW w:w="2865" w:type="dxa"/>
            <w:shd w:val="clear" w:color="auto" w:fill="auto"/>
            <w:vAlign w:val="center"/>
          </w:tcPr>
          <w:p w14:paraId="71964501">
            <w:pPr>
              <w:pStyle w:val="179"/>
              <w:widowControl w:val="0"/>
            </w:pPr>
            <w:r>
              <w:rPr>
                <w:rFonts w:hint="eastAsia"/>
              </w:rPr>
              <w:t>1.713</w:t>
            </w:r>
          </w:p>
        </w:tc>
        <w:tc>
          <w:tcPr>
            <w:tcW w:w="2355" w:type="dxa"/>
            <w:shd w:val="clear" w:color="auto" w:fill="auto"/>
            <w:vAlign w:val="center"/>
          </w:tcPr>
          <w:p w14:paraId="52B38415">
            <w:pPr>
              <w:pStyle w:val="179"/>
              <w:widowControl w:val="0"/>
            </w:pPr>
            <w:r>
              <w:rPr>
                <w:rFonts w:hint="eastAsia"/>
              </w:rPr>
              <w:t>0.880</w:t>
            </w:r>
          </w:p>
        </w:tc>
        <w:tc>
          <w:tcPr>
            <w:tcW w:w="2469" w:type="dxa"/>
            <w:shd w:val="clear" w:color="auto" w:fill="auto"/>
            <w:vAlign w:val="center"/>
          </w:tcPr>
          <w:p w14:paraId="7AD640DA">
            <w:pPr>
              <w:pStyle w:val="179"/>
              <w:widowControl w:val="0"/>
            </w:pPr>
            <w:r>
              <w:rPr>
                <w:rFonts w:hint="eastAsia"/>
              </w:rPr>
              <w:t>0.778</w:t>
            </w:r>
          </w:p>
        </w:tc>
      </w:tr>
      <w:tr w14:paraId="1EE6B02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99" w:type="dxa"/>
            <w:vAlign w:val="center"/>
          </w:tcPr>
          <w:p w14:paraId="05E8028E">
            <w:pPr>
              <w:pStyle w:val="179"/>
              <w:widowControl w:val="0"/>
            </w:pPr>
            <w:r>
              <w:t>#</w:t>
            </w:r>
            <w:r>
              <w:rPr>
                <w:rFonts w:hint="eastAsia"/>
              </w:rPr>
              <w:t>18</w:t>
            </w:r>
          </w:p>
        </w:tc>
        <w:tc>
          <w:tcPr>
            <w:tcW w:w="2865" w:type="dxa"/>
            <w:shd w:val="clear" w:color="auto" w:fill="auto"/>
            <w:vAlign w:val="center"/>
          </w:tcPr>
          <w:p w14:paraId="552FE6A7">
            <w:pPr>
              <w:pStyle w:val="179"/>
              <w:widowControl w:val="0"/>
            </w:pPr>
            <w:r>
              <w:rPr>
                <w:rFonts w:hint="eastAsia"/>
              </w:rPr>
              <w:t>1.604</w:t>
            </w:r>
          </w:p>
        </w:tc>
        <w:tc>
          <w:tcPr>
            <w:tcW w:w="2355" w:type="dxa"/>
            <w:shd w:val="clear" w:color="auto" w:fill="auto"/>
            <w:vAlign w:val="center"/>
          </w:tcPr>
          <w:p w14:paraId="0E7E8A7B">
            <w:pPr>
              <w:pStyle w:val="179"/>
              <w:widowControl w:val="0"/>
            </w:pPr>
            <w:r>
              <w:rPr>
                <w:rFonts w:hint="eastAsia"/>
              </w:rPr>
              <w:t>0.824</w:t>
            </w:r>
          </w:p>
        </w:tc>
        <w:tc>
          <w:tcPr>
            <w:tcW w:w="2469" w:type="dxa"/>
            <w:shd w:val="clear" w:color="auto" w:fill="auto"/>
            <w:vAlign w:val="center"/>
          </w:tcPr>
          <w:p w14:paraId="15614853">
            <w:pPr>
              <w:pStyle w:val="179"/>
              <w:widowControl w:val="0"/>
            </w:pPr>
            <w:r>
              <w:rPr>
                <w:rFonts w:hint="eastAsia"/>
              </w:rPr>
              <w:t>0.760</w:t>
            </w:r>
          </w:p>
        </w:tc>
      </w:tr>
      <w:tr w14:paraId="225A829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99" w:type="dxa"/>
            <w:vAlign w:val="center"/>
          </w:tcPr>
          <w:p w14:paraId="1B56891F">
            <w:pPr>
              <w:pStyle w:val="179"/>
              <w:widowControl w:val="0"/>
            </w:pPr>
            <w:r>
              <w:t>#</w:t>
            </w:r>
            <w:r>
              <w:rPr>
                <w:rFonts w:hint="eastAsia"/>
              </w:rPr>
              <w:t>19</w:t>
            </w:r>
          </w:p>
        </w:tc>
        <w:tc>
          <w:tcPr>
            <w:tcW w:w="2865" w:type="dxa"/>
            <w:shd w:val="clear" w:color="auto" w:fill="auto"/>
            <w:vAlign w:val="center"/>
          </w:tcPr>
          <w:p w14:paraId="023D5BF8">
            <w:pPr>
              <w:pStyle w:val="179"/>
              <w:widowControl w:val="0"/>
            </w:pPr>
            <w:r>
              <w:rPr>
                <w:rFonts w:hint="eastAsia"/>
              </w:rPr>
              <w:t>1.740</w:t>
            </w:r>
          </w:p>
        </w:tc>
        <w:tc>
          <w:tcPr>
            <w:tcW w:w="2355" w:type="dxa"/>
            <w:shd w:val="clear" w:color="auto" w:fill="auto"/>
            <w:vAlign w:val="center"/>
          </w:tcPr>
          <w:p w14:paraId="1228D349">
            <w:pPr>
              <w:pStyle w:val="179"/>
              <w:widowControl w:val="0"/>
            </w:pPr>
            <w:r>
              <w:rPr>
                <w:rFonts w:hint="eastAsia"/>
              </w:rPr>
              <w:t>0.837</w:t>
            </w:r>
          </w:p>
        </w:tc>
        <w:tc>
          <w:tcPr>
            <w:tcW w:w="2469" w:type="dxa"/>
            <w:shd w:val="clear" w:color="auto" w:fill="auto"/>
            <w:vAlign w:val="center"/>
          </w:tcPr>
          <w:p w14:paraId="5B81EC76">
            <w:pPr>
              <w:pStyle w:val="179"/>
              <w:widowControl w:val="0"/>
            </w:pPr>
            <w:r>
              <w:rPr>
                <w:rFonts w:hint="eastAsia"/>
              </w:rPr>
              <w:t>0.795</w:t>
            </w:r>
          </w:p>
        </w:tc>
      </w:tr>
      <w:tr w14:paraId="076F75C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99" w:type="dxa"/>
            <w:vAlign w:val="center"/>
          </w:tcPr>
          <w:p w14:paraId="628A4411">
            <w:pPr>
              <w:pStyle w:val="179"/>
              <w:widowControl w:val="0"/>
            </w:pPr>
            <w:r>
              <w:t>#</w:t>
            </w:r>
            <w:r>
              <w:rPr>
                <w:rFonts w:hint="eastAsia"/>
              </w:rPr>
              <w:t>20</w:t>
            </w:r>
          </w:p>
        </w:tc>
        <w:tc>
          <w:tcPr>
            <w:tcW w:w="2865" w:type="dxa"/>
            <w:shd w:val="clear" w:color="auto" w:fill="auto"/>
            <w:vAlign w:val="center"/>
          </w:tcPr>
          <w:p w14:paraId="7B9CB6AB">
            <w:pPr>
              <w:pStyle w:val="179"/>
              <w:widowControl w:val="0"/>
            </w:pPr>
            <w:r>
              <w:rPr>
                <w:rFonts w:hint="eastAsia"/>
              </w:rPr>
              <w:t>1.629</w:t>
            </w:r>
          </w:p>
        </w:tc>
        <w:tc>
          <w:tcPr>
            <w:tcW w:w="2355" w:type="dxa"/>
            <w:shd w:val="clear" w:color="auto" w:fill="auto"/>
            <w:vAlign w:val="center"/>
          </w:tcPr>
          <w:p w14:paraId="1970B5CD">
            <w:pPr>
              <w:pStyle w:val="179"/>
              <w:widowControl w:val="0"/>
            </w:pPr>
            <w:r>
              <w:rPr>
                <w:rFonts w:hint="eastAsia"/>
              </w:rPr>
              <w:t>0.783</w:t>
            </w:r>
          </w:p>
        </w:tc>
        <w:tc>
          <w:tcPr>
            <w:tcW w:w="2469" w:type="dxa"/>
            <w:shd w:val="clear" w:color="auto" w:fill="auto"/>
            <w:vAlign w:val="center"/>
          </w:tcPr>
          <w:p w14:paraId="3CBC8145">
            <w:pPr>
              <w:pStyle w:val="179"/>
              <w:widowControl w:val="0"/>
            </w:pPr>
            <w:r>
              <w:rPr>
                <w:rFonts w:hint="eastAsia"/>
              </w:rPr>
              <w:t>0.737</w:t>
            </w:r>
          </w:p>
        </w:tc>
      </w:tr>
      <w:tr w14:paraId="60F568F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99" w:type="dxa"/>
            <w:vAlign w:val="center"/>
          </w:tcPr>
          <w:p w14:paraId="4C668B00">
            <w:pPr>
              <w:pStyle w:val="179"/>
              <w:widowControl w:val="0"/>
            </w:pPr>
            <w:r>
              <w:t>#</w:t>
            </w:r>
            <w:r>
              <w:rPr>
                <w:rFonts w:hint="eastAsia"/>
              </w:rPr>
              <w:t>21</w:t>
            </w:r>
          </w:p>
        </w:tc>
        <w:tc>
          <w:tcPr>
            <w:tcW w:w="2865" w:type="dxa"/>
            <w:shd w:val="clear" w:color="auto" w:fill="auto"/>
            <w:vAlign w:val="center"/>
          </w:tcPr>
          <w:p w14:paraId="1EF3E14E">
            <w:pPr>
              <w:pStyle w:val="179"/>
              <w:widowControl w:val="0"/>
            </w:pPr>
            <w:r>
              <w:rPr>
                <w:rFonts w:hint="eastAsia"/>
              </w:rPr>
              <w:t>1.325</w:t>
            </w:r>
          </w:p>
        </w:tc>
        <w:tc>
          <w:tcPr>
            <w:tcW w:w="2355" w:type="dxa"/>
            <w:shd w:val="clear" w:color="auto" w:fill="auto"/>
            <w:vAlign w:val="center"/>
          </w:tcPr>
          <w:p w14:paraId="0A2ED6AC">
            <w:pPr>
              <w:pStyle w:val="179"/>
              <w:widowControl w:val="0"/>
            </w:pPr>
            <w:r>
              <w:rPr>
                <w:rFonts w:hint="eastAsia"/>
              </w:rPr>
              <w:t>0.740</w:t>
            </w:r>
          </w:p>
        </w:tc>
        <w:tc>
          <w:tcPr>
            <w:tcW w:w="2469" w:type="dxa"/>
            <w:shd w:val="clear" w:color="auto" w:fill="auto"/>
            <w:vAlign w:val="center"/>
          </w:tcPr>
          <w:p w14:paraId="2B4159E3">
            <w:pPr>
              <w:pStyle w:val="179"/>
              <w:widowControl w:val="0"/>
            </w:pPr>
            <w:r>
              <w:rPr>
                <w:rFonts w:hint="eastAsia"/>
              </w:rPr>
              <w:t>0.672</w:t>
            </w:r>
          </w:p>
        </w:tc>
      </w:tr>
      <w:tr w14:paraId="08C3CF3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99" w:type="dxa"/>
            <w:vAlign w:val="center"/>
          </w:tcPr>
          <w:p w14:paraId="3DABB3F8">
            <w:pPr>
              <w:pStyle w:val="179"/>
              <w:widowControl w:val="0"/>
            </w:pPr>
            <w:r>
              <w:t>#</w:t>
            </w:r>
            <w:r>
              <w:rPr>
                <w:rFonts w:hint="eastAsia"/>
              </w:rPr>
              <w:t>22</w:t>
            </w:r>
          </w:p>
        </w:tc>
        <w:tc>
          <w:tcPr>
            <w:tcW w:w="2865" w:type="dxa"/>
            <w:shd w:val="clear" w:color="auto" w:fill="auto"/>
            <w:vAlign w:val="center"/>
          </w:tcPr>
          <w:p w14:paraId="1A9DB035">
            <w:pPr>
              <w:pStyle w:val="179"/>
              <w:widowControl w:val="0"/>
            </w:pPr>
            <w:r>
              <w:rPr>
                <w:rFonts w:hint="eastAsia"/>
              </w:rPr>
              <w:t>1.428</w:t>
            </w:r>
          </w:p>
        </w:tc>
        <w:tc>
          <w:tcPr>
            <w:tcW w:w="2355" w:type="dxa"/>
            <w:shd w:val="clear" w:color="auto" w:fill="auto"/>
            <w:vAlign w:val="center"/>
          </w:tcPr>
          <w:p w14:paraId="456C9A28">
            <w:pPr>
              <w:pStyle w:val="179"/>
              <w:widowControl w:val="0"/>
            </w:pPr>
            <w:r>
              <w:rPr>
                <w:rFonts w:hint="eastAsia"/>
              </w:rPr>
              <w:t>0.734</w:t>
            </w:r>
          </w:p>
        </w:tc>
        <w:tc>
          <w:tcPr>
            <w:tcW w:w="2469" w:type="dxa"/>
            <w:shd w:val="clear" w:color="auto" w:fill="auto"/>
            <w:vAlign w:val="center"/>
          </w:tcPr>
          <w:p w14:paraId="0B23D628">
            <w:pPr>
              <w:pStyle w:val="179"/>
              <w:widowControl w:val="0"/>
            </w:pPr>
            <w:r>
              <w:rPr>
                <w:rFonts w:hint="eastAsia"/>
              </w:rPr>
              <w:t>0.633</w:t>
            </w:r>
          </w:p>
        </w:tc>
      </w:tr>
      <w:tr w14:paraId="61AAE50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99" w:type="dxa"/>
            <w:vAlign w:val="center"/>
          </w:tcPr>
          <w:p w14:paraId="340C374F">
            <w:pPr>
              <w:pStyle w:val="179"/>
              <w:widowControl w:val="0"/>
            </w:pPr>
            <w:r>
              <w:t>#</w:t>
            </w:r>
            <w:r>
              <w:rPr>
                <w:rFonts w:hint="eastAsia"/>
              </w:rPr>
              <w:t>23</w:t>
            </w:r>
          </w:p>
        </w:tc>
        <w:tc>
          <w:tcPr>
            <w:tcW w:w="2865" w:type="dxa"/>
            <w:shd w:val="clear" w:color="auto" w:fill="auto"/>
            <w:vAlign w:val="center"/>
          </w:tcPr>
          <w:p w14:paraId="6FAFD52A">
            <w:pPr>
              <w:pStyle w:val="179"/>
              <w:widowControl w:val="0"/>
            </w:pPr>
            <w:r>
              <w:rPr>
                <w:rFonts w:hint="eastAsia"/>
              </w:rPr>
              <w:t>1.391</w:t>
            </w:r>
          </w:p>
        </w:tc>
        <w:tc>
          <w:tcPr>
            <w:tcW w:w="2355" w:type="dxa"/>
            <w:shd w:val="clear" w:color="auto" w:fill="auto"/>
            <w:vAlign w:val="center"/>
          </w:tcPr>
          <w:p w14:paraId="2C8B5D20">
            <w:pPr>
              <w:pStyle w:val="179"/>
              <w:widowControl w:val="0"/>
            </w:pPr>
            <w:r>
              <w:rPr>
                <w:rFonts w:hint="eastAsia"/>
              </w:rPr>
              <w:t>0.864</w:t>
            </w:r>
          </w:p>
        </w:tc>
        <w:tc>
          <w:tcPr>
            <w:tcW w:w="2469" w:type="dxa"/>
            <w:shd w:val="clear" w:color="auto" w:fill="auto"/>
            <w:vAlign w:val="center"/>
          </w:tcPr>
          <w:p w14:paraId="54059360">
            <w:pPr>
              <w:pStyle w:val="179"/>
              <w:widowControl w:val="0"/>
            </w:pPr>
            <w:r>
              <w:rPr>
                <w:rFonts w:hint="eastAsia"/>
              </w:rPr>
              <w:t>0.705</w:t>
            </w:r>
          </w:p>
        </w:tc>
      </w:tr>
      <w:tr w14:paraId="5EF98D7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99" w:type="dxa"/>
            <w:vAlign w:val="center"/>
          </w:tcPr>
          <w:p w14:paraId="56BAA379">
            <w:pPr>
              <w:pStyle w:val="179"/>
              <w:widowControl w:val="0"/>
            </w:pPr>
            <w:r>
              <w:t>#</w:t>
            </w:r>
            <w:r>
              <w:rPr>
                <w:rFonts w:hint="eastAsia"/>
              </w:rPr>
              <w:t>24</w:t>
            </w:r>
          </w:p>
        </w:tc>
        <w:tc>
          <w:tcPr>
            <w:tcW w:w="2865" w:type="dxa"/>
            <w:shd w:val="clear" w:color="auto" w:fill="auto"/>
            <w:vAlign w:val="center"/>
          </w:tcPr>
          <w:p w14:paraId="7B375E43">
            <w:pPr>
              <w:pStyle w:val="179"/>
              <w:widowControl w:val="0"/>
            </w:pPr>
            <w:r>
              <w:rPr>
                <w:rFonts w:hint="eastAsia"/>
              </w:rPr>
              <w:t>1.723</w:t>
            </w:r>
          </w:p>
        </w:tc>
        <w:tc>
          <w:tcPr>
            <w:tcW w:w="2355" w:type="dxa"/>
            <w:shd w:val="clear" w:color="auto" w:fill="auto"/>
            <w:vAlign w:val="center"/>
          </w:tcPr>
          <w:p w14:paraId="1A9D02D3">
            <w:pPr>
              <w:pStyle w:val="179"/>
              <w:widowControl w:val="0"/>
            </w:pPr>
            <w:r>
              <w:rPr>
                <w:rFonts w:hint="eastAsia"/>
              </w:rPr>
              <w:t>0.829</w:t>
            </w:r>
          </w:p>
        </w:tc>
        <w:tc>
          <w:tcPr>
            <w:tcW w:w="2469" w:type="dxa"/>
            <w:shd w:val="clear" w:color="auto" w:fill="auto"/>
            <w:vAlign w:val="center"/>
          </w:tcPr>
          <w:p w14:paraId="14A9B2BE">
            <w:pPr>
              <w:pStyle w:val="179"/>
              <w:widowControl w:val="0"/>
            </w:pPr>
            <w:r>
              <w:rPr>
                <w:rFonts w:hint="eastAsia"/>
              </w:rPr>
              <w:t>0.806</w:t>
            </w:r>
          </w:p>
        </w:tc>
      </w:tr>
      <w:tr w14:paraId="40CFE9F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99" w:type="dxa"/>
            <w:vAlign w:val="center"/>
          </w:tcPr>
          <w:p w14:paraId="54909722">
            <w:pPr>
              <w:pStyle w:val="179"/>
              <w:widowControl w:val="0"/>
            </w:pPr>
            <w:r>
              <w:t>#</w:t>
            </w:r>
            <w:r>
              <w:rPr>
                <w:rFonts w:hint="eastAsia"/>
              </w:rPr>
              <w:t>25</w:t>
            </w:r>
          </w:p>
        </w:tc>
        <w:tc>
          <w:tcPr>
            <w:tcW w:w="2865" w:type="dxa"/>
            <w:shd w:val="clear" w:color="auto" w:fill="auto"/>
            <w:vAlign w:val="center"/>
          </w:tcPr>
          <w:p w14:paraId="6725C4B5">
            <w:pPr>
              <w:pStyle w:val="179"/>
              <w:widowControl w:val="0"/>
            </w:pPr>
            <w:r>
              <w:rPr>
                <w:rFonts w:hint="eastAsia"/>
              </w:rPr>
              <w:t>1.859</w:t>
            </w:r>
          </w:p>
        </w:tc>
        <w:tc>
          <w:tcPr>
            <w:tcW w:w="2355" w:type="dxa"/>
            <w:shd w:val="clear" w:color="auto" w:fill="auto"/>
            <w:vAlign w:val="center"/>
          </w:tcPr>
          <w:p w14:paraId="6A79B731">
            <w:pPr>
              <w:pStyle w:val="179"/>
              <w:widowControl w:val="0"/>
            </w:pPr>
            <w:r>
              <w:rPr>
                <w:rFonts w:hint="eastAsia"/>
              </w:rPr>
              <w:t>0.894</w:t>
            </w:r>
          </w:p>
        </w:tc>
        <w:tc>
          <w:tcPr>
            <w:tcW w:w="2469" w:type="dxa"/>
            <w:shd w:val="clear" w:color="auto" w:fill="auto"/>
            <w:vAlign w:val="center"/>
          </w:tcPr>
          <w:p w14:paraId="2D04CDE1">
            <w:pPr>
              <w:pStyle w:val="179"/>
              <w:widowControl w:val="0"/>
            </w:pPr>
            <w:r>
              <w:rPr>
                <w:rFonts w:hint="eastAsia"/>
              </w:rPr>
              <w:t>0.820</w:t>
            </w:r>
          </w:p>
        </w:tc>
      </w:tr>
    </w:tbl>
    <w:p w14:paraId="6E52D803">
      <w:pPr>
        <w:ind w:firstLine="480"/>
      </w:pPr>
      <w:r>
        <w:rPr>
          <w:rFonts w:hint="eastAsia"/>
        </w:rPr>
        <w:t>由上表可见，香农-威纳多样性指数在0.831-2.310之间，均值为1.7738，评价范围内植物的种类较多；样方Pielou均匀度指在0.686-0.937之间，均值为0.841，评价范围内植物各物种个体数目分配比较均匀；样方Simpson优势度指数基本在0.633-0.879之间，均值为0.789，说明群落内不同种类数量分布较均匀，优势物种的生态功能较为突出。总体来看，项目评价区物种丰富度情况较好，评价区域生物多样性属于较高等水平。</w:t>
      </w:r>
    </w:p>
    <w:p w14:paraId="26C18B86">
      <w:pPr>
        <w:pStyle w:val="4"/>
        <w:spacing w:before="180" w:after="120"/>
      </w:pPr>
      <w:r>
        <w:rPr>
          <w:rFonts w:hint="eastAsia"/>
        </w:rPr>
        <w:t>生物量分析</w:t>
      </w:r>
    </w:p>
    <w:p w14:paraId="79395013">
      <w:pPr>
        <w:ind w:firstLine="480"/>
      </w:pPr>
      <w:r>
        <w:t>生物量能反映生物的生产能力，群落的总生物量的大小可以反映群落利用自然潜力的能力，衡量群落生产力的高低，也是定量表征评价区内各生态系统的生产现状，尤其是森林生态系统生产现状以及生态环境质量现状的重要指标之一。</w:t>
      </w:r>
    </w:p>
    <w:p w14:paraId="505418BF">
      <w:pPr>
        <w:ind w:firstLine="480"/>
      </w:pPr>
      <w:r>
        <w:rPr>
          <w:rFonts w:hint="eastAsia"/>
        </w:rPr>
        <w:t>根据遥感反演的生物量数据，结合地表植被覆盖解译和样方调查数据，对评价区域内不同植被类型地表植被生物量进行估算分析。</w:t>
      </w:r>
    </w:p>
    <w:p w14:paraId="028E9BBE">
      <w:pPr>
        <w:ind w:firstLine="480"/>
      </w:pPr>
      <w:r>
        <w:t>根据国家统计局发布的数据，黑龙江省202</w:t>
      </w:r>
      <w:r>
        <w:rPr>
          <w:rFonts w:hint="eastAsia"/>
        </w:rPr>
        <w:t>4</w:t>
      </w:r>
      <w:r>
        <w:t>年粮食单位面积产量为5282.6kg/hm</w:t>
      </w:r>
      <w:r>
        <w:rPr>
          <w:vertAlign w:val="superscript"/>
        </w:rPr>
        <w:t>2</w:t>
      </w:r>
      <w:r>
        <w:t>，经查阅相关文献粮食作物生物量与产量可按3</w:t>
      </w:r>
      <w:r>
        <w:rPr>
          <w:rFonts w:hint="eastAsia"/>
        </w:rPr>
        <w:t>：</w:t>
      </w:r>
      <w:r>
        <w:t>1计，因此评价区农作物生物量估算参数取该区域粮食作物的平均生物量15.848t/hm</w:t>
      </w:r>
      <w:r>
        <w:rPr>
          <w:vertAlign w:val="superscript"/>
        </w:rPr>
        <w:t>2</w:t>
      </w:r>
      <w:r>
        <w:t>。评价区自然体系生物量现状见表</w:t>
      </w:r>
      <w:r>
        <w:rPr>
          <w:rFonts w:hint="eastAsia"/>
        </w:rPr>
        <w:t>4.3-21</w:t>
      </w:r>
      <w:r>
        <w:t>。</w:t>
      </w:r>
    </w:p>
    <w:p w14:paraId="02D08045">
      <w:pPr>
        <w:pStyle w:val="178"/>
      </w:pPr>
      <w:r>
        <w:t>表</w:t>
      </w:r>
      <w:r>
        <w:rPr>
          <w:rFonts w:hint="eastAsia"/>
        </w:rPr>
        <w:t xml:space="preserve">4.3-21 </w:t>
      </w:r>
      <w:r>
        <w:t xml:space="preserve"> 评价范围内生态系统生物量调查统计</w:t>
      </w:r>
    </w:p>
    <w:tbl>
      <w:tblPr>
        <w:tblStyle w:val="37"/>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977"/>
        <w:gridCol w:w="1410"/>
        <w:gridCol w:w="1524"/>
        <w:gridCol w:w="1503"/>
        <w:gridCol w:w="2058"/>
      </w:tblGrid>
      <w:tr w14:paraId="2A59FDD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239" w:type="dxa"/>
            <w:vAlign w:val="center"/>
          </w:tcPr>
          <w:p w14:paraId="5EE13A62">
            <w:pPr>
              <w:pStyle w:val="179"/>
              <w:widowControl w:val="0"/>
              <w:rPr>
                <w:b/>
              </w:rPr>
            </w:pPr>
            <w:r>
              <w:rPr>
                <w:rFonts w:hint="eastAsia"/>
                <w:b/>
              </w:rPr>
              <w:t>生态系统</w:t>
            </w:r>
          </w:p>
          <w:p w14:paraId="3024CF5D">
            <w:pPr>
              <w:pStyle w:val="179"/>
              <w:widowControl w:val="0"/>
              <w:rPr>
                <w:b/>
              </w:rPr>
            </w:pPr>
            <w:r>
              <w:rPr>
                <w:rFonts w:hint="eastAsia"/>
                <w:b/>
              </w:rPr>
              <w:t>（二级分类）</w:t>
            </w:r>
          </w:p>
        </w:tc>
        <w:tc>
          <w:tcPr>
            <w:tcW w:w="1602" w:type="dxa"/>
            <w:vAlign w:val="center"/>
          </w:tcPr>
          <w:p w14:paraId="594A5AA8">
            <w:pPr>
              <w:pStyle w:val="179"/>
              <w:widowControl w:val="0"/>
              <w:rPr>
                <w:b/>
              </w:rPr>
            </w:pPr>
            <w:r>
              <w:rPr>
                <w:rFonts w:hint="eastAsia"/>
                <w:b/>
              </w:rPr>
              <w:t>植被类型</w:t>
            </w:r>
          </w:p>
        </w:tc>
        <w:tc>
          <w:tcPr>
            <w:tcW w:w="1602" w:type="dxa"/>
            <w:vAlign w:val="center"/>
          </w:tcPr>
          <w:p w14:paraId="5B8A0776">
            <w:pPr>
              <w:pStyle w:val="179"/>
              <w:widowControl w:val="0"/>
              <w:rPr>
                <w:b/>
              </w:rPr>
            </w:pPr>
            <w:r>
              <w:rPr>
                <w:rFonts w:hint="eastAsia"/>
                <w:b/>
              </w:rPr>
              <w:t>单位面积生物量（</w:t>
            </w:r>
            <w:r>
              <w:rPr>
                <w:b/>
              </w:rPr>
              <w:t>t/hm</w:t>
            </w:r>
            <w:r>
              <w:rPr>
                <w:b/>
                <w:vertAlign w:val="superscript"/>
              </w:rPr>
              <w:t>2</w:t>
            </w:r>
            <w:r>
              <w:rPr>
                <w:rFonts w:hint="eastAsia"/>
                <w:b/>
              </w:rPr>
              <w:t>）</w:t>
            </w:r>
          </w:p>
        </w:tc>
        <w:tc>
          <w:tcPr>
            <w:tcW w:w="1602" w:type="dxa"/>
            <w:vAlign w:val="center"/>
          </w:tcPr>
          <w:p w14:paraId="1D6173C2">
            <w:pPr>
              <w:pStyle w:val="179"/>
              <w:widowControl w:val="0"/>
              <w:rPr>
                <w:b/>
              </w:rPr>
            </w:pPr>
            <w:r>
              <w:rPr>
                <w:rFonts w:hint="eastAsia"/>
                <w:b/>
              </w:rPr>
              <w:t>面积</w:t>
            </w:r>
            <w:r>
              <w:rPr>
                <w:b/>
              </w:rPr>
              <w:t>（hm</w:t>
            </w:r>
            <w:r>
              <w:rPr>
                <w:b/>
                <w:vertAlign w:val="superscript"/>
              </w:rPr>
              <w:t>2</w:t>
            </w:r>
            <w:r>
              <w:rPr>
                <w:b/>
              </w:rPr>
              <w:t>）</w:t>
            </w:r>
          </w:p>
        </w:tc>
        <w:tc>
          <w:tcPr>
            <w:tcW w:w="2243" w:type="dxa"/>
            <w:vAlign w:val="center"/>
          </w:tcPr>
          <w:p w14:paraId="4831B504">
            <w:pPr>
              <w:pStyle w:val="179"/>
              <w:widowControl w:val="0"/>
              <w:rPr>
                <w:b/>
              </w:rPr>
            </w:pPr>
            <w:r>
              <w:rPr>
                <w:rFonts w:hint="eastAsia"/>
                <w:b/>
              </w:rPr>
              <w:t>总生物量</w:t>
            </w:r>
            <w:r>
              <w:rPr>
                <w:b/>
              </w:rPr>
              <w:t>（t）</w:t>
            </w:r>
          </w:p>
        </w:tc>
      </w:tr>
      <w:tr w14:paraId="5F47800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239" w:type="dxa"/>
            <w:vAlign w:val="center"/>
          </w:tcPr>
          <w:p w14:paraId="67029614">
            <w:pPr>
              <w:pStyle w:val="179"/>
              <w:widowControl w:val="0"/>
            </w:pPr>
            <w:r>
              <w:rPr>
                <w:rFonts w:hint="eastAsia"/>
              </w:rPr>
              <w:t>阔叶林</w:t>
            </w:r>
          </w:p>
        </w:tc>
        <w:tc>
          <w:tcPr>
            <w:tcW w:w="1602" w:type="dxa"/>
            <w:vAlign w:val="center"/>
          </w:tcPr>
          <w:p w14:paraId="38E7716B">
            <w:pPr>
              <w:pStyle w:val="179"/>
              <w:widowControl w:val="0"/>
            </w:pPr>
            <w:r>
              <w:rPr>
                <w:rFonts w:hint="eastAsia"/>
              </w:rPr>
              <w:t>蒙古栎</w:t>
            </w:r>
          </w:p>
        </w:tc>
        <w:tc>
          <w:tcPr>
            <w:tcW w:w="1602" w:type="dxa"/>
            <w:vAlign w:val="center"/>
          </w:tcPr>
          <w:p w14:paraId="052BB51F">
            <w:pPr>
              <w:pStyle w:val="179"/>
              <w:widowControl w:val="0"/>
            </w:pPr>
            <w:r>
              <w:rPr>
                <w:rFonts w:hint="eastAsia"/>
              </w:rPr>
              <w:t>94.75</w:t>
            </w:r>
          </w:p>
        </w:tc>
        <w:tc>
          <w:tcPr>
            <w:tcW w:w="1602" w:type="dxa"/>
            <w:vAlign w:val="center"/>
          </w:tcPr>
          <w:p w14:paraId="254AF02E">
            <w:pPr>
              <w:pStyle w:val="179"/>
              <w:widowControl w:val="0"/>
            </w:pPr>
            <w:r>
              <w:rPr>
                <w:rFonts w:hint="eastAsia"/>
              </w:rPr>
              <w:t>102.19</w:t>
            </w:r>
          </w:p>
        </w:tc>
        <w:tc>
          <w:tcPr>
            <w:tcW w:w="2243" w:type="dxa"/>
            <w:vAlign w:val="center"/>
          </w:tcPr>
          <w:p w14:paraId="0C267929">
            <w:pPr>
              <w:pStyle w:val="179"/>
              <w:widowControl w:val="0"/>
            </w:pPr>
            <w:r>
              <w:rPr>
                <w:rFonts w:hint="eastAsia"/>
              </w:rPr>
              <w:t>8496.2325</w:t>
            </w:r>
          </w:p>
        </w:tc>
      </w:tr>
      <w:tr w14:paraId="032979F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239" w:type="dxa"/>
            <w:vAlign w:val="center"/>
          </w:tcPr>
          <w:p w14:paraId="4608CFD9">
            <w:pPr>
              <w:pStyle w:val="179"/>
              <w:widowControl w:val="0"/>
            </w:pPr>
            <w:r>
              <w:rPr>
                <w:rFonts w:hint="eastAsia"/>
              </w:rPr>
              <w:t>针叶林</w:t>
            </w:r>
          </w:p>
        </w:tc>
        <w:tc>
          <w:tcPr>
            <w:tcW w:w="1602" w:type="dxa"/>
            <w:vAlign w:val="center"/>
          </w:tcPr>
          <w:p w14:paraId="78A99B35">
            <w:pPr>
              <w:pStyle w:val="179"/>
              <w:widowControl w:val="0"/>
            </w:pPr>
            <w:r>
              <w:t>落叶松</w:t>
            </w:r>
          </w:p>
        </w:tc>
        <w:tc>
          <w:tcPr>
            <w:tcW w:w="1602" w:type="dxa"/>
            <w:vAlign w:val="center"/>
          </w:tcPr>
          <w:p w14:paraId="15F19919">
            <w:pPr>
              <w:pStyle w:val="179"/>
              <w:widowControl w:val="0"/>
            </w:pPr>
            <w:r>
              <w:rPr>
                <w:rFonts w:hint="eastAsia"/>
              </w:rPr>
              <w:t>91.9</w:t>
            </w:r>
          </w:p>
        </w:tc>
        <w:tc>
          <w:tcPr>
            <w:tcW w:w="1602" w:type="dxa"/>
            <w:vAlign w:val="center"/>
          </w:tcPr>
          <w:p w14:paraId="4DE9CDF4">
            <w:pPr>
              <w:pStyle w:val="179"/>
              <w:widowControl w:val="0"/>
            </w:pPr>
            <w:r>
              <w:rPr>
                <w:rFonts w:hint="eastAsia"/>
              </w:rPr>
              <w:t>172.16</w:t>
            </w:r>
          </w:p>
        </w:tc>
        <w:tc>
          <w:tcPr>
            <w:tcW w:w="2243" w:type="dxa"/>
            <w:vAlign w:val="center"/>
          </w:tcPr>
          <w:p w14:paraId="5443FE86">
            <w:pPr>
              <w:pStyle w:val="179"/>
              <w:widowControl w:val="0"/>
            </w:pPr>
            <w:r>
              <w:rPr>
                <w:rFonts w:hint="eastAsia"/>
              </w:rPr>
              <w:t>3914.021</w:t>
            </w:r>
          </w:p>
        </w:tc>
      </w:tr>
      <w:tr w14:paraId="0E90963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239" w:type="dxa"/>
            <w:vAlign w:val="center"/>
          </w:tcPr>
          <w:p w14:paraId="3652AABB">
            <w:pPr>
              <w:pStyle w:val="179"/>
              <w:widowControl w:val="0"/>
            </w:pPr>
            <w:r>
              <w:rPr>
                <w:rFonts w:hint="eastAsia"/>
              </w:rPr>
              <w:t>草丛</w:t>
            </w:r>
          </w:p>
        </w:tc>
        <w:tc>
          <w:tcPr>
            <w:tcW w:w="1602" w:type="dxa"/>
            <w:vAlign w:val="center"/>
          </w:tcPr>
          <w:p w14:paraId="442DF2B6">
            <w:pPr>
              <w:pStyle w:val="179"/>
              <w:widowControl w:val="0"/>
            </w:pPr>
            <w:r>
              <w:rPr>
                <w:rFonts w:hint="eastAsia"/>
              </w:rPr>
              <w:t>杂草</w:t>
            </w:r>
          </w:p>
        </w:tc>
        <w:tc>
          <w:tcPr>
            <w:tcW w:w="1602" w:type="dxa"/>
            <w:vAlign w:val="center"/>
          </w:tcPr>
          <w:p w14:paraId="0894C1B0">
            <w:pPr>
              <w:pStyle w:val="179"/>
              <w:widowControl w:val="0"/>
            </w:pPr>
            <w:r>
              <w:rPr>
                <w:rFonts w:hint="eastAsia"/>
              </w:rPr>
              <w:t>3.13</w:t>
            </w:r>
          </w:p>
        </w:tc>
        <w:tc>
          <w:tcPr>
            <w:tcW w:w="1602" w:type="dxa"/>
            <w:vAlign w:val="center"/>
          </w:tcPr>
          <w:p w14:paraId="4BCCDED7">
            <w:pPr>
              <w:pStyle w:val="179"/>
              <w:widowControl w:val="0"/>
            </w:pPr>
            <w:r>
              <w:rPr>
                <w:rFonts w:hint="eastAsia"/>
              </w:rPr>
              <w:t>64.63</w:t>
            </w:r>
          </w:p>
        </w:tc>
        <w:tc>
          <w:tcPr>
            <w:tcW w:w="2243" w:type="dxa"/>
            <w:vAlign w:val="center"/>
          </w:tcPr>
          <w:p w14:paraId="38F0472D">
            <w:pPr>
              <w:pStyle w:val="179"/>
              <w:widowControl w:val="0"/>
            </w:pPr>
            <w:r>
              <w:rPr>
                <w:rFonts w:hint="eastAsia"/>
              </w:rPr>
              <w:t>100.1913</w:t>
            </w:r>
          </w:p>
        </w:tc>
      </w:tr>
      <w:tr w14:paraId="00F11E8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239" w:type="dxa"/>
            <w:shd w:val="clear" w:color="auto" w:fill="auto"/>
            <w:vAlign w:val="center"/>
          </w:tcPr>
          <w:p w14:paraId="6F485DD2">
            <w:pPr>
              <w:pStyle w:val="179"/>
              <w:widowControl w:val="0"/>
            </w:pPr>
            <w:r>
              <w:rPr>
                <w:rFonts w:hint="eastAsia"/>
              </w:rPr>
              <w:t>耕地</w:t>
            </w:r>
          </w:p>
        </w:tc>
        <w:tc>
          <w:tcPr>
            <w:tcW w:w="1602" w:type="dxa"/>
            <w:shd w:val="clear" w:color="auto" w:fill="auto"/>
            <w:vAlign w:val="center"/>
          </w:tcPr>
          <w:p w14:paraId="31A121B1">
            <w:pPr>
              <w:pStyle w:val="179"/>
              <w:widowControl w:val="0"/>
            </w:pPr>
            <w:r>
              <w:rPr>
                <w:rFonts w:hint="eastAsia"/>
              </w:rPr>
              <w:t>农作物</w:t>
            </w:r>
          </w:p>
        </w:tc>
        <w:tc>
          <w:tcPr>
            <w:tcW w:w="1602" w:type="dxa"/>
            <w:shd w:val="clear" w:color="auto" w:fill="auto"/>
            <w:vAlign w:val="center"/>
          </w:tcPr>
          <w:p w14:paraId="2FB330CE">
            <w:pPr>
              <w:pStyle w:val="179"/>
              <w:widowControl w:val="0"/>
            </w:pPr>
            <w:r>
              <w:rPr>
                <w:rFonts w:hint="eastAsia"/>
              </w:rPr>
              <w:t>15.848</w:t>
            </w:r>
          </w:p>
        </w:tc>
        <w:tc>
          <w:tcPr>
            <w:tcW w:w="1602" w:type="dxa"/>
            <w:shd w:val="clear" w:color="auto" w:fill="auto"/>
            <w:vAlign w:val="center"/>
          </w:tcPr>
          <w:p w14:paraId="4B1753BB">
            <w:pPr>
              <w:pStyle w:val="179"/>
              <w:widowControl w:val="0"/>
            </w:pPr>
            <w:r>
              <w:rPr>
                <w:rFonts w:hint="eastAsia"/>
              </w:rPr>
              <w:t>121.88</w:t>
            </w:r>
          </w:p>
        </w:tc>
        <w:tc>
          <w:tcPr>
            <w:tcW w:w="2243" w:type="dxa"/>
            <w:shd w:val="clear" w:color="auto" w:fill="auto"/>
            <w:vAlign w:val="center"/>
          </w:tcPr>
          <w:p w14:paraId="5F19A5D1">
            <w:pPr>
              <w:pStyle w:val="179"/>
              <w:widowControl w:val="0"/>
            </w:pPr>
            <w:r>
              <w:rPr>
                <w:rFonts w:hint="eastAsia"/>
              </w:rPr>
              <w:t>1042.7984</w:t>
            </w:r>
          </w:p>
        </w:tc>
      </w:tr>
    </w:tbl>
    <w:p w14:paraId="678575BF">
      <w:pPr>
        <w:ind w:firstLine="480"/>
      </w:pPr>
      <w:r>
        <w:rPr>
          <w:rFonts w:hint="eastAsia"/>
        </w:rPr>
        <w:t>从上表可以观察到评价范围内林地的生物量总值为19623.4688t，单位面积上的平均生物量达到44.363t/hm</w:t>
      </w:r>
      <w:r>
        <w:rPr>
          <w:rFonts w:hint="eastAsia"/>
          <w:vertAlign w:val="superscript"/>
        </w:rPr>
        <w:t>2</w:t>
      </w:r>
      <w:r>
        <w:rPr>
          <w:rFonts w:hint="eastAsia"/>
        </w:rPr>
        <w:t>；乔木林地生物量为17781.8295t，约占总生物量的90.62%；草丛的生物量为100.1913t，约占总生物量的0.511%；农作物的生物量为1042.7984t，约占总生物量的5.31%。</w:t>
      </w:r>
    </w:p>
    <w:p w14:paraId="5C7C45DA">
      <w:pPr>
        <w:ind w:firstLine="480"/>
      </w:pPr>
      <w:r>
        <w:rPr>
          <w:rFonts w:hint="eastAsia"/>
        </w:rPr>
        <w:t>综上所述，该地区植被类型主要以乔木林地和农作物为主，耕地种植的种类较为单一，主要以大豆为主，灌丛与草丛植被分布区域相对较小。乔木林地植物生长较为茂盛，森林病虫害发生较少，这些均反映出植被群落的类型和发育特点与当地的气候和地理特征相适应，因此可以判定项目调查范围内生态体系有较强的生态承载能力，对于一定限度的人为干扰，其恢复稳定性较强，生态系统也具有一定的自行恢复能力，故项目调查范围区域生态体系有较强的生态承载能力。</w:t>
      </w:r>
    </w:p>
    <w:p w14:paraId="236DF4DD">
      <w:pPr>
        <w:pStyle w:val="4"/>
        <w:spacing w:before="180" w:after="120"/>
      </w:pPr>
      <w:bookmarkStart w:id="340" w:name="_Toc10047"/>
      <w:r>
        <w:t>自然系统生产力分析</w:t>
      </w:r>
      <w:bookmarkEnd w:id="340"/>
    </w:p>
    <w:p w14:paraId="3F42D7D7">
      <w:pPr>
        <w:adjustRightInd w:val="0"/>
        <w:snapToGrid w:val="0"/>
        <w:ind w:firstLine="480"/>
      </w:pPr>
      <w:r>
        <w:t>以生产力作为评价指标对评价区生态环境质量进行分析。</w:t>
      </w:r>
    </w:p>
    <w:p w14:paraId="7E395859">
      <w:pPr>
        <w:adjustRightInd w:val="0"/>
        <w:snapToGrid w:val="0"/>
        <w:ind w:firstLine="480"/>
      </w:pPr>
      <w:r>
        <w:t>植被是生态环境中最重要、最敏感的自然要素，对生态系统变化及稳定起决定性作用，植被净生产力是指绿色植物在单位面积、单位时间内所累积的有机物数量，是由光合作用所产生的有机质总量中扣除自养呼吸后的剩余部分，它直接反映植物群落在自然环境条件下的生产能力，也是生态现状质量评价的重要参数。</w:t>
      </w:r>
    </w:p>
    <w:p w14:paraId="30D0E018">
      <w:pPr>
        <w:adjustRightInd w:val="0"/>
        <w:snapToGrid w:val="0"/>
        <w:ind w:firstLine="480"/>
      </w:pPr>
      <w:r>
        <w:t>本次评价选择</w:t>
      </w:r>
      <w:r>
        <w:rPr>
          <w:rFonts w:hint="eastAsia"/>
        </w:rPr>
        <w:t>《环境影响评价技术导则 生态影响》（</w:t>
      </w:r>
      <w:r>
        <w:t>HJ19-2022</w:t>
      </w:r>
      <w:r>
        <w:rPr>
          <w:rFonts w:hint="eastAsia"/>
        </w:rPr>
        <w:t>）附录</w:t>
      </w:r>
      <w:r>
        <w:t>C</w:t>
      </w:r>
      <w:r>
        <w:rPr>
          <w:rFonts w:hint="eastAsia"/>
        </w:rPr>
        <w:t>中推荐的</w:t>
      </w:r>
      <w:r>
        <w:t>Miami</w:t>
      </w:r>
      <w:r>
        <w:rPr>
          <w:rFonts w:hint="eastAsia"/>
        </w:rPr>
        <w:t>统计模型，并采用自然生态系统生产力和植被生物量的研究成果进行分析。</w:t>
      </w:r>
      <w:r>
        <w:t>根据2020年</w:t>
      </w:r>
      <w:r>
        <w:rPr>
          <w:rFonts w:hint="eastAsia"/>
        </w:rPr>
        <w:t>嫩江市黑龙江省黑河市</w:t>
      </w:r>
      <w:r>
        <w:t>气象统计资料，及其模型计算，其模型为：</w:t>
      </w:r>
    </w:p>
    <w:p w14:paraId="2755F67C">
      <w:pPr>
        <w:adjustRightInd w:val="0"/>
        <w:snapToGrid w:val="0"/>
        <w:ind w:firstLine="480"/>
        <w:jc w:val="center"/>
        <w:rPr>
          <w:bCs w:val="0"/>
        </w:rPr>
      </w:pPr>
      <w:r>
        <w:drawing>
          <wp:inline distT="0" distB="0" distL="114300" distR="114300">
            <wp:extent cx="1943100" cy="638175"/>
            <wp:effectExtent l="0" t="0" r="0" b="9525"/>
            <wp:docPr id="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
                    <pic:cNvPicPr>
                      <a:picLocks noChangeAspect="1"/>
                    </pic:cNvPicPr>
                  </pic:nvPicPr>
                  <pic:blipFill>
                    <a:blip r:embed="rId91" cstate="print"/>
                    <a:stretch>
                      <a:fillRect/>
                    </a:stretch>
                  </pic:blipFill>
                  <pic:spPr>
                    <a:xfrm>
                      <a:off x="0" y="0"/>
                      <a:ext cx="1943100" cy="638175"/>
                    </a:xfrm>
                    <a:prstGeom prst="rect">
                      <a:avLst/>
                    </a:prstGeom>
                    <a:noFill/>
                    <a:ln>
                      <a:noFill/>
                    </a:ln>
                  </pic:spPr>
                </pic:pic>
              </a:graphicData>
            </a:graphic>
          </wp:inline>
        </w:drawing>
      </w:r>
    </w:p>
    <w:p w14:paraId="09CE78F1">
      <w:pPr>
        <w:ind w:firstLine="480"/>
      </w:pPr>
      <w:r>
        <w:rPr>
          <w:rFonts w:hint="eastAsia"/>
        </w:rPr>
        <w:t>式中：NPP</w:t>
      </w:r>
      <w:r>
        <w:rPr>
          <w:rFonts w:hint="eastAsia"/>
          <w:vertAlign w:val="subscript"/>
        </w:rPr>
        <w:t>t</w:t>
      </w:r>
      <w:r>
        <w:rPr>
          <w:rFonts w:hint="eastAsia"/>
        </w:rPr>
        <w:t>—为热量生产力（g/m</w:t>
      </w:r>
      <w:r>
        <w:rPr>
          <w:rFonts w:hint="eastAsia"/>
          <w:vertAlign w:val="superscript"/>
        </w:rPr>
        <w:t>2</w:t>
      </w:r>
      <w:r>
        <w:rPr>
          <w:rFonts w:hint="eastAsia"/>
        </w:rPr>
        <w:t>·a）</w:t>
      </w:r>
    </w:p>
    <w:p w14:paraId="651B6FF4">
      <w:pPr>
        <w:ind w:firstLine="1200" w:firstLineChars="500"/>
      </w:pPr>
      <w:r>
        <w:rPr>
          <w:rFonts w:hint="eastAsia"/>
        </w:rPr>
        <w:t>NPP</w:t>
      </w:r>
      <w:r>
        <w:rPr>
          <w:rFonts w:hint="eastAsia"/>
          <w:vertAlign w:val="subscript"/>
        </w:rPr>
        <w:t>r</w:t>
      </w:r>
      <w:r>
        <w:rPr>
          <w:rFonts w:hint="eastAsia"/>
        </w:rPr>
        <w:t>—为水分生产力（g/m</w:t>
      </w:r>
      <w:r>
        <w:rPr>
          <w:rFonts w:hint="eastAsia"/>
          <w:vertAlign w:val="superscript"/>
        </w:rPr>
        <w:t>2</w:t>
      </w:r>
      <w:r>
        <w:rPr>
          <w:rFonts w:hint="eastAsia"/>
        </w:rPr>
        <w:t>·a）</w:t>
      </w:r>
    </w:p>
    <w:p w14:paraId="5D95736D">
      <w:pPr>
        <w:ind w:firstLine="1200" w:firstLineChars="500"/>
      </w:pPr>
      <w:r>
        <w:rPr>
          <w:rFonts w:hint="eastAsia"/>
        </w:rPr>
        <w:t>T—年平均温度（℃）；</w:t>
      </w:r>
    </w:p>
    <w:p w14:paraId="5C11EF10">
      <w:pPr>
        <w:ind w:firstLine="1200" w:firstLineChars="500"/>
      </w:pPr>
      <w:r>
        <w:rPr>
          <w:rFonts w:hint="eastAsia"/>
        </w:rPr>
        <w:t>R—年降水量（mm）；</w:t>
      </w:r>
    </w:p>
    <w:p w14:paraId="4C72D91C">
      <w:pPr>
        <w:ind w:firstLine="480"/>
      </w:pPr>
      <w:r>
        <w:rPr>
          <w:rFonts w:hint="eastAsia"/>
        </w:rPr>
        <w:t>经计算NPPt热量生产力为1074g/m</w:t>
      </w:r>
      <w:r>
        <w:rPr>
          <w:rFonts w:hint="eastAsia"/>
          <w:vertAlign w:val="superscript"/>
        </w:rPr>
        <w:t>2</w:t>
      </w:r>
      <w:r>
        <w:rPr>
          <w:rFonts w:hint="eastAsia"/>
        </w:rPr>
        <w:t>·a，NPPr水分生产力为1739.13g/m</w:t>
      </w:r>
      <w:r>
        <w:rPr>
          <w:rFonts w:hint="eastAsia"/>
          <w:vertAlign w:val="superscript"/>
        </w:rPr>
        <w:t>2</w:t>
      </w:r>
      <w:r>
        <w:rPr>
          <w:rFonts w:hint="eastAsia"/>
        </w:rPr>
        <w:t>·a。依据Liebig最小因子定律选取较小值1074g/m</w:t>
      </w:r>
      <w:r>
        <w:rPr>
          <w:rFonts w:hint="eastAsia"/>
          <w:vertAlign w:val="superscript"/>
        </w:rPr>
        <w:t>2</w:t>
      </w:r>
      <w:r>
        <w:rPr>
          <w:rFonts w:hint="eastAsia"/>
        </w:rPr>
        <w:t>·a，10.74t/</w:t>
      </w:r>
      <w:r>
        <w:rPr>
          <w:lang w:val="zh-CN"/>
        </w:rPr>
        <w:t>hm</w:t>
      </w:r>
      <w:r>
        <w:rPr>
          <w:vertAlign w:val="superscript"/>
          <w:lang w:val="zh-CN"/>
        </w:rPr>
        <w:t>2</w:t>
      </w:r>
      <w:r>
        <w:rPr>
          <w:lang w:val="zh-CN"/>
        </w:rPr>
        <w:t>·a</w:t>
      </w:r>
      <w:r>
        <w:rPr>
          <w:rFonts w:hint="eastAsia"/>
        </w:rPr>
        <w:t>作为该地自然植被的净初级生产力。</w:t>
      </w:r>
    </w:p>
    <w:p w14:paraId="74A444B9">
      <w:pPr>
        <w:pStyle w:val="178"/>
      </w:pPr>
      <w:bookmarkStart w:id="341" w:name="OLE_LINK3"/>
      <w:r>
        <w:t>表</w:t>
      </w:r>
      <w:r>
        <w:rPr>
          <w:rFonts w:hint="eastAsia"/>
        </w:rPr>
        <w:t>4.3-22</w:t>
      </w:r>
      <w:r>
        <w:t xml:space="preserve">  评价区及周边自然植被本底的净第一性生产力测算结果</w:t>
      </w:r>
    </w:p>
    <w:bookmarkEnd w:id="341"/>
    <w:tbl>
      <w:tblPr>
        <w:tblStyle w:val="36"/>
        <w:tblW w:w="5000" w:type="pct"/>
        <w:jc w:val="center"/>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Layout w:type="autofit"/>
        <w:tblCellMar>
          <w:top w:w="0" w:type="dxa"/>
          <w:left w:w="108" w:type="dxa"/>
          <w:bottom w:w="0" w:type="dxa"/>
          <w:right w:w="108" w:type="dxa"/>
        </w:tblCellMar>
      </w:tblPr>
      <w:tblGrid>
        <w:gridCol w:w="534"/>
        <w:gridCol w:w="2121"/>
        <w:gridCol w:w="1127"/>
        <w:gridCol w:w="1701"/>
        <w:gridCol w:w="1121"/>
        <w:gridCol w:w="1868"/>
      </w:tblGrid>
      <w:tr w14:paraId="540B5301">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tblHeader/>
          <w:jc w:val="center"/>
        </w:trPr>
        <w:tc>
          <w:tcPr>
            <w:tcW w:w="539" w:type="dxa"/>
            <w:vAlign w:val="center"/>
          </w:tcPr>
          <w:p w14:paraId="76A5FF4B">
            <w:pPr>
              <w:pStyle w:val="179"/>
              <w:rPr>
                <w:b/>
                <w:lang w:val="zh-CN"/>
              </w:rPr>
            </w:pPr>
            <w:r>
              <w:rPr>
                <w:b/>
                <w:lang w:val="zh-CN"/>
              </w:rPr>
              <w:t>月</w:t>
            </w:r>
          </w:p>
        </w:tc>
        <w:tc>
          <w:tcPr>
            <w:tcW w:w="2121" w:type="dxa"/>
            <w:noWrap/>
            <w:vAlign w:val="center"/>
          </w:tcPr>
          <w:p w14:paraId="5B7CB507">
            <w:pPr>
              <w:pStyle w:val="179"/>
              <w:rPr>
                <w:b/>
                <w:lang w:val="zh-CN"/>
              </w:rPr>
            </w:pPr>
            <w:r>
              <w:rPr>
                <w:b/>
                <w:lang w:val="zh-CN"/>
              </w:rPr>
              <w:t>月均降水（mm）</w:t>
            </w:r>
          </w:p>
        </w:tc>
        <w:tc>
          <w:tcPr>
            <w:tcW w:w="1134" w:type="dxa"/>
            <w:vAlign w:val="center"/>
          </w:tcPr>
          <w:p w14:paraId="28AED18C">
            <w:pPr>
              <w:pStyle w:val="179"/>
              <w:rPr>
                <w:b/>
                <w:lang w:val="zh-CN"/>
              </w:rPr>
            </w:pPr>
            <w:r>
              <w:rPr>
                <w:rFonts w:hint="eastAsia"/>
                <w:b/>
              </w:rPr>
              <w:t>R</w:t>
            </w:r>
            <w:r>
              <w:rPr>
                <w:b/>
                <w:lang w:val="zh-CN"/>
              </w:rPr>
              <w:t>（mm）</w:t>
            </w:r>
          </w:p>
        </w:tc>
        <w:tc>
          <w:tcPr>
            <w:tcW w:w="1701" w:type="dxa"/>
            <w:noWrap/>
            <w:vAlign w:val="center"/>
          </w:tcPr>
          <w:p w14:paraId="0E7B6684">
            <w:pPr>
              <w:pStyle w:val="179"/>
              <w:rPr>
                <w:b/>
                <w:lang w:val="zh-CN"/>
              </w:rPr>
            </w:pPr>
            <w:r>
              <w:rPr>
                <w:b/>
                <w:lang w:val="zh-CN"/>
              </w:rPr>
              <w:t>月均温度（℃）</w:t>
            </w:r>
          </w:p>
        </w:tc>
        <w:tc>
          <w:tcPr>
            <w:tcW w:w="1134" w:type="dxa"/>
            <w:vAlign w:val="center"/>
          </w:tcPr>
          <w:p w14:paraId="06D8B559">
            <w:pPr>
              <w:pStyle w:val="179"/>
              <w:rPr>
                <w:b/>
                <w:lang w:val="zh-CN"/>
              </w:rPr>
            </w:pPr>
            <w:r>
              <w:rPr>
                <w:b/>
                <w:lang w:val="zh-CN"/>
              </w:rPr>
              <w:t>T（℃）</w:t>
            </w:r>
          </w:p>
        </w:tc>
        <w:tc>
          <w:tcPr>
            <w:tcW w:w="1893" w:type="dxa"/>
            <w:vAlign w:val="center"/>
          </w:tcPr>
          <w:p w14:paraId="0C46AE47">
            <w:pPr>
              <w:pStyle w:val="179"/>
              <w:rPr>
                <w:b/>
              </w:rPr>
            </w:pPr>
            <w:r>
              <w:rPr>
                <w:b/>
              </w:rPr>
              <w:t>NPP（</w:t>
            </w:r>
            <w:r>
              <w:rPr>
                <w:rFonts w:hint="eastAsia"/>
                <w:b/>
              </w:rPr>
              <w:t>g/m</w:t>
            </w:r>
            <w:r>
              <w:rPr>
                <w:rFonts w:hint="eastAsia"/>
                <w:b/>
                <w:vertAlign w:val="superscript"/>
              </w:rPr>
              <w:t>2</w:t>
            </w:r>
            <w:r>
              <w:rPr>
                <w:rFonts w:hint="eastAsia"/>
                <w:b/>
              </w:rPr>
              <w:t>·a</w:t>
            </w:r>
            <w:r>
              <w:rPr>
                <w:b/>
              </w:rPr>
              <w:t>）</w:t>
            </w:r>
          </w:p>
        </w:tc>
      </w:tr>
      <w:tr w14:paraId="2A2147D9">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539" w:type="dxa"/>
            <w:vAlign w:val="center"/>
          </w:tcPr>
          <w:p w14:paraId="61E36116">
            <w:pPr>
              <w:pStyle w:val="179"/>
              <w:rPr>
                <w:kern w:val="0"/>
                <w:lang w:val="zh-CN"/>
              </w:rPr>
            </w:pPr>
            <w:r>
              <w:rPr>
                <w:kern w:val="0"/>
                <w:lang w:val="zh-CN"/>
              </w:rPr>
              <w:t>1</w:t>
            </w:r>
          </w:p>
        </w:tc>
        <w:tc>
          <w:tcPr>
            <w:tcW w:w="2121" w:type="dxa"/>
            <w:noWrap/>
            <w:vAlign w:val="center"/>
          </w:tcPr>
          <w:p w14:paraId="3CB11EC4">
            <w:pPr>
              <w:pStyle w:val="179"/>
              <w:rPr>
                <w:kern w:val="0"/>
                <w:lang w:val="zh-CN"/>
              </w:rPr>
            </w:pPr>
            <w:r>
              <w:rPr>
                <w:kern w:val="0"/>
                <w:lang w:val="zh-CN"/>
              </w:rPr>
              <w:t>2.6</w:t>
            </w:r>
          </w:p>
        </w:tc>
        <w:tc>
          <w:tcPr>
            <w:tcW w:w="1134" w:type="dxa"/>
            <w:vMerge w:val="restart"/>
            <w:vAlign w:val="center"/>
          </w:tcPr>
          <w:p w14:paraId="30007340">
            <w:pPr>
              <w:pStyle w:val="179"/>
              <w:rPr>
                <w:kern w:val="0"/>
              </w:rPr>
            </w:pPr>
            <w:r>
              <w:rPr>
                <w:rFonts w:hint="eastAsia"/>
                <w:kern w:val="0"/>
              </w:rPr>
              <w:t>486.4</w:t>
            </w:r>
          </w:p>
        </w:tc>
        <w:tc>
          <w:tcPr>
            <w:tcW w:w="1701" w:type="dxa"/>
            <w:noWrap/>
            <w:vAlign w:val="center"/>
          </w:tcPr>
          <w:p w14:paraId="35193878">
            <w:pPr>
              <w:pStyle w:val="179"/>
              <w:rPr>
                <w:kern w:val="0"/>
                <w:lang w:val="zh-CN"/>
              </w:rPr>
            </w:pPr>
            <w:r>
              <w:rPr>
                <w:kern w:val="0"/>
                <w:lang w:val="zh-CN"/>
              </w:rPr>
              <w:t>-17.6</w:t>
            </w:r>
          </w:p>
        </w:tc>
        <w:tc>
          <w:tcPr>
            <w:tcW w:w="1134" w:type="dxa"/>
            <w:vMerge w:val="restart"/>
            <w:vAlign w:val="center"/>
          </w:tcPr>
          <w:p w14:paraId="56866900">
            <w:pPr>
              <w:pStyle w:val="179"/>
              <w:rPr>
                <w:kern w:val="0"/>
              </w:rPr>
            </w:pPr>
            <w:r>
              <w:rPr>
                <w:rFonts w:hint="eastAsia"/>
                <w:kern w:val="0"/>
              </w:rPr>
              <w:t>6.15</w:t>
            </w:r>
          </w:p>
        </w:tc>
        <w:tc>
          <w:tcPr>
            <w:tcW w:w="1893" w:type="dxa"/>
            <w:vMerge w:val="restart"/>
            <w:vAlign w:val="center"/>
          </w:tcPr>
          <w:p w14:paraId="68BC1254">
            <w:pPr>
              <w:pStyle w:val="179"/>
              <w:rPr>
                <w:kern w:val="0"/>
              </w:rPr>
            </w:pPr>
            <w:r>
              <w:rPr>
                <w:rFonts w:hint="eastAsia"/>
                <w:kern w:val="0"/>
              </w:rPr>
              <w:t>1074</w:t>
            </w:r>
          </w:p>
        </w:tc>
      </w:tr>
      <w:tr w14:paraId="29BDA72C">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539" w:type="dxa"/>
            <w:vAlign w:val="center"/>
          </w:tcPr>
          <w:p w14:paraId="372AC087">
            <w:pPr>
              <w:pStyle w:val="179"/>
              <w:rPr>
                <w:kern w:val="0"/>
                <w:lang w:val="zh-CN"/>
              </w:rPr>
            </w:pPr>
            <w:r>
              <w:rPr>
                <w:kern w:val="0"/>
                <w:lang w:val="zh-CN"/>
              </w:rPr>
              <w:t>2</w:t>
            </w:r>
          </w:p>
        </w:tc>
        <w:tc>
          <w:tcPr>
            <w:tcW w:w="2121" w:type="dxa"/>
            <w:noWrap/>
            <w:vAlign w:val="center"/>
          </w:tcPr>
          <w:p w14:paraId="5115F43C">
            <w:pPr>
              <w:pStyle w:val="179"/>
              <w:rPr>
                <w:kern w:val="0"/>
                <w:lang w:val="zh-CN"/>
              </w:rPr>
            </w:pPr>
            <w:r>
              <w:rPr>
                <w:kern w:val="0"/>
                <w:lang w:val="zh-CN"/>
              </w:rPr>
              <w:t>8.8</w:t>
            </w:r>
          </w:p>
        </w:tc>
        <w:tc>
          <w:tcPr>
            <w:tcW w:w="1134" w:type="dxa"/>
            <w:vMerge w:val="continue"/>
            <w:vAlign w:val="center"/>
          </w:tcPr>
          <w:p w14:paraId="2ABB90D1">
            <w:pPr>
              <w:pStyle w:val="179"/>
              <w:rPr>
                <w:kern w:val="0"/>
                <w:lang w:val="zh-CN"/>
              </w:rPr>
            </w:pPr>
          </w:p>
        </w:tc>
        <w:tc>
          <w:tcPr>
            <w:tcW w:w="1701" w:type="dxa"/>
            <w:noWrap/>
            <w:vAlign w:val="center"/>
          </w:tcPr>
          <w:p w14:paraId="09E47D40">
            <w:pPr>
              <w:pStyle w:val="179"/>
              <w:rPr>
                <w:kern w:val="0"/>
                <w:lang w:val="zh-CN"/>
              </w:rPr>
            </w:pPr>
            <w:r>
              <w:rPr>
                <w:kern w:val="0"/>
                <w:lang w:val="zh-CN"/>
              </w:rPr>
              <w:t>-10.7</w:t>
            </w:r>
          </w:p>
        </w:tc>
        <w:tc>
          <w:tcPr>
            <w:tcW w:w="1134" w:type="dxa"/>
            <w:vMerge w:val="continue"/>
            <w:vAlign w:val="center"/>
          </w:tcPr>
          <w:p w14:paraId="7F8861C5">
            <w:pPr>
              <w:pStyle w:val="179"/>
              <w:rPr>
                <w:kern w:val="0"/>
              </w:rPr>
            </w:pPr>
          </w:p>
        </w:tc>
        <w:tc>
          <w:tcPr>
            <w:tcW w:w="1893" w:type="dxa"/>
            <w:vMerge w:val="continue"/>
            <w:vAlign w:val="center"/>
          </w:tcPr>
          <w:p w14:paraId="34F9D4C9">
            <w:pPr>
              <w:pStyle w:val="179"/>
              <w:rPr>
                <w:kern w:val="0"/>
              </w:rPr>
            </w:pPr>
          </w:p>
        </w:tc>
      </w:tr>
      <w:tr w14:paraId="5686BBCF">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539" w:type="dxa"/>
            <w:vAlign w:val="center"/>
          </w:tcPr>
          <w:p w14:paraId="5CCD3B67">
            <w:pPr>
              <w:pStyle w:val="179"/>
              <w:rPr>
                <w:kern w:val="0"/>
                <w:lang w:val="zh-CN"/>
              </w:rPr>
            </w:pPr>
            <w:r>
              <w:rPr>
                <w:kern w:val="0"/>
                <w:lang w:val="zh-CN"/>
              </w:rPr>
              <w:t>3</w:t>
            </w:r>
          </w:p>
        </w:tc>
        <w:tc>
          <w:tcPr>
            <w:tcW w:w="2121" w:type="dxa"/>
            <w:noWrap/>
            <w:vAlign w:val="center"/>
          </w:tcPr>
          <w:p w14:paraId="7C13AADF">
            <w:pPr>
              <w:pStyle w:val="179"/>
              <w:rPr>
                <w:kern w:val="0"/>
                <w:lang w:val="zh-CN"/>
              </w:rPr>
            </w:pPr>
            <w:r>
              <w:rPr>
                <w:kern w:val="0"/>
                <w:lang w:val="zh-CN"/>
              </w:rPr>
              <w:t>17.2</w:t>
            </w:r>
          </w:p>
        </w:tc>
        <w:tc>
          <w:tcPr>
            <w:tcW w:w="1134" w:type="dxa"/>
            <w:vMerge w:val="continue"/>
            <w:vAlign w:val="center"/>
          </w:tcPr>
          <w:p w14:paraId="0F93BFE9">
            <w:pPr>
              <w:pStyle w:val="179"/>
              <w:rPr>
                <w:kern w:val="0"/>
                <w:lang w:val="zh-CN"/>
              </w:rPr>
            </w:pPr>
          </w:p>
        </w:tc>
        <w:tc>
          <w:tcPr>
            <w:tcW w:w="1701" w:type="dxa"/>
            <w:noWrap/>
            <w:vAlign w:val="center"/>
          </w:tcPr>
          <w:p w14:paraId="012D9429">
            <w:pPr>
              <w:pStyle w:val="179"/>
              <w:rPr>
                <w:kern w:val="0"/>
                <w:lang w:val="zh-CN"/>
              </w:rPr>
            </w:pPr>
            <w:r>
              <w:rPr>
                <w:kern w:val="0"/>
                <w:lang w:val="zh-CN"/>
              </w:rPr>
              <w:t>-0.7</w:t>
            </w:r>
          </w:p>
        </w:tc>
        <w:tc>
          <w:tcPr>
            <w:tcW w:w="1134" w:type="dxa"/>
            <w:vMerge w:val="continue"/>
            <w:vAlign w:val="center"/>
          </w:tcPr>
          <w:p w14:paraId="60CFFA28">
            <w:pPr>
              <w:pStyle w:val="179"/>
              <w:rPr>
                <w:kern w:val="0"/>
              </w:rPr>
            </w:pPr>
          </w:p>
        </w:tc>
        <w:tc>
          <w:tcPr>
            <w:tcW w:w="1893" w:type="dxa"/>
            <w:vMerge w:val="continue"/>
            <w:vAlign w:val="center"/>
          </w:tcPr>
          <w:p w14:paraId="7F8ABAD1">
            <w:pPr>
              <w:pStyle w:val="179"/>
              <w:rPr>
                <w:kern w:val="0"/>
              </w:rPr>
            </w:pPr>
          </w:p>
        </w:tc>
      </w:tr>
      <w:tr w14:paraId="3B31E263">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539" w:type="dxa"/>
            <w:vAlign w:val="center"/>
          </w:tcPr>
          <w:p w14:paraId="2AB1A03E">
            <w:pPr>
              <w:pStyle w:val="179"/>
              <w:rPr>
                <w:kern w:val="0"/>
                <w:lang w:val="zh-CN"/>
              </w:rPr>
            </w:pPr>
            <w:r>
              <w:rPr>
                <w:kern w:val="0"/>
                <w:lang w:val="zh-CN"/>
              </w:rPr>
              <w:t>4</w:t>
            </w:r>
          </w:p>
        </w:tc>
        <w:tc>
          <w:tcPr>
            <w:tcW w:w="2121" w:type="dxa"/>
            <w:noWrap/>
            <w:vAlign w:val="center"/>
          </w:tcPr>
          <w:p w14:paraId="7264FA67">
            <w:pPr>
              <w:pStyle w:val="179"/>
              <w:rPr>
                <w:kern w:val="0"/>
                <w:lang w:val="zh-CN"/>
              </w:rPr>
            </w:pPr>
            <w:r>
              <w:rPr>
                <w:kern w:val="0"/>
                <w:lang w:val="zh-CN"/>
              </w:rPr>
              <w:t>14.1</w:t>
            </w:r>
          </w:p>
        </w:tc>
        <w:tc>
          <w:tcPr>
            <w:tcW w:w="1134" w:type="dxa"/>
            <w:vMerge w:val="continue"/>
            <w:vAlign w:val="center"/>
          </w:tcPr>
          <w:p w14:paraId="7D8BE8CC">
            <w:pPr>
              <w:pStyle w:val="179"/>
              <w:rPr>
                <w:kern w:val="0"/>
                <w:lang w:val="zh-CN"/>
              </w:rPr>
            </w:pPr>
          </w:p>
        </w:tc>
        <w:tc>
          <w:tcPr>
            <w:tcW w:w="1701" w:type="dxa"/>
            <w:noWrap/>
            <w:vAlign w:val="center"/>
          </w:tcPr>
          <w:p w14:paraId="089B9AE0">
            <w:pPr>
              <w:pStyle w:val="179"/>
              <w:rPr>
                <w:kern w:val="0"/>
                <w:lang w:val="zh-CN"/>
              </w:rPr>
            </w:pPr>
            <w:r>
              <w:rPr>
                <w:kern w:val="0"/>
                <w:lang w:val="zh-CN"/>
              </w:rPr>
              <w:t>5.8</w:t>
            </w:r>
          </w:p>
        </w:tc>
        <w:tc>
          <w:tcPr>
            <w:tcW w:w="1134" w:type="dxa"/>
            <w:vMerge w:val="continue"/>
            <w:vAlign w:val="center"/>
          </w:tcPr>
          <w:p w14:paraId="7CF18E85">
            <w:pPr>
              <w:pStyle w:val="179"/>
              <w:rPr>
                <w:kern w:val="0"/>
              </w:rPr>
            </w:pPr>
          </w:p>
        </w:tc>
        <w:tc>
          <w:tcPr>
            <w:tcW w:w="1893" w:type="dxa"/>
            <w:vMerge w:val="continue"/>
            <w:vAlign w:val="center"/>
          </w:tcPr>
          <w:p w14:paraId="0B115EB9">
            <w:pPr>
              <w:pStyle w:val="179"/>
              <w:rPr>
                <w:kern w:val="0"/>
              </w:rPr>
            </w:pPr>
          </w:p>
        </w:tc>
      </w:tr>
      <w:tr w14:paraId="32A1B36A">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539" w:type="dxa"/>
            <w:vAlign w:val="center"/>
          </w:tcPr>
          <w:p w14:paraId="7BCCC2BC">
            <w:pPr>
              <w:pStyle w:val="179"/>
              <w:rPr>
                <w:kern w:val="0"/>
                <w:lang w:val="zh-CN"/>
              </w:rPr>
            </w:pPr>
            <w:r>
              <w:rPr>
                <w:kern w:val="0"/>
                <w:lang w:val="zh-CN"/>
              </w:rPr>
              <w:t>5</w:t>
            </w:r>
          </w:p>
        </w:tc>
        <w:tc>
          <w:tcPr>
            <w:tcW w:w="2121" w:type="dxa"/>
            <w:noWrap/>
            <w:vAlign w:val="center"/>
          </w:tcPr>
          <w:p w14:paraId="4BE9D9BF">
            <w:pPr>
              <w:pStyle w:val="179"/>
              <w:rPr>
                <w:kern w:val="0"/>
                <w:lang w:val="zh-CN"/>
              </w:rPr>
            </w:pPr>
            <w:r>
              <w:rPr>
                <w:kern w:val="0"/>
                <w:lang w:val="zh-CN"/>
              </w:rPr>
              <w:t>65.8</w:t>
            </w:r>
          </w:p>
        </w:tc>
        <w:tc>
          <w:tcPr>
            <w:tcW w:w="1134" w:type="dxa"/>
            <w:vMerge w:val="continue"/>
            <w:vAlign w:val="center"/>
          </w:tcPr>
          <w:p w14:paraId="3C5D4AA1">
            <w:pPr>
              <w:pStyle w:val="179"/>
              <w:rPr>
                <w:kern w:val="0"/>
                <w:lang w:val="zh-CN"/>
              </w:rPr>
            </w:pPr>
          </w:p>
        </w:tc>
        <w:tc>
          <w:tcPr>
            <w:tcW w:w="1701" w:type="dxa"/>
            <w:noWrap/>
            <w:vAlign w:val="center"/>
          </w:tcPr>
          <w:p w14:paraId="0B925396">
            <w:pPr>
              <w:pStyle w:val="179"/>
              <w:rPr>
                <w:kern w:val="0"/>
                <w:lang w:val="zh-CN"/>
              </w:rPr>
            </w:pPr>
            <w:r>
              <w:rPr>
                <w:kern w:val="0"/>
                <w:lang w:val="zh-CN"/>
              </w:rPr>
              <w:t>15.7</w:t>
            </w:r>
          </w:p>
        </w:tc>
        <w:tc>
          <w:tcPr>
            <w:tcW w:w="1134" w:type="dxa"/>
            <w:vMerge w:val="continue"/>
            <w:vAlign w:val="center"/>
          </w:tcPr>
          <w:p w14:paraId="481B66D3">
            <w:pPr>
              <w:pStyle w:val="179"/>
              <w:rPr>
                <w:kern w:val="0"/>
              </w:rPr>
            </w:pPr>
          </w:p>
        </w:tc>
        <w:tc>
          <w:tcPr>
            <w:tcW w:w="1893" w:type="dxa"/>
            <w:vMerge w:val="continue"/>
            <w:vAlign w:val="center"/>
          </w:tcPr>
          <w:p w14:paraId="5252D090">
            <w:pPr>
              <w:pStyle w:val="179"/>
              <w:rPr>
                <w:kern w:val="0"/>
              </w:rPr>
            </w:pPr>
          </w:p>
        </w:tc>
      </w:tr>
      <w:tr w14:paraId="03BEEF22">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539" w:type="dxa"/>
            <w:vAlign w:val="center"/>
          </w:tcPr>
          <w:p w14:paraId="311DF135">
            <w:pPr>
              <w:pStyle w:val="179"/>
              <w:rPr>
                <w:kern w:val="0"/>
                <w:lang w:val="zh-CN"/>
              </w:rPr>
            </w:pPr>
            <w:r>
              <w:rPr>
                <w:kern w:val="0"/>
                <w:lang w:val="zh-CN"/>
              </w:rPr>
              <w:t>6</w:t>
            </w:r>
          </w:p>
        </w:tc>
        <w:tc>
          <w:tcPr>
            <w:tcW w:w="2121" w:type="dxa"/>
            <w:noWrap/>
            <w:vAlign w:val="center"/>
          </w:tcPr>
          <w:p w14:paraId="70F51531">
            <w:pPr>
              <w:pStyle w:val="179"/>
              <w:rPr>
                <w:kern w:val="0"/>
                <w:lang w:val="zh-CN"/>
              </w:rPr>
            </w:pPr>
            <w:r>
              <w:rPr>
                <w:kern w:val="0"/>
                <w:lang w:val="zh-CN"/>
              </w:rPr>
              <w:t>97.8</w:t>
            </w:r>
          </w:p>
        </w:tc>
        <w:tc>
          <w:tcPr>
            <w:tcW w:w="1134" w:type="dxa"/>
            <w:vMerge w:val="continue"/>
            <w:vAlign w:val="center"/>
          </w:tcPr>
          <w:p w14:paraId="018892A8">
            <w:pPr>
              <w:pStyle w:val="179"/>
              <w:rPr>
                <w:kern w:val="0"/>
                <w:lang w:val="zh-CN"/>
              </w:rPr>
            </w:pPr>
          </w:p>
        </w:tc>
        <w:tc>
          <w:tcPr>
            <w:tcW w:w="1701" w:type="dxa"/>
            <w:noWrap/>
            <w:vAlign w:val="center"/>
          </w:tcPr>
          <w:p w14:paraId="191F2C8A">
            <w:pPr>
              <w:pStyle w:val="179"/>
              <w:rPr>
                <w:kern w:val="0"/>
                <w:lang w:val="zh-CN"/>
              </w:rPr>
            </w:pPr>
            <w:r>
              <w:rPr>
                <w:kern w:val="0"/>
                <w:lang w:val="zh-CN"/>
              </w:rPr>
              <w:t>19.2</w:t>
            </w:r>
          </w:p>
        </w:tc>
        <w:tc>
          <w:tcPr>
            <w:tcW w:w="1134" w:type="dxa"/>
            <w:vMerge w:val="continue"/>
            <w:vAlign w:val="center"/>
          </w:tcPr>
          <w:p w14:paraId="24628786">
            <w:pPr>
              <w:pStyle w:val="179"/>
              <w:rPr>
                <w:kern w:val="0"/>
              </w:rPr>
            </w:pPr>
          </w:p>
        </w:tc>
        <w:tc>
          <w:tcPr>
            <w:tcW w:w="1893" w:type="dxa"/>
            <w:vMerge w:val="continue"/>
            <w:vAlign w:val="center"/>
          </w:tcPr>
          <w:p w14:paraId="50AC9B31">
            <w:pPr>
              <w:pStyle w:val="179"/>
              <w:rPr>
                <w:kern w:val="0"/>
              </w:rPr>
            </w:pPr>
          </w:p>
        </w:tc>
      </w:tr>
      <w:tr w14:paraId="5822DB96">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539" w:type="dxa"/>
            <w:vAlign w:val="center"/>
          </w:tcPr>
          <w:p w14:paraId="15937D57">
            <w:pPr>
              <w:pStyle w:val="179"/>
              <w:rPr>
                <w:kern w:val="0"/>
                <w:lang w:val="zh-CN"/>
              </w:rPr>
            </w:pPr>
            <w:r>
              <w:rPr>
                <w:kern w:val="0"/>
                <w:lang w:val="zh-CN"/>
              </w:rPr>
              <w:t>7</w:t>
            </w:r>
          </w:p>
        </w:tc>
        <w:tc>
          <w:tcPr>
            <w:tcW w:w="2121" w:type="dxa"/>
            <w:noWrap/>
            <w:vAlign w:val="center"/>
          </w:tcPr>
          <w:p w14:paraId="18539812">
            <w:pPr>
              <w:pStyle w:val="179"/>
              <w:rPr>
                <w:kern w:val="0"/>
                <w:lang w:val="zh-CN"/>
              </w:rPr>
            </w:pPr>
            <w:r>
              <w:rPr>
                <w:kern w:val="0"/>
                <w:lang w:val="zh-CN"/>
              </w:rPr>
              <w:t>114.7</w:t>
            </w:r>
          </w:p>
        </w:tc>
        <w:tc>
          <w:tcPr>
            <w:tcW w:w="1134" w:type="dxa"/>
            <w:vMerge w:val="continue"/>
            <w:vAlign w:val="center"/>
          </w:tcPr>
          <w:p w14:paraId="1A60C59E">
            <w:pPr>
              <w:pStyle w:val="179"/>
              <w:rPr>
                <w:kern w:val="0"/>
                <w:lang w:val="zh-CN"/>
              </w:rPr>
            </w:pPr>
          </w:p>
        </w:tc>
        <w:tc>
          <w:tcPr>
            <w:tcW w:w="1701" w:type="dxa"/>
            <w:noWrap/>
            <w:vAlign w:val="center"/>
          </w:tcPr>
          <w:p w14:paraId="4EFC3A82">
            <w:pPr>
              <w:pStyle w:val="179"/>
              <w:rPr>
                <w:kern w:val="0"/>
                <w:lang w:val="zh-CN"/>
              </w:rPr>
            </w:pPr>
            <w:r>
              <w:rPr>
                <w:kern w:val="0"/>
                <w:lang w:val="zh-CN"/>
              </w:rPr>
              <w:t>22.5</w:t>
            </w:r>
          </w:p>
        </w:tc>
        <w:tc>
          <w:tcPr>
            <w:tcW w:w="1134" w:type="dxa"/>
            <w:vMerge w:val="continue"/>
            <w:vAlign w:val="center"/>
          </w:tcPr>
          <w:p w14:paraId="617DB344">
            <w:pPr>
              <w:pStyle w:val="179"/>
              <w:rPr>
                <w:kern w:val="0"/>
              </w:rPr>
            </w:pPr>
          </w:p>
        </w:tc>
        <w:tc>
          <w:tcPr>
            <w:tcW w:w="1893" w:type="dxa"/>
            <w:vMerge w:val="continue"/>
            <w:vAlign w:val="center"/>
          </w:tcPr>
          <w:p w14:paraId="3BBD5361">
            <w:pPr>
              <w:pStyle w:val="179"/>
              <w:rPr>
                <w:kern w:val="0"/>
              </w:rPr>
            </w:pPr>
          </w:p>
        </w:tc>
      </w:tr>
      <w:tr w14:paraId="74E58517">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539" w:type="dxa"/>
            <w:vAlign w:val="center"/>
          </w:tcPr>
          <w:p w14:paraId="582EEB94">
            <w:pPr>
              <w:pStyle w:val="179"/>
              <w:rPr>
                <w:kern w:val="0"/>
                <w:lang w:val="zh-CN"/>
              </w:rPr>
            </w:pPr>
            <w:r>
              <w:rPr>
                <w:kern w:val="0"/>
                <w:lang w:val="zh-CN"/>
              </w:rPr>
              <w:t>8</w:t>
            </w:r>
          </w:p>
        </w:tc>
        <w:tc>
          <w:tcPr>
            <w:tcW w:w="2121" w:type="dxa"/>
            <w:noWrap/>
            <w:vAlign w:val="center"/>
          </w:tcPr>
          <w:p w14:paraId="73BE3E6F">
            <w:pPr>
              <w:pStyle w:val="179"/>
              <w:rPr>
                <w:kern w:val="0"/>
                <w:lang w:val="zh-CN"/>
              </w:rPr>
            </w:pPr>
            <w:r>
              <w:rPr>
                <w:kern w:val="0"/>
                <w:lang w:val="zh-CN"/>
              </w:rPr>
              <w:t>179.8</w:t>
            </w:r>
          </w:p>
        </w:tc>
        <w:tc>
          <w:tcPr>
            <w:tcW w:w="1134" w:type="dxa"/>
            <w:vMerge w:val="continue"/>
            <w:vAlign w:val="center"/>
          </w:tcPr>
          <w:p w14:paraId="5CB70CA1">
            <w:pPr>
              <w:pStyle w:val="179"/>
              <w:rPr>
                <w:kern w:val="0"/>
                <w:lang w:val="zh-CN"/>
              </w:rPr>
            </w:pPr>
          </w:p>
        </w:tc>
        <w:tc>
          <w:tcPr>
            <w:tcW w:w="1701" w:type="dxa"/>
            <w:noWrap/>
            <w:vAlign w:val="center"/>
          </w:tcPr>
          <w:p w14:paraId="0BA5863E">
            <w:pPr>
              <w:pStyle w:val="179"/>
              <w:rPr>
                <w:kern w:val="0"/>
                <w:lang w:val="zh-CN"/>
              </w:rPr>
            </w:pPr>
            <w:r>
              <w:rPr>
                <w:kern w:val="0"/>
                <w:lang w:val="zh-CN"/>
              </w:rPr>
              <w:t>21.9</w:t>
            </w:r>
          </w:p>
        </w:tc>
        <w:tc>
          <w:tcPr>
            <w:tcW w:w="1134" w:type="dxa"/>
            <w:vMerge w:val="continue"/>
            <w:vAlign w:val="center"/>
          </w:tcPr>
          <w:p w14:paraId="7B667783">
            <w:pPr>
              <w:pStyle w:val="179"/>
              <w:rPr>
                <w:kern w:val="0"/>
              </w:rPr>
            </w:pPr>
          </w:p>
        </w:tc>
        <w:tc>
          <w:tcPr>
            <w:tcW w:w="1893" w:type="dxa"/>
            <w:vMerge w:val="continue"/>
            <w:vAlign w:val="center"/>
          </w:tcPr>
          <w:p w14:paraId="4C4FBB69">
            <w:pPr>
              <w:pStyle w:val="179"/>
              <w:rPr>
                <w:kern w:val="0"/>
              </w:rPr>
            </w:pPr>
          </w:p>
        </w:tc>
      </w:tr>
      <w:tr w14:paraId="34CAEC04">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539" w:type="dxa"/>
            <w:vAlign w:val="center"/>
          </w:tcPr>
          <w:p w14:paraId="7B53881B">
            <w:pPr>
              <w:pStyle w:val="179"/>
              <w:rPr>
                <w:kern w:val="0"/>
                <w:lang w:val="zh-CN"/>
              </w:rPr>
            </w:pPr>
            <w:r>
              <w:rPr>
                <w:kern w:val="0"/>
                <w:lang w:val="zh-CN"/>
              </w:rPr>
              <w:t>9</w:t>
            </w:r>
          </w:p>
        </w:tc>
        <w:tc>
          <w:tcPr>
            <w:tcW w:w="2121" w:type="dxa"/>
            <w:noWrap/>
            <w:vAlign w:val="center"/>
          </w:tcPr>
          <w:p w14:paraId="56A22A67">
            <w:pPr>
              <w:pStyle w:val="179"/>
              <w:rPr>
                <w:kern w:val="0"/>
                <w:lang w:val="zh-CN"/>
              </w:rPr>
            </w:pPr>
            <w:r>
              <w:rPr>
                <w:kern w:val="0"/>
                <w:lang w:val="zh-CN"/>
              </w:rPr>
              <w:t>142.3</w:t>
            </w:r>
          </w:p>
        </w:tc>
        <w:tc>
          <w:tcPr>
            <w:tcW w:w="1134" w:type="dxa"/>
            <w:vMerge w:val="continue"/>
            <w:vAlign w:val="center"/>
          </w:tcPr>
          <w:p w14:paraId="1BA77002">
            <w:pPr>
              <w:pStyle w:val="179"/>
              <w:rPr>
                <w:kern w:val="0"/>
                <w:lang w:val="zh-CN"/>
              </w:rPr>
            </w:pPr>
          </w:p>
        </w:tc>
        <w:tc>
          <w:tcPr>
            <w:tcW w:w="1701" w:type="dxa"/>
            <w:noWrap/>
            <w:vAlign w:val="center"/>
          </w:tcPr>
          <w:p w14:paraId="52627832">
            <w:pPr>
              <w:pStyle w:val="179"/>
              <w:rPr>
                <w:kern w:val="0"/>
                <w:lang w:val="zh-CN"/>
              </w:rPr>
            </w:pPr>
            <w:r>
              <w:rPr>
                <w:kern w:val="0"/>
                <w:lang w:val="zh-CN"/>
              </w:rPr>
              <w:t>15.3</w:t>
            </w:r>
          </w:p>
        </w:tc>
        <w:tc>
          <w:tcPr>
            <w:tcW w:w="1134" w:type="dxa"/>
            <w:vMerge w:val="continue"/>
            <w:vAlign w:val="center"/>
          </w:tcPr>
          <w:p w14:paraId="25303A35">
            <w:pPr>
              <w:pStyle w:val="179"/>
              <w:rPr>
                <w:kern w:val="0"/>
              </w:rPr>
            </w:pPr>
          </w:p>
        </w:tc>
        <w:tc>
          <w:tcPr>
            <w:tcW w:w="1893" w:type="dxa"/>
            <w:vMerge w:val="continue"/>
            <w:vAlign w:val="center"/>
          </w:tcPr>
          <w:p w14:paraId="4B259CA0">
            <w:pPr>
              <w:pStyle w:val="179"/>
              <w:rPr>
                <w:kern w:val="0"/>
              </w:rPr>
            </w:pPr>
          </w:p>
        </w:tc>
      </w:tr>
      <w:tr w14:paraId="2249C05C">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539" w:type="dxa"/>
            <w:vAlign w:val="center"/>
          </w:tcPr>
          <w:p w14:paraId="12CCED05">
            <w:pPr>
              <w:pStyle w:val="179"/>
              <w:rPr>
                <w:kern w:val="0"/>
                <w:lang w:val="zh-CN"/>
              </w:rPr>
            </w:pPr>
            <w:r>
              <w:rPr>
                <w:kern w:val="0"/>
                <w:lang w:val="zh-CN"/>
              </w:rPr>
              <w:t>10</w:t>
            </w:r>
          </w:p>
        </w:tc>
        <w:tc>
          <w:tcPr>
            <w:tcW w:w="2121" w:type="dxa"/>
            <w:noWrap/>
            <w:vAlign w:val="center"/>
          </w:tcPr>
          <w:p w14:paraId="70616206">
            <w:pPr>
              <w:pStyle w:val="179"/>
              <w:rPr>
                <w:kern w:val="0"/>
                <w:lang w:val="zh-CN"/>
              </w:rPr>
            </w:pPr>
            <w:r>
              <w:rPr>
                <w:kern w:val="0"/>
                <w:lang w:val="zh-CN"/>
              </w:rPr>
              <w:t>42.0</w:t>
            </w:r>
          </w:p>
        </w:tc>
        <w:tc>
          <w:tcPr>
            <w:tcW w:w="1134" w:type="dxa"/>
            <w:vMerge w:val="continue"/>
            <w:vAlign w:val="center"/>
          </w:tcPr>
          <w:p w14:paraId="22D59829">
            <w:pPr>
              <w:pStyle w:val="179"/>
              <w:rPr>
                <w:kern w:val="0"/>
                <w:lang w:val="zh-CN"/>
              </w:rPr>
            </w:pPr>
          </w:p>
        </w:tc>
        <w:tc>
          <w:tcPr>
            <w:tcW w:w="1701" w:type="dxa"/>
            <w:noWrap/>
            <w:vAlign w:val="center"/>
          </w:tcPr>
          <w:p w14:paraId="57568CCF">
            <w:pPr>
              <w:pStyle w:val="179"/>
              <w:rPr>
                <w:kern w:val="0"/>
                <w:lang w:val="zh-CN"/>
              </w:rPr>
            </w:pPr>
            <w:r>
              <w:rPr>
                <w:kern w:val="0"/>
                <w:lang w:val="zh-CN"/>
              </w:rPr>
              <w:t>6.4</w:t>
            </w:r>
          </w:p>
        </w:tc>
        <w:tc>
          <w:tcPr>
            <w:tcW w:w="1134" w:type="dxa"/>
            <w:vMerge w:val="continue"/>
            <w:vAlign w:val="center"/>
          </w:tcPr>
          <w:p w14:paraId="79E598A9">
            <w:pPr>
              <w:pStyle w:val="179"/>
              <w:rPr>
                <w:kern w:val="0"/>
              </w:rPr>
            </w:pPr>
          </w:p>
        </w:tc>
        <w:tc>
          <w:tcPr>
            <w:tcW w:w="1893" w:type="dxa"/>
            <w:vMerge w:val="continue"/>
            <w:vAlign w:val="center"/>
          </w:tcPr>
          <w:p w14:paraId="7014A164">
            <w:pPr>
              <w:pStyle w:val="179"/>
              <w:rPr>
                <w:kern w:val="0"/>
              </w:rPr>
            </w:pPr>
          </w:p>
        </w:tc>
      </w:tr>
      <w:tr w14:paraId="20F13478">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539" w:type="dxa"/>
            <w:vAlign w:val="center"/>
          </w:tcPr>
          <w:p w14:paraId="2C3BBE5F">
            <w:pPr>
              <w:pStyle w:val="179"/>
              <w:rPr>
                <w:kern w:val="0"/>
                <w:lang w:val="zh-CN"/>
              </w:rPr>
            </w:pPr>
            <w:r>
              <w:rPr>
                <w:kern w:val="0"/>
                <w:lang w:val="zh-CN"/>
              </w:rPr>
              <w:t>11</w:t>
            </w:r>
          </w:p>
        </w:tc>
        <w:tc>
          <w:tcPr>
            <w:tcW w:w="2121" w:type="dxa"/>
            <w:noWrap/>
            <w:vAlign w:val="center"/>
          </w:tcPr>
          <w:p w14:paraId="23902857">
            <w:pPr>
              <w:pStyle w:val="179"/>
              <w:rPr>
                <w:kern w:val="0"/>
                <w:lang w:val="zh-CN"/>
              </w:rPr>
            </w:pPr>
            <w:r>
              <w:rPr>
                <w:kern w:val="0"/>
                <w:lang w:val="zh-CN"/>
              </w:rPr>
              <w:t>42.5</w:t>
            </w:r>
          </w:p>
        </w:tc>
        <w:tc>
          <w:tcPr>
            <w:tcW w:w="1134" w:type="dxa"/>
            <w:vMerge w:val="continue"/>
            <w:vAlign w:val="center"/>
          </w:tcPr>
          <w:p w14:paraId="027A3389">
            <w:pPr>
              <w:pStyle w:val="179"/>
              <w:rPr>
                <w:kern w:val="0"/>
                <w:lang w:val="zh-CN"/>
              </w:rPr>
            </w:pPr>
          </w:p>
        </w:tc>
        <w:tc>
          <w:tcPr>
            <w:tcW w:w="1701" w:type="dxa"/>
            <w:noWrap/>
            <w:vAlign w:val="center"/>
          </w:tcPr>
          <w:p w14:paraId="42BEE0C7">
            <w:pPr>
              <w:pStyle w:val="179"/>
              <w:rPr>
                <w:kern w:val="0"/>
                <w:lang w:val="zh-CN"/>
              </w:rPr>
            </w:pPr>
            <w:r>
              <w:rPr>
                <w:kern w:val="0"/>
                <w:lang w:val="zh-CN"/>
              </w:rPr>
              <w:t>-3.5</w:t>
            </w:r>
          </w:p>
        </w:tc>
        <w:tc>
          <w:tcPr>
            <w:tcW w:w="1134" w:type="dxa"/>
            <w:vMerge w:val="continue"/>
            <w:vAlign w:val="center"/>
          </w:tcPr>
          <w:p w14:paraId="311DBE2B">
            <w:pPr>
              <w:pStyle w:val="179"/>
              <w:rPr>
                <w:kern w:val="0"/>
              </w:rPr>
            </w:pPr>
          </w:p>
        </w:tc>
        <w:tc>
          <w:tcPr>
            <w:tcW w:w="1893" w:type="dxa"/>
            <w:vMerge w:val="continue"/>
            <w:vAlign w:val="center"/>
          </w:tcPr>
          <w:p w14:paraId="6E7BE23E">
            <w:pPr>
              <w:pStyle w:val="179"/>
              <w:rPr>
                <w:kern w:val="0"/>
              </w:rPr>
            </w:pPr>
          </w:p>
        </w:tc>
      </w:tr>
      <w:tr w14:paraId="1B293046">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539" w:type="dxa"/>
            <w:vAlign w:val="center"/>
          </w:tcPr>
          <w:p w14:paraId="119F691B">
            <w:pPr>
              <w:pStyle w:val="179"/>
              <w:rPr>
                <w:kern w:val="0"/>
                <w:lang w:val="zh-CN"/>
              </w:rPr>
            </w:pPr>
            <w:r>
              <w:rPr>
                <w:kern w:val="0"/>
                <w:lang w:val="zh-CN"/>
              </w:rPr>
              <w:t>12</w:t>
            </w:r>
          </w:p>
        </w:tc>
        <w:tc>
          <w:tcPr>
            <w:tcW w:w="2121" w:type="dxa"/>
            <w:noWrap/>
            <w:vAlign w:val="center"/>
          </w:tcPr>
          <w:p w14:paraId="5B5CA1BC">
            <w:pPr>
              <w:pStyle w:val="179"/>
              <w:rPr>
                <w:kern w:val="0"/>
                <w:lang w:val="zh-CN"/>
              </w:rPr>
            </w:pPr>
            <w:r>
              <w:rPr>
                <w:kern w:val="0"/>
                <w:lang w:val="zh-CN"/>
              </w:rPr>
              <w:t>0.1</w:t>
            </w:r>
          </w:p>
        </w:tc>
        <w:tc>
          <w:tcPr>
            <w:tcW w:w="1134" w:type="dxa"/>
            <w:vMerge w:val="continue"/>
            <w:vAlign w:val="center"/>
          </w:tcPr>
          <w:p w14:paraId="55C0FBC9">
            <w:pPr>
              <w:pStyle w:val="179"/>
              <w:rPr>
                <w:kern w:val="0"/>
                <w:lang w:val="zh-CN"/>
              </w:rPr>
            </w:pPr>
          </w:p>
        </w:tc>
        <w:tc>
          <w:tcPr>
            <w:tcW w:w="1701" w:type="dxa"/>
            <w:noWrap/>
            <w:vAlign w:val="center"/>
          </w:tcPr>
          <w:p w14:paraId="64EDBE84">
            <w:pPr>
              <w:pStyle w:val="179"/>
              <w:rPr>
                <w:kern w:val="0"/>
                <w:lang w:val="zh-CN"/>
              </w:rPr>
            </w:pPr>
            <w:r>
              <w:rPr>
                <w:kern w:val="0"/>
                <w:lang w:val="zh-CN"/>
              </w:rPr>
              <w:t>-14.5</w:t>
            </w:r>
          </w:p>
        </w:tc>
        <w:tc>
          <w:tcPr>
            <w:tcW w:w="1134" w:type="dxa"/>
            <w:vMerge w:val="continue"/>
            <w:vAlign w:val="center"/>
          </w:tcPr>
          <w:p w14:paraId="2751A2E4">
            <w:pPr>
              <w:pStyle w:val="179"/>
              <w:rPr>
                <w:kern w:val="0"/>
              </w:rPr>
            </w:pPr>
          </w:p>
        </w:tc>
        <w:tc>
          <w:tcPr>
            <w:tcW w:w="1893" w:type="dxa"/>
            <w:vMerge w:val="continue"/>
            <w:vAlign w:val="center"/>
          </w:tcPr>
          <w:p w14:paraId="00A88253">
            <w:pPr>
              <w:pStyle w:val="179"/>
              <w:rPr>
                <w:kern w:val="0"/>
              </w:rPr>
            </w:pPr>
          </w:p>
        </w:tc>
      </w:tr>
    </w:tbl>
    <w:p w14:paraId="0456E565">
      <w:pPr>
        <w:pStyle w:val="178"/>
      </w:pPr>
    </w:p>
    <w:p w14:paraId="2913957A">
      <w:pPr>
        <w:pStyle w:val="179"/>
      </w:pPr>
    </w:p>
    <w:p w14:paraId="298CC756">
      <w:pPr>
        <w:pStyle w:val="179"/>
      </w:pPr>
    </w:p>
    <w:p w14:paraId="58FB05C7">
      <w:pPr>
        <w:pStyle w:val="178"/>
      </w:pPr>
    </w:p>
    <w:p w14:paraId="6562B229">
      <w:pPr>
        <w:pStyle w:val="178"/>
      </w:pPr>
      <w:r>
        <w:t>表</w:t>
      </w:r>
      <w:r>
        <w:rPr>
          <w:rFonts w:hint="eastAsia"/>
        </w:rPr>
        <w:t>4.3-23</w:t>
      </w:r>
      <w:r>
        <w:t xml:space="preserve">  地球上生态系统按生产力划分等级表</w:t>
      </w:r>
    </w:p>
    <w:tbl>
      <w:tblPr>
        <w:tblStyle w:val="36"/>
        <w:tblW w:w="4995" w:type="pct"/>
        <w:jc w:val="center"/>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Layout w:type="fixed"/>
        <w:tblCellMar>
          <w:top w:w="0" w:type="dxa"/>
          <w:left w:w="108" w:type="dxa"/>
          <w:bottom w:w="0" w:type="dxa"/>
          <w:right w:w="108" w:type="dxa"/>
        </w:tblCellMar>
      </w:tblPr>
      <w:tblGrid>
        <w:gridCol w:w="668"/>
        <w:gridCol w:w="671"/>
        <w:gridCol w:w="1725"/>
        <w:gridCol w:w="1452"/>
        <w:gridCol w:w="2007"/>
        <w:gridCol w:w="1941"/>
      </w:tblGrid>
      <w:tr w14:paraId="1D477550">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tblHeader/>
          <w:jc w:val="center"/>
        </w:trPr>
        <w:tc>
          <w:tcPr>
            <w:tcW w:w="3081" w:type="dxa"/>
            <w:gridSpan w:val="3"/>
            <w:vAlign w:val="center"/>
          </w:tcPr>
          <w:p w14:paraId="296A4AD4">
            <w:pPr>
              <w:pStyle w:val="179"/>
              <w:rPr>
                <w:b/>
                <w:lang w:val="zh-CN"/>
              </w:rPr>
            </w:pPr>
            <w:r>
              <w:rPr>
                <w:b/>
                <w:lang w:val="zh-CN"/>
              </w:rPr>
              <w:t>等级名称</w:t>
            </w:r>
          </w:p>
        </w:tc>
        <w:tc>
          <w:tcPr>
            <w:tcW w:w="1460" w:type="dxa"/>
            <w:vAlign w:val="center"/>
          </w:tcPr>
          <w:p w14:paraId="641BA1AD">
            <w:pPr>
              <w:pStyle w:val="179"/>
              <w:rPr>
                <w:b/>
                <w:lang w:val="zh-CN"/>
              </w:rPr>
            </w:pPr>
            <w:r>
              <w:rPr>
                <w:b/>
                <w:lang w:val="zh-CN"/>
              </w:rPr>
              <w:t>生产力（t/hm</w:t>
            </w:r>
            <w:r>
              <w:rPr>
                <w:b/>
                <w:vertAlign w:val="superscript"/>
                <w:lang w:val="zh-CN"/>
              </w:rPr>
              <w:t>2</w:t>
            </w:r>
            <w:r>
              <w:rPr>
                <w:b/>
                <w:lang w:val="zh-CN"/>
              </w:rPr>
              <w:t>·a）</w:t>
            </w:r>
          </w:p>
        </w:tc>
        <w:tc>
          <w:tcPr>
            <w:tcW w:w="2019" w:type="dxa"/>
            <w:vAlign w:val="center"/>
          </w:tcPr>
          <w:p w14:paraId="783D23F5">
            <w:pPr>
              <w:pStyle w:val="179"/>
              <w:rPr>
                <w:b/>
                <w:lang w:val="zh-CN"/>
              </w:rPr>
            </w:pPr>
            <w:r>
              <w:rPr>
                <w:b/>
                <w:lang w:val="zh-CN"/>
              </w:rPr>
              <w:t>代表性生态系统</w:t>
            </w:r>
          </w:p>
        </w:tc>
        <w:tc>
          <w:tcPr>
            <w:tcW w:w="1953" w:type="dxa"/>
            <w:vAlign w:val="center"/>
          </w:tcPr>
          <w:p w14:paraId="2575D619">
            <w:pPr>
              <w:pStyle w:val="179"/>
              <w:rPr>
                <w:b/>
                <w:lang w:val="zh-CN"/>
              </w:rPr>
            </w:pPr>
            <w:r>
              <w:rPr>
                <w:b/>
                <w:lang w:val="zh-CN"/>
              </w:rPr>
              <w:t>备注</w:t>
            </w:r>
          </w:p>
        </w:tc>
      </w:tr>
      <w:tr w14:paraId="7AB956C0">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672" w:type="dxa"/>
            <w:vAlign w:val="center"/>
          </w:tcPr>
          <w:p w14:paraId="0824D35C">
            <w:pPr>
              <w:pStyle w:val="179"/>
              <w:rPr>
                <w:lang w:val="zh-CN"/>
              </w:rPr>
            </w:pPr>
            <w:r>
              <w:rPr>
                <w:lang w:val="zh-CN"/>
              </w:rPr>
              <w:t>1</w:t>
            </w:r>
          </w:p>
        </w:tc>
        <w:tc>
          <w:tcPr>
            <w:tcW w:w="2409" w:type="dxa"/>
            <w:gridSpan w:val="2"/>
            <w:vAlign w:val="center"/>
          </w:tcPr>
          <w:p w14:paraId="0828F8C9">
            <w:pPr>
              <w:pStyle w:val="179"/>
              <w:rPr>
                <w:lang w:val="zh-CN"/>
              </w:rPr>
            </w:pPr>
            <w:r>
              <w:rPr>
                <w:lang w:val="zh-CN"/>
              </w:rPr>
              <w:t>最高等级</w:t>
            </w:r>
          </w:p>
        </w:tc>
        <w:tc>
          <w:tcPr>
            <w:tcW w:w="1460" w:type="dxa"/>
            <w:vAlign w:val="center"/>
          </w:tcPr>
          <w:p w14:paraId="4647F577">
            <w:pPr>
              <w:pStyle w:val="179"/>
              <w:rPr>
                <w:lang w:val="zh-CN"/>
              </w:rPr>
            </w:pPr>
            <w:r>
              <w:rPr>
                <w:lang w:val="zh-CN"/>
              </w:rPr>
              <w:t>36.5～73</w:t>
            </w:r>
          </w:p>
        </w:tc>
        <w:tc>
          <w:tcPr>
            <w:tcW w:w="2019" w:type="dxa"/>
            <w:vAlign w:val="center"/>
          </w:tcPr>
          <w:p w14:paraId="379F0A59">
            <w:pPr>
              <w:pStyle w:val="179"/>
              <w:rPr>
                <w:lang w:val="zh-CN"/>
              </w:rPr>
            </w:pPr>
            <w:r>
              <w:rPr>
                <w:lang w:val="zh-CN"/>
              </w:rPr>
              <w:t>农业高产田、河漫滩、三角洲、珊瑚礁、红树林</w:t>
            </w:r>
          </w:p>
        </w:tc>
        <w:tc>
          <w:tcPr>
            <w:tcW w:w="1953" w:type="dxa"/>
            <w:vAlign w:val="center"/>
          </w:tcPr>
          <w:p w14:paraId="65EA4ADF">
            <w:pPr>
              <w:pStyle w:val="179"/>
              <w:rPr>
                <w:lang w:val="zh-CN"/>
              </w:rPr>
            </w:pPr>
            <w:r>
              <w:rPr>
                <w:rFonts w:hint="eastAsia"/>
                <w:lang w:val="zh-CN"/>
              </w:rPr>
              <w:t>-</w:t>
            </w:r>
          </w:p>
        </w:tc>
      </w:tr>
      <w:tr w14:paraId="276CB3B2">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672" w:type="dxa"/>
            <w:vAlign w:val="center"/>
          </w:tcPr>
          <w:p w14:paraId="20148701">
            <w:pPr>
              <w:pStyle w:val="179"/>
              <w:rPr>
                <w:lang w:val="zh-CN"/>
              </w:rPr>
            </w:pPr>
            <w:r>
              <w:rPr>
                <w:lang w:val="zh-CN"/>
              </w:rPr>
              <w:t>2</w:t>
            </w:r>
          </w:p>
        </w:tc>
        <w:tc>
          <w:tcPr>
            <w:tcW w:w="2409" w:type="dxa"/>
            <w:gridSpan w:val="2"/>
            <w:vAlign w:val="center"/>
          </w:tcPr>
          <w:p w14:paraId="097796A0">
            <w:pPr>
              <w:pStyle w:val="179"/>
              <w:rPr>
                <w:lang w:val="zh-CN"/>
              </w:rPr>
            </w:pPr>
            <w:r>
              <w:rPr>
                <w:lang w:val="zh-CN"/>
              </w:rPr>
              <w:t>较高等级</w:t>
            </w:r>
          </w:p>
        </w:tc>
        <w:tc>
          <w:tcPr>
            <w:tcW w:w="1460" w:type="dxa"/>
            <w:vAlign w:val="center"/>
          </w:tcPr>
          <w:p w14:paraId="23CC3199">
            <w:pPr>
              <w:pStyle w:val="179"/>
              <w:rPr>
                <w:lang w:val="zh-CN"/>
              </w:rPr>
            </w:pPr>
            <w:r>
              <w:rPr>
                <w:lang w:val="zh-CN"/>
              </w:rPr>
              <w:t>10.95～36.5</w:t>
            </w:r>
          </w:p>
        </w:tc>
        <w:tc>
          <w:tcPr>
            <w:tcW w:w="2019" w:type="dxa"/>
            <w:vAlign w:val="center"/>
          </w:tcPr>
          <w:p w14:paraId="7D1BC23D">
            <w:pPr>
              <w:pStyle w:val="179"/>
              <w:rPr>
                <w:lang w:val="zh-CN"/>
              </w:rPr>
            </w:pPr>
            <w:r>
              <w:rPr>
                <w:lang w:val="zh-CN"/>
              </w:rPr>
              <w:t>热带雨林、农耕地和浅湖</w:t>
            </w:r>
          </w:p>
        </w:tc>
        <w:tc>
          <w:tcPr>
            <w:tcW w:w="1953" w:type="dxa"/>
            <w:vAlign w:val="center"/>
          </w:tcPr>
          <w:p w14:paraId="627F1017">
            <w:pPr>
              <w:pStyle w:val="179"/>
              <w:rPr>
                <w:lang w:val="zh-CN"/>
              </w:rPr>
            </w:pPr>
            <w:r>
              <w:rPr>
                <w:rFonts w:hint="eastAsia"/>
                <w:lang w:val="zh-CN"/>
              </w:rPr>
              <w:t>-</w:t>
            </w:r>
          </w:p>
        </w:tc>
      </w:tr>
      <w:tr w14:paraId="4CDEB01C">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672" w:type="dxa"/>
            <w:vMerge w:val="restart"/>
            <w:vAlign w:val="center"/>
          </w:tcPr>
          <w:p w14:paraId="4806959C">
            <w:pPr>
              <w:pStyle w:val="179"/>
              <w:rPr>
                <w:lang w:val="zh-CN"/>
              </w:rPr>
            </w:pPr>
            <w:r>
              <w:rPr>
                <w:lang w:val="zh-CN"/>
              </w:rPr>
              <w:t>3</w:t>
            </w:r>
          </w:p>
        </w:tc>
        <w:tc>
          <w:tcPr>
            <w:tcW w:w="674" w:type="dxa"/>
            <w:vMerge w:val="restart"/>
            <w:vAlign w:val="center"/>
          </w:tcPr>
          <w:p w14:paraId="7382BE0E">
            <w:pPr>
              <w:pStyle w:val="179"/>
              <w:rPr>
                <w:lang w:val="zh-CN"/>
              </w:rPr>
            </w:pPr>
            <w:r>
              <w:rPr>
                <w:lang w:val="zh-CN"/>
              </w:rPr>
              <w:t>较低等级</w:t>
            </w:r>
          </w:p>
        </w:tc>
        <w:tc>
          <w:tcPr>
            <w:tcW w:w="1735" w:type="dxa"/>
            <w:vAlign w:val="center"/>
          </w:tcPr>
          <w:p w14:paraId="53882CA9">
            <w:pPr>
              <w:pStyle w:val="179"/>
              <w:rPr>
                <w:lang w:val="zh-CN"/>
              </w:rPr>
            </w:pPr>
            <w:r>
              <w:rPr>
                <w:lang w:val="zh-CN"/>
              </w:rPr>
              <w:t>第一亚等级</w:t>
            </w:r>
          </w:p>
        </w:tc>
        <w:tc>
          <w:tcPr>
            <w:tcW w:w="1460" w:type="dxa"/>
            <w:vAlign w:val="center"/>
          </w:tcPr>
          <w:p w14:paraId="4BA4BCAF">
            <w:pPr>
              <w:pStyle w:val="179"/>
              <w:rPr>
                <w:lang w:val="zh-CN"/>
              </w:rPr>
            </w:pPr>
            <w:r>
              <w:rPr>
                <w:lang w:val="zh-CN"/>
              </w:rPr>
              <w:t>8～10.95</w:t>
            </w:r>
          </w:p>
        </w:tc>
        <w:tc>
          <w:tcPr>
            <w:tcW w:w="2019" w:type="dxa"/>
            <w:vAlign w:val="center"/>
          </w:tcPr>
          <w:p w14:paraId="57850CE3">
            <w:pPr>
              <w:pStyle w:val="179"/>
              <w:rPr>
                <w:lang w:val="zh-CN"/>
              </w:rPr>
            </w:pPr>
            <w:r>
              <w:rPr>
                <w:lang w:val="zh-CN"/>
              </w:rPr>
              <w:t>温带阔叶林（平均生产力约为8.5t/hm</w:t>
            </w:r>
            <w:r>
              <w:rPr>
                <w:vertAlign w:val="superscript"/>
                <w:lang w:val="zh-CN"/>
              </w:rPr>
              <w:t>2</w:t>
            </w:r>
            <w:r>
              <w:rPr>
                <w:lang w:val="zh-CN"/>
              </w:rPr>
              <w:t>·a</w:t>
            </w:r>
          </w:p>
        </w:tc>
        <w:tc>
          <w:tcPr>
            <w:tcW w:w="1953" w:type="dxa"/>
            <w:vMerge w:val="restart"/>
            <w:vAlign w:val="center"/>
          </w:tcPr>
          <w:p w14:paraId="5310B3D7">
            <w:pPr>
              <w:pStyle w:val="179"/>
              <w:rPr>
                <w:lang w:val="zh-CN"/>
              </w:rPr>
            </w:pPr>
            <w:r>
              <w:rPr>
                <w:lang w:val="zh-CN"/>
              </w:rPr>
              <w:t>该等级生产力范围是1.82～10.95t/hm</w:t>
            </w:r>
            <w:r>
              <w:rPr>
                <w:vertAlign w:val="superscript"/>
                <w:lang w:val="zh-CN"/>
              </w:rPr>
              <w:t>2</w:t>
            </w:r>
            <w:r>
              <w:rPr>
                <w:lang w:val="zh-CN"/>
              </w:rPr>
              <w:t>·a，此范围比较宽泛，指导意义不强，因此本评价以温带阔叶林、疏林灌丛和温带草原三个比较典型的生态系统的生产力为代表，将该等级进一步细化为3个亚等级</w:t>
            </w:r>
          </w:p>
        </w:tc>
      </w:tr>
      <w:tr w14:paraId="6347B981">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672" w:type="dxa"/>
            <w:vMerge w:val="continue"/>
            <w:vAlign w:val="center"/>
          </w:tcPr>
          <w:p w14:paraId="5F6C27CB">
            <w:pPr>
              <w:pStyle w:val="179"/>
            </w:pPr>
          </w:p>
        </w:tc>
        <w:tc>
          <w:tcPr>
            <w:tcW w:w="674" w:type="dxa"/>
            <w:vMerge w:val="continue"/>
            <w:vAlign w:val="center"/>
          </w:tcPr>
          <w:p w14:paraId="7EF3E694">
            <w:pPr>
              <w:pStyle w:val="179"/>
              <w:rPr>
                <w:lang w:val="zh-CN"/>
              </w:rPr>
            </w:pPr>
          </w:p>
        </w:tc>
        <w:tc>
          <w:tcPr>
            <w:tcW w:w="1735" w:type="dxa"/>
            <w:vAlign w:val="center"/>
          </w:tcPr>
          <w:p w14:paraId="1D582CF4">
            <w:pPr>
              <w:pStyle w:val="179"/>
              <w:rPr>
                <w:lang w:val="zh-CN"/>
              </w:rPr>
            </w:pPr>
            <w:r>
              <w:rPr>
                <w:lang w:val="zh-CN"/>
              </w:rPr>
              <w:t>第二亚等级</w:t>
            </w:r>
          </w:p>
        </w:tc>
        <w:tc>
          <w:tcPr>
            <w:tcW w:w="1460" w:type="dxa"/>
            <w:vAlign w:val="center"/>
          </w:tcPr>
          <w:p w14:paraId="28D0C669">
            <w:pPr>
              <w:pStyle w:val="179"/>
              <w:rPr>
                <w:lang w:val="zh-CN"/>
              </w:rPr>
            </w:pPr>
            <w:r>
              <w:rPr>
                <w:lang w:val="zh-CN"/>
              </w:rPr>
              <w:t>6～8</w:t>
            </w:r>
          </w:p>
        </w:tc>
        <w:tc>
          <w:tcPr>
            <w:tcW w:w="2019" w:type="dxa"/>
            <w:vAlign w:val="center"/>
          </w:tcPr>
          <w:p w14:paraId="7435EF0F">
            <w:pPr>
              <w:pStyle w:val="179"/>
              <w:rPr>
                <w:lang w:val="zh-CN"/>
              </w:rPr>
            </w:pPr>
            <w:r>
              <w:rPr>
                <w:lang w:val="zh-CN"/>
              </w:rPr>
              <w:t>疏林灌丛（平均生产力约为6t/hm</w:t>
            </w:r>
            <w:r>
              <w:rPr>
                <w:vertAlign w:val="superscript"/>
                <w:lang w:val="zh-CN"/>
              </w:rPr>
              <w:t>2</w:t>
            </w:r>
            <w:r>
              <w:rPr>
                <w:lang w:val="zh-CN"/>
              </w:rPr>
              <w:t>·a）</w:t>
            </w:r>
          </w:p>
        </w:tc>
        <w:tc>
          <w:tcPr>
            <w:tcW w:w="1953" w:type="dxa"/>
            <w:vMerge w:val="continue"/>
            <w:vAlign w:val="center"/>
          </w:tcPr>
          <w:p w14:paraId="53D2FCD5">
            <w:pPr>
              <w:pStyle w:val="179"/>
            </w:pPr>
          </w:p>
        </w:tc>
      </w:tr>
      <w:tr w14:paraId="2D0D8825">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672" w:type="dxa"/>
            <w:vMerge w:val="continue"/>
            <w:vAlign w:val="center"/>
          </w:tcPr>
          <w:p w14:paraId="028F381B">
            <w:pPr>
              <w:pStyle w:val="179"/>
            </w:pPr>
          </w:p>
        </w:tc>
        <w:tc>
          <w:tcPr>
            <w:tcW w:w="674" w:type="dxa"/>
            <w:vMerge w:val="continue"/>
            <w:vAlign w:val="center"/>
          </w:tcPr>
          <w:p w14:paraId="668CC2C7">
            <w:pPr>
              <w:pStyle w:val="179"/>
              <w:rPr>
                <w:lang w:val="zh-CN"/>
              </w:rPr>
            </w:pPr>
          </w:p>
        </w:tc>
        <w:tc>
          <w:tcPr>
            <w:tcW w:w="1735" w:type="dxa"/>
            <w:vAlign w:val="center"/>
          </w:tcPr>
          <w:p w14:paraId="5897A8FA">
            <w:pPr>
              <w:pStyle w:val="179"/>
              <w:rPr>
                <w:lang w:val="zh-CN"/>
              </w:rPr>
            </w:pPr>
            <w:r>
              <w:rPr>
                <w:lang w:val="zh-CN"/>
              </w:rPr>
              <w:t>第三亚等级</w:t>
            </w:r>
          </w:p>
        </w:tc>
        <w:tc>
          <w:tcPr>
            <w:tcW w:w="1460" w:type="dxa"/>
            <w:vAlign w:val="center"/>
          </w:tcPr>
          <w:p w14:paraId="32057DA4">
            <w:pPr>
              <w:pStyle w:val="179"/>
              <w:rPr>
                <w:lang w:val="zh-CN"/>
              </w:rPr>
            </w:pPr>
            <w:r>
              <w:rPr>
                <w:lang w:val="zh-CN"/>
              </w:rPr>
              <w:t>1.82～6</w:t>
            </w:r>
          </w:p>
        </w:tc>
        <w:tc>
          <w:tcPr>
            <w:tcW w:w="2019" w:type="dxa"/>
            <w:vAlign w:val="center"/>
          </w:tcPr>
          <w:p w14:paraId="327C4712">
            <w:pPr>
              <w:pStyle w:val="179"/>
              <w:rPr>
                <w:lang w:val="zh-CN"/>
              </w:rPr>
            </w:pPr>
            <w:r>
              <w:rPr>
                <w:lang w:val="zh-CN"/>
              </w:rPr>
              <w:t>温带草原（平均生产力约为5t/hm</w:t>
            </w:r>
            <w:r>
              <w:rPr>
                <w:vertAlign w:val="superscript"/>
                <w:lang w:val="zh-CN"/>
              </w:rPr>
              <w:t>2</w:t>
            </w:r>
            <w:r>
              <w:rPr>
                <w:lang w:val="zh-CN"/>
              </w:rPr>
              <w:t>·a）</w:t>
            </w:r>
          </w:p>
        </w:tc>
        <w:tc>
          <w:tcPr>
            <w:tcW w:w="1953" w:type="dxa"/>
            <w:vMerge w:val="continue"/>
            <w:vAlign w:val="center"/>
          </w:tcPr>
          <w:p w14:paraId="0A045204">
            <w:pPr>
              <w:pStyle w:val="179"/>
            </w:pPr>
          </w:p>
        </w:tc>
      </w:tr>
      <w:tr w14:paraId="77872732">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672" w:type="dxa"/>
            <w:vAlign w:val="center"/>
          </w:tcPr>
          <w:p w14:paraId="1D2885C6">
            <w:pPr>
              <w:pStyle w:val="179"/>
            </w:pPr>
            <w:r>
              <w:t>4</w:t>
            </w:r>
          </w:p>
        </w:tc>
        <w:tc>
          <w:tcPr>
            <w:tcW w:w="2409" w:type="dxa"/>
            <w:gridSpan w:val="2"/>
            <w:vAlign w:val="center"/>
          </w:tcPr>
          <w:p w14:paraId="612F1A35">
            <w:pPr>
              <w:pStyle w:val="179"/>
              <w:rPr>
                <w:lang w:val="zh-CN"/>
              </w:rPr>
            </w:pPr>
            <w:r>
              <w:rPr>
                <w:lang w:val="zh-CN"/>
              </w:rPr>
              <w:t>最低等级</w:t>
            </w:r>
          </w:p>
        </w:tc>
        <w:tc>
          <w:tcPr>
            <w:tcW w:w="1460" w:type="dxa"/>
            <w:vAlign w:val="center"/>
          </w:tcPr>
          <w:p w14:paraId="5980E51F">
            <w:pPr>
              <w:pStyle w:val="179"/>
              <w:rPr>
                <w:lang w:val="zh-CN"/>
              </w:rPr>
            </w:pPr>
            <w:r>
              <w:rPr>
                <w:lang w:val="zh-CN"/>
              </w:rPr>
              <w:t>小于1.82</w:t>
            </w:r>
          </w:p>
        </w:tc>
        <w:tc>
          <w:tcPr>
            <w:tcW w:w="2019" w:type="dxa"/>
            <w:vAlign w:val="center"/>
          </w:tcPr>
          <w:p w14:paraId="15FBD0F4">
            <w:pPr>
              <w:pStyle w:val="179"/>
              <w:rPr>
                <w:lang w:val="zh-CN"/>
              </w:rPr>
            </w:pPr>
            <w:r>
              <w:rPr>
                <w:lang w:val="zh-CN"/>
              </w:rPr>
              <w:t>荒漠和深海</w:t>
            </w:r>
          </w:p>
        </w:tc>
        <w:tc>
          <w:tcPr>
            <w:tcW w:w="1953" w:type="dxa"/>
            <w:vAlign w:val="center"/>
          </w:tcPr>
          <w:p w14:paraId="429AA085">
            <w:pPr>
              <w:pStyle w:val="179"/>
            </w:pPr>
          </w:p>
        </w:tc>
      </w:tr>
    </w:tbl>
    <w:p w14:paraId="556D85F0">
      <w:pPr>
        <w:widowControl/>
        <w:adjustRightInd w:val="0"/>
        <w:snapToGrid w:val="0"/>
        <w:ind w:firstLine="0" w:firstLineChars="0"/>
        <w:jc w:val="left"/>
        <w:rPr>
          <w:rFonts w:eastAsia="黑体"/>
          <w:kern w:val="0"/>
          <w:sz w:val="20"/>
          <w:szCs w:val="20"/>
        </w:rPr>
      </w:pPr>
      <w:r>
        <w:rPr>
          <w:rFonts w:eastAsia="黑体"/>
          <w:kern w:val="0"/>
          <w:sz w:val="20"/>
          <w:szCs w:val="20"/>
        </w:rPr>
        <w:t>注：来源于奥德姆，1959。为了更清晰反映评价区生产力水平所处的位置，将“较低等级”又细划分为3个亚等级。</w:t>
      </w:r>
    </w:p>
    <w:p w14:paraId="5A096018">
      <w:pPr>
        <w:ind w:firstLine="480"/>
      </w:pPr>
      <w:r>
        <w:t>根据表</w:t>
      </w:r>
      <w:r>
        <w:rPr>
          <w:rFonts w:hint="eastAsia"/>
        </w:rPr>
        <w:t>4.3-47</w:t>
      </w:r>
      <w:r>
        <w:t>、表</w:t>
      </w:r>
      <w:r>
        <w:rPr>
          <w:rFonts w:hint="eastAsia"/>
        </w:rPr>
        <w:t>4.3-48</w:t>
      </w:r>
      <w:r>
        <w:t>，评价区自然植被净生产能力为</w:t>
      </w:r>
      <w:r>
        <w:rPr>
          <w:rFonts w:hint="eastAsia"/>
        </w:rPr>
        <w:t>10.74t/</w:t>
      </w:r>
      <w:r>
        <w:t>hm</w:t>
      </w:r>
      <w:r>
        <w:rPr>
          <w:vertAlign w:val="superscript"/>
        </w:rPr>
        <w:t>2</w:t>
      </w:r>
      <w:r>
        <w:t>·a。奥德姆将地球上生态系统按总生产力的高低划分为最低、较低、较高、最高的四个等级，结合等级阈值，评价区平均生产力水平处于</w:t>
      </w:r>
      <w:r>
        <w:rPr>
          <w:rFonts w:hint="eastAsia"/>
        </w:rPr>
        <w:t>第一亚级</w:t>
      </w:r>
      <w:r>
        <w:t>，由此可知评价区生产力处于</w:t>
      </w:r>
      <w:r>
        <w:rPr>
          <w:lang w:val="zh-CN"/>
        </w:rPr>
        <w:t>较低等级</w:t>
      </w:r>
      <w:r>
        <w:t>。</w:t>
      </w:r>
    </w:p>
    <w:p w14:paraId="60FB67CC">
      <w:pPr>
        <w:pStyle w:val="4"/>
        <w:spacing w:before="180" w:after="120"/>
      </w:pPr>
      <w:r>
        <w:rPr>
          <w:rFonts w:hint="eastAsia"/>
        </w:rPr>
        <w:t>生态系统稳定性分析</w:t>
      </w:r>
    </w:p>
    <w:p w14:paraId="558176E8">
      <w:pPr>
        <w:ind w:firstLine="480"/>
      </w:pPr>
      <w:r>
        <w:t>自然系统稳定状况从恢复稳定性和阻抗稳定性两方面进行分析，前者是指系统受到破坏后恢复到原来状态的能力，后者指系统抵御外界干扰的能力。</w:t>
      </w:r>
    </w:p>
    <w:p w14:paraId="3F93A374">
      <w:pPr>
        <w:ind w:firstLine="480"/>
      </w:pPr>
      <w:r>
        <w:rPr>
          <w:rFonts w:hint="eastAsia"/>
        </w:rPr>
        <w:t>（</w:t>
      </w:r>
      <w:r>
        <w:t>1</w:t>
      </w:r>
      <w:r>
        <w:rPr>
          <w:rFonts w:hint="eastAsia"/>
        </w:rPr>
        <w:t>）恢复稳定性</w:t>
      </w:r>
    </w:p>
    <w:p w14:paraId="54BD601D">
      <w:pPr>
        <w:ind w:firstLine="480"/>
      </w:pPr>
      <w:r>
        <w:rPr>
          <w:rFonts w:hint="eastAsia"/>
        </w:rPr>
        <w:t>根据对典型样方的生物量测量，并结合评价区植被类型图及植被覆盖度，可以得到评价区的生物量为19623.4688</w:t>
      </w:r>
      <w:r>
        <w:t>t</w:t>
      </w:r>
      <w:r>
        <w:rPr>
          <w:rFonts w:hint="eastAsia"/>
        </w:rPr>
        <w:t>，平均生物量为44.363</w:t>
      </w:r>
      <w:r>
        <w:t>t/hm</w:t>
      </w:r>
      <w:r>
        <w:rPr>
          <w:vertAlign w:val="superscript"/>
        </w:rPr>
        <w:t>2</w:t>
      </w:r>
      <w:r>
        <w:rPr>
          <w:rFonts w:hint="eastAsia"/>
        </w:rPr>
        <w:t>，其恢复稳定性较强。</w:t>
      </w:r>
    </w:p>
    <w:p w14:paraId="2805F40E">
      <w:pPr>
        <w:ind w:firstLine="480"/>
      </w:pPr>
      <w:r>
        <w:rPr>
          <w:rFonts w:hint="eastAsia"/>
        </w:rPr>
        <w:t>（</w:t>
      </w:r>
      <w:r>
        <w:t>2</w:t>
      </w:r>
      <w:r>
        <w:rPr>
          <w:rFonts w:hint="eastAsia"/>
        </w:rPr>
        <w:t>）阻抗稳定性</w:t>
      </w:r>
    </w:p>
    <w:p w14:paraId="0BFAF290">
      <w:pPr>
        <w:ind w:firstLine="480"/>
      </w:pPr>
      <w:r>
        <w:rPr>
          <w:rFonts w:hint="eastAsia"/>
        </w:rPr>
        <w:t>阻抗稳定性是由该区域景观异质性决定的，因为高的异质性可以有效阻止外界的干扰。从评价区各用地类型斑块分布的格局可知，评价区大部分区域为乔木林地，其他斑块镶嵌分布在乔木林地上，阻止外界干扰的功能较强。从斑块内部看，由于植被覆盖度较高，生物多样性水平较高，故整体来看，评价区的阻抗稳定性较强。</w:t>
      </w:r>
    </w:p>
    <w:p w14:paraId="1C637E71">
      <w:pPr>
        <w:pStyle w:val="4"/>
        <w:spacing w:before="180" w:after="120"/>
      </w:pPr>
      <w:r>
        <w:rPr>
          <w:rFonts w:hint="eastAsia"/>
        </w:rPr>
        <w:t>生态系统功能分析</w:t>
      </w:r>
    </w:p>
    <w:p w14:paraId="5841B12C">
      <w:pPr>
        <w:ind w:firstLine="480"/>
      </w:pPr>
      <w:r>
        <w:rPr>
          <w:rFonts w:hint="eastAsia"/>
        </w:rPr>
        <w:t>生态系统生产力分析生态系统服务功能是指生态系统与生态过程所形成及所维持的人类赖以生存的自然环境条件与效用，它不仅给人类提供生存必需的食物、医药及工农业生产的原料，而且维持了人类赖以生存和发展的生命支持系统（Daily，1997；欧阳志云等，1999）。</w:t>
      </w:r>
    </w:p>
    <w:p w14:paraId="5238DE4B">
      <w:pPr>
        <w:ind w:firstLine="480"/>
      </w:pPr>
      <w:r>
        <w:rPr>
          <w:rFonts w:hint="eastAsia"/>
        </w:rPr>
        <w:t>生态系统服务功能可通过“生态系统服务价值”进行定量分析。生态系统服务价值是通过货币的形式表征生态系统的各项服务功能的大小。下面根据我国学者谢高地提出的中国各类生态系统各项生态服务的价值（见表4.3-24），计算出本项目评价区的生态系统服务价值，详见表4.3-25。</w:t>
      </w:r>
    </w:p>
    <w:p w14:paraId="0F9ECFF9">
      <w:pPr>
        <w:pStyle w:val="178"/>
        <w:jc w:val="right"/>
      </w:pPr>
      <w:r>
        <w:t>表4.3-</w:t>
      </w:r>
      <w:r>
        <w:rPr>
          <w:rFonts w:hint="eastAsia"/>
        </w:rPr>
        <w:t>24</w:t>
      </w:r>
      <w:r>
        <w:t xml:space="preserve">  中国陆地生态系统单位面积服务价值表   单位：元/hm</w:t>
      </w:r>
      <w:r>
        <w:rPr>
          <w:vertAlign w:val="superscript"/>
        </w:rPr>
        <w:t>2</w:t>
      </w:r>
    </w:p>
    <w:tbl>
      <w:tblPr>
        <w:tblStyle w:val="37"/>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562"/>
        <w:gridCol w:w="1464"/>
        <w:gridCol w:w="1278"/>
        <w:gridCol w:w="1179"/>
        <w:gridCol w:w="1409"/>
        <w:gridCol w:w="1580"/>
      </w:tblGrid>
      <w:tr w14:paraId="032F27B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01" w:type="dxa"/>
            <w:vAlign w:val="center"/>
          </w:tcPr>
          <w:p w14:paraId="767FA584">
            <w:pPr>
              <w:pStyle w:val="179"/>
              <w:widowControl w:val="0"/>
              <w:rPr>
                <w:b/>
              </w:rPr>
            </w:pPr>
            <w:r>
              <w:rPr>
                <w:b/>
              </w:rPr>
              <w:t>生态服务项目</w:t>
            </w:r>
          </w:p>
        </w:tc>
        <w:tc>
          <w:tcPr>
            <w:tcW w:w="1605" w:type="dxa"/>
            <w:vAlign w:val="center"/>
          </w:tcPr>
          <w:p w14:paraId="265744AD">
            <w:pPr>
              <w:pStyle w:val="179"/>
              <w:widowControl w:val="0"/>
              <w:rPr>
                <w:b/>
              </w:rPr>
            </w:pPr>
            <w:r>
              <w:rPr>
                <w:b/>
              </w:rPr>
              <w:t>耕地</w:t>
            </w:r>
          </w:p>
        </w:tc>
        <w:tc>
          <w:tcPr>
            <w:tcW w:w="1380" w:type="dxa"/>
            <w:vAlign w:val="center"/>
          </w:tcPr>
          <w:p w14:paraId="69F89661">
            <w:pPr>
              <w:pStyle w:val="179"/>
              <w:widowControl w:val="0"/>
              <w:rPr>
                <w:b/>
              </w:rPr>
            </w:pPr>
            <w:r>
              <w:rPr>
                <w:b/>
              </w:rPr>
              <w:t>林地</w:t>
            </w:r>
          </w:p>
        </w:tc>
        <w:tc>
          <w:tcPr>
            <w:tcW w:w="1260" w:type="dxa"/>
            <w:vAlign w:val="center"/>
          </w:tcPr>
          <w:p w14:paraId="1D18D230">
            <w:pPr>
              <w:pStyle w:val="179"/>
              <w:widowControl w:val="0"/>
              <w:rPr>
                <w:b/>
              </w:rPr>
            </w:pPr>
            <w:r>
              <w:rPr>
                <w:b/>
              </w:rPr>
              <w:t>草地</w:t>
            </w:r>
          </w:p>
        </w:tc>
        <w:tc>
          <w:tcPr>
            <w:tcW w:w="1517" w:type="dxa"/>
            <w:vAlign w:val="center"/>
          </w:tcPr>
          <w:p w14:paraId="01AFE3A5">
            <w:pPr>
              <w:pStyle w:val="179"/>
              <w:widowControl w:val="0"/>
              <w:rPr>
                <w:b/>
              </w:rPr>
            </w:pPr>
            <w:r>
              <w:rPr>
                <w:b/>
              </w:rPr>
              <w:t>水域</w:t>
            </w:r>
          </w:p>
        </w:tc>
        <w:tc>
          <w:tcPr>
            <w:tcW w:w="1724" w:type="dxa"/>
            <w:vAlign w:val="center"/>
          </w:tcPr>
          <w:p w14:paraId="4491B99F">
            <w:pPr>
              <w:pStyle w:val="179"/>
              <w:widowControl w:val="0"/>
              <w:rPr>
                <w:b/>
              </w:rPr>
            </w:pPr>
            <w:r>
              <w:rPr>
                <w:b/>
              </w:rPr>
              <w:t>湿地</w:t>
            </w:r>
          </w:p>
        </w:tc>
      </w:tr>
      <w:tr w14:paraId="63DDDFD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01" w:type="dxa"/>
            <w:vAlign w:val="center"/>
          </w:tcPr>
          <w:p w14:paraId="5630ADD3">
            <w:pPr>
              <w:pStyle w:val="179"/>
              <w:widowControl w:val="0"/>
            </w:pPr>
            <w:r>
              <w:t>气体调节</w:t>
            </w:r>
          </w:p>
        </w:tc>
        <w:tc>
          <w:tcPr>
            <w:tcW w:w="1605" w:type="dxa"/>
            <w:vAlign w:val="center"/>
          </w:tcPr>
          <w:p w14:paraId="2526A6C9">
            <w:pPr>
              <w:pStyle w:val="179"/>
              <w:widowControl w:val="0"/>
            </w:pPr>
            <w:r>
              <w:t>442.4</w:t>
            </w:r>
          </w:p>
        </w:tc>
        <w:tc>
          <w:tcPr>
            <w:tcW w:w="1380" w:type="dxa"/>
            <w:vAlign w:val="center"/>
          </w:tcPr>
          <w:p w14:paraId="3B6CEAD5">
            <w:pPr>
              <w:pStyle w:val="179"/>
              <w:widowControl w:val="0"/>
            </w:pPr>
            <w:r>
              <w:t>3097</w:t>
            </w:r>
          </w:p>
        </w:tc>
        <w:tc>
          <w:tcPr>
            <w:tcW w:w="1260" w:type="dxa"/>
            <w:vAlign w:val="center"/>
          </w:tcPr>
          <w:p w14:paraId="5615D89D">
            <w:pPr>
              <w:pStyle w:val="179"/>
              <w:widowControl w:val="0"/>
            </w:pPr>
            <w:r>
              <w:t>707.9</w:t>
            </w:r>
          </w:p>
        </w:tc>
        <w:tc>
          <w:tcPr>
            <w:tcW w:w="1517" w:type="dxa"/>
            <w:vAlign w:val="center"/>
          </w:tcPr>
          <w:p w14:paraId="707C2087">
            <w:pPr>
              <w:pStyle w:val="179"/>
              <w:widowControl w:val="0"/>
            </w:pPr>
            <w:r>
              <w:t>0</w:t>
            </w:r>
          </w:p>
        </w:tc>
        <w:tc>
          <w:tcPr>
            <w:tcW w:w="1724" w:type="dxa"/>
            <w:vAlign w:val="center"/>
          </w:tcPr>
          <w:p w14:paraId="224652BB">
            <w:pPr>
              <w:pStyle w:val="179"/>
              <w:widowControl w:val="0"/>
            </w:pPr>
            <w:r>
              <w:t>1592.8</w:t>
            </w:r>
          </w:p>
        </w:tc>
      </w:tr>
      <w:tr w14:paraId="458BC5F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01" w:type="dxa"/>
            <w:vAlign w:val="center"/>
          </w:tcPr>
          <w:p w14:paraId="3CE4693B">
            <w:pPr>
              <w:pStyle w:val="179"/>
              <w:widowControl w:val="0"/>
            </w:pPr>
            <w:r>
              <w:t>气候调节</w:t>
            </w:r>
          </w:p>
        </w:tc>
        <w:tc>
          <w:tcPr>
            <w:tcW w:w="1605" w:type="dxa"/>
            <w:vAlign w:val="center"/>
          </w:tcPr>
          <w:p w14:paraId="4811CFC4">
            <w:pPr>
              <w:pStyle w:val="179"/>
              <w:widowControl w:val="0"/>
            </w:pPr>
            <w:r>
              <w:t>787.5</w:t>
            </w:r>
          </w:p>
        </w:tc>
        <w:tc>
          <w:tcPr>
            <w:tcW w:w="1380" w:type="dxa"/>
            <w:vAlign w:val="center"/>
          </w:tcPr>
          <w:p w14:paraId="2FE6FCD5">
            <w:pPr>
              <w:pStyle w:val="179"/>
              <w:widowControl w:val="0"/>
            </w:pPr>
            <w:r>
              <w:t>2389.1</w:t>
            </w:r>
          </w:p>
        </w:tc>
        <w:tc>
          <w:tcPr>
            <w:tcW w:w="1260" w:type="dxa"/>
            <w:vAlign w:val="center"/>
          </w:tcPr>
          <w:p w14:paraId="79128ECB">
            <w:pPr>
              <w:pStyle w:val="179"/>
              <w:widowControl w:val="0"/>
            </w:pPr>
            <w:r>
              <w:t>796.4</w:t>
            </w:r>
          </w:p>
        </w:tc>
        <w:tc>
          <w:tcPr>
            <w:tcW w:w="1517" w:type="dxa"/>
            <w:vAlign w:val="center"/>
          </w:tcPr>
          <w:p w14:paraId="6F80E445">
            <w:pPr>
              <w:pStyle w:val="179"/>
              <w:widowControl w:val="0"/>
            </w:pPr>
            <w:r>
              <w:t>407.0</w:t>
            </w:r>
          </w:p>
        </w:tc>
        <w:tc>
          <w:tcPr>
            <w:tcW w:w="1724" w:type="dxa"/>
            <w:vAlign w:val="center"/>
          </w:tcPr>
          <w:p w14:paraId="055E967A">
            <w:pPr>
              <w:pStyle w:val="179"/>
              <w:widowControl w:val="0"/>
            </w:pPr>
            <w:r>
              <w:t>15131.8</w:t>
            </w:r>
          </w:p>
        </w:tc>
      </w:tr>
      <w:tr w14:paraId="7601C5D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01" w:type="dxa"/>
            <w:vAlign w:val="center"/>
          </w:tcPr>
          <w:p w14:paraId="54E3447D">
            <w:pPr>
              <w:pStyle w:val="179"/>
              <w:widowControl w:val="0"/>
            </w:pPr>
            <w:r>
              <w:t>水源涵养</w:t>
            </w:r>
          </w:p>
        </w:tc>
        <w:tc>
          <w:tcPr>
            <w:tcW w:w="1605" w:type="dxa"/>
            <w:vAlign w:val="center"/>
          </w:tcPr>
          <w:p w14:paraId="0C4350FD">
            <w:pPr>
              <w:pStyle w:val="179"/>
              <w:widowControl w:val="0"/>
            </w:pPr>
            <w:r>
              <w:t>530.9</w:t>
            </w:r>
          </w:p>
        </w:tc>
        <w:tc>
          <w:tcPr>
            <w:tcW w:w="1380" w:type="dxa"/>
            <w:vAlign w:val="center"/>
          </w:tcPr>
          <w:p w14:paraId="05798D7C">
            <w:pPr>
              <w:pStyle w:val="179"/>
              <w:widowControl w:val="0"/>
            </w:pPr>
            <w:r>
              <w:t>2831.5</w:t>
            </w:r>
          </w:p>
        </w:tc>
        <w:tc>
          <w:tcPr>
            <w:tcW w:w="1260" w:type="dxa"/>
            <w:vAlign w:val="center"/>
          </w:tcPr>
          <w:p w14:paraId="1C80E5F3">
            <w:pPr>
              <w:pStyle w:val="179"/>
              <w:widowControl w:val="0"/>
            </w:pPr>
            <w:r>
              <w:t>796.4</w:t>
            </w:r>
          </w:p>
        </w:tc>
        <w:tc>
          <w:tcPr>
            <w:tcW w:w="1517" w:type="dxa"/>
            <w:vAlign w:val="center"/>
          </w:tcPr>
          <w:p w14:paraId="05FF9CBD">
            <w:pPr>
              <w:pStyle w:val="179"/>
              <w:widowControl w:val="0"/>
            </w:pPr>
            <w:r>
              <w:t>407</w:t>
            </w:r>
          </w:p>
        </w:tc>
        <w:tc>
          <w:tcPr>
            <w:tcW w:w="1724" w:type="dxa"/>
            <w:vAlign w:val="center"/>
          </w:tcPr>
          <w:p w14:paraId="20AFFD19">
            <w:pPr>
              <w:pStyle w:val="179"/>
              <w:widowControl w:val="0"/>
            </w:pPr>
            <w:r>
              <w:t>15131.8</w:t>
            </w:r>
          </w:p>
        </w:tc>
      </w:tr>
      <w:tr w14:paraId="43EC8B2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01" w:type="dxa"/>
            <w:vAlign w:val="center"/>
          </w:tcPr>
          <w:p w14:paraId="5C38A71F">
            <w:pPr>
              <w:pStyle w:val="179"/>
              <w:widowControl w:val="0"/>
            </w:pPr>
            <w:r>
              <w:t>土壤形成与保护</w:t>
            </w:r>
          </w:p>
        </w:tc>
        <w:tc>
          <w:tcPr>
            <w:tcW w:w="1605" w:type="dxa"/>
            <w:vAlign w:val="center"/>
          </w:tcPr>
          <w:p w14:paraId="26D7B25E">
            <w:pPr>
              <w:pStyle w:val="179"/>
              <w:widowControl w:val="0"/>
            </w:pPr>
            <w:r>
              <w:t>1291.9</w:t>
            </w:r>
          </w:p>
        </w:tc>
        <w:tc>
          <w:tcPr>
            <w:tcW w:w="1380" w:type="dxa"/>
            <w:vAlign w:val="center"/>
          </w:tcPr>
          <w:p w14:paraId="4123BF69">
            <w:pPr>
              <w:pStyle w:val="179"/>
              <w:widowControl w:val="0"/>
            </w:pPr>
            <w:r>
              <w:t>3450.9</w:t>
            </w:r>
          </w:p>
        </w:tc>
        <w:tc>
          <w:tcPr>
            <w:tcW w:w="1260" w:type="dxa"/>
            <w:vAlign w:val="center"/>
          </w:tcPr>
          <w:p w14:paraId="1D2D19B9">
            <w:pPr>
              <w:pStyle w:val="179"/>
              <w:widowControl w:val="0"/>
            </w:pPr>
            <w:r>
              <w:t>1725.5</w:t>
            </w:r>
          </w:p>
        </w:tc>
        <w:tc>
          <w:tcPr>
            <w:tcW w:w="1517" w:type="dxa"/>
            <w:vAlign w:val="center"/>
          </w:tcPr>
          <w:p w14:paraId="05A50356">
            <w:pPr>
              <w:pStyle w:val="179"/>
              <w:widowControl w:val="0"/>
            </w:pPr>
            <w:r>
              <w:t>8.8</w:t>
            </w:r>
          </w:p>
        </w:tc>
        <w:tc>
          <w:tcPr>
            <w:tcW w:w="1724" w:type="dxa"/>
            <w:vAlign w:val="center"/>
          </w:tcPr>
          <w:p w14:paraId="3EB73BC6">
            <w:pPr>
              <w:pStyle w:val="179"/>
              <w:widowControl w:val="0"/>
            </w:pPr>
            <w:r>
              <w:t>1513.2</w:t>
            </w:r>
          </w:p>
        </w:tc>
      </w:tr>
      <w:tr w14:paraId="72A9AA9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01" w:type="dxa"/>
            <w:vAlign w:val="center"/>
          </w:tcPr>
          <w:p w14:paraId="17724FFE">
            <w:pPr>
              <w:pStyle w:val="179"/>
              <w:widowControl w:val="0"/>
            </w:pPr>
            <w:r>
              <w:t>废物处理</w:t>
            </w:r>
          </w:p>
        </w:tc>
        <w:tc>
          <w:tcPr>
            <w:tcW w:w="1605" w:type="dxa"/>
            <w:vAlign w:val="center"/>
          </w:tcPr>
          <w:p w14:paraId="2188E718">
            <w:pPr>
              <w:pStyle w:val="179"/>
              <w:widowControl w:val="0"/>
            </w:pPr>
            <w:r>
              <w:t>1451.2</w:t>
            </w:r>
          </w:p>
        </w:tc>
        <w:tc>
          <w:tcPr>
            <w:tcW w:w="1380" w:type="dxa"/>
            <w:vAlign w:val="center"/>
          </w:tcPr>
          <w:p w14:paraId="29F52827">
            <w:pPr>
              <w:pStyle w:val="179"/>
              <w:widowControl w:val="0"/>
            </w:pPr>
            <w:r>
              <w:t>1159.2</w:t>
            </w:r>
          </w:p>
        </w:tc>
        <w:tc>
          <w:tcPr>
            <w:tcW w:w="1260" w:type="dxa"/>
            <w:vAlign w:val="center"/>
          </w:tcPr>
          <w:p w14:paraId="1BCBEF89">
            <w:pPr>
              <w:pStyle w:val="179"/>
              <w:widowControl w:val="0"/>
            </w:pPr>
            <w:r>
              <w:t>1159.2</w:t>
            </w:r>
          </w:p>
        </w:tc>
        <w:tc>
          <w:tcPr>
            <w:tcW w:w="1517" w:type="dxa"/>
            <w:vAlign w:val="center"/>
          </w:tcPr>
          <w:p w14:paraId="003022F4">
            <w:pPr>
              <w:pStyle w:val="179"/>
              <w:widowControl w:val="0"/>
            </w:pPr>
            <w:r>
              <w:t>16086.6</w:t>
            </w:r>
          </w:p>
        </w:tc>
        <w:tc>
          <w:tcPr>
            <w:tcW w:w="1724" w:type="dxa"/>
            <w:vAlign w:val="center"/>
          </w:tcPr>
          <w:p w14:paraId="524EBED1">
            <w:pPr>
              <w:pStyle w:val="179"/>
              <w:widowControl w:val="0"/>
            </w:pPr>
            <w:r>
              <w:t>16087.5</w:t>
            </w:r>
          </w:p>
        </w:tc>
      </w:tr>
      <w:tr w14:paraId="0DB734F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01" w:type="dxa"/>
            <w:vAlign w:val="center"/>
          </w:tcPr>
          <w:p w14:paraId="2122A39A">
            <w:pPr>
              <w:pStyle w:val="179"/>
              <w:widowControl w:val="0"/>
            </w:pPr>
            <w:r>
              <w:t>生物多样性</w:t>
            </w:r>
          </w:p>
        </w:tc>
        <w:tc>
          <w:tcPr>
            <w:tcW w:w="1605" w:type="dxa"/>
            <w:vAlign w:val="center"/>
          </w:tcPr>
          <w:p w14:paraId="2F0EF105">
            <w:pPr>
              <w:pStyle w:val="179"/>
              <w:widowControl w:val="0"/>
            </w:pPr>
            <w:r>
              <w:t>628.2</w:t>
            </w:r>
          </w:p>
        </w:tc>
        <w:tc>
          <w:tcPr>
            <w:tcW w:w="1380" w:type="dxa"/>
            <w:vAlign w:val="center"/>
          </w:tcPr>
          <w:p w14:paraId="7BC46D23">
            <w:pPr>
              <w:pStyle w:val="179"/>
              <w:widowControl w:val="0"/>
            </w:pPr>
            <w:r>
              <w:t>2884.6</w:t>
            </w:r>
          </w:p>
        </w:tc>
        <w:tc>
          <w:tcPr>
            <w:tcW w:w="1260" w:type="dxa"/>
            <w:vAlign w:val="center"/>
          </w:tcPr>
          <w:p w14:paraId="3CE7CF8A">
            <w:pPr>
              <w:pStyle w:val="179"/>
              <w:widowControl w:val="0"/>
            </w:pPr>
            <w:r>
              <w:t>964.5</w:t>
            </w:r>
          </w:p>
        </w:tc>
        <w:tc>
          <w:tcPr>
            <w:tcW w:w="1517" w:type="dxa"/>
            <w:vAlign w:val="center"/>
          </w:tcPr>
          <w:p w14:paraId="49B44421">
            <w:pPr>
              <w:pStyle w:val="179"/>
              <w:widowControl w:val="0"/>
            </w:pPr>
            <w:r>
              <w:t>2203.3</w:t>
            </w:r>
          </w:p>
        </w:tc>
        <w:tc>
          <w:tcPr>
            <w:tcW w:w="1724" w:type="dxa"/>
            <w:vAlign w:val="center"/>
          </w:tcPr>
          <w:p w14:paraId="61B8ADC9">
            <w:pPr>
              <w:pStyle w:val="179"/>
              <w:widowControl w:val="0"/>
            </w:pPr>
            <w:r>
              <w:t>2212.3</w:t>
            </w:r>
          </w:p>
        </w:tc>
      </w:tr>
      <w:tr w14:paraId="64B281B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01" w:type="dxa"/>
            <w:vAlign w:val="center"/>
          </w:tcPr>
          <w:p w14:paraId="1F1EDC94">
            <w:pPr>
              <w:pStyle w:val="179"/>
              <w:widowControl w:val="0"/>
            </w:pPr>
            <w:r>
              <w:t>食物生产</w:t>
            </w:r>
          </w:p>
        </w:tc>
        <w:tc>
          <w:tcPr>
            <w:tcW w:w="1605" w:type="dxa"/>
            <w:vAlign w:val="center"/>
          </w:tcPr>
          <w:p w14:paraId="002F3688">
            <w:pPr>
              <w:pStyle w:val="179"/>
              <w:widowControl w:val="0"/>
            </w:pPr>
            <w:r>
              <w:t>884.9</w:t>
            </w:r>
          </w:p>
        </w:tc>
        <w:tc>
          <w:tcPr>
            <w:tcW w:w="1380" w:type="dxa"/>
            <w:vAlign w:val="center"/>
          </w:tcPr>
          <w:p w14:paraId="7CF7614D">
            <w:pPr>
              <w:pStyle w:val="179"/>
              <w:widowControl w:val="0"/>
            </w:pPr>
            <w:r>
              <w:t>88.5</w:t>
            </w:r>
          </w:p>
        </w:tc>
        <w:tc>
          <w:tcPr>
            <w:tcW w:w="1260" w:type="dxa"/>
            <w:vAlign w:val="center"/>
          </w:tcPr>
          <w:p w14:paraId="23BF27C3">
            <w:pPr>
              <w:pStyle w:val="179"/>
              <w:widowControl w:val="0"/>
            </w:pPr>
            <w:r>
              <w:t>265.5</w:t>
            </w:r>
          </w:p>
        </w:tc>
        <w:tc>
          <w:tcPr>
            <w:tcW w:w="1517" w:type="dxa"/>
            <w:vAlign w:val="center"/>
          </w:tcPr>
          <w:p w14:paraId="4296EF02">
            <w:pPr>
              <w:pStyle w:val="179"/>
              <w:widowControl w:val="0"/>
            </w:pPr>
            <w:r>
              <w:t>88.5</w:t>
            </w:r>
          </w:p>
        </w:tc>
        <w:tc>
          <w:tcPr>
            <w:tcW w:w="1724" w:type="dxa"/>
            <w:vAlign w:val="center"/>
          </w:tcPr>
          <w:p w14:paraId="2D1A4C3E">
            <w:pPr>
              <w:pStyle w:val="179"/>
              <w:widowControl w:val="0"/>
            </w:pPr>
            <w:r>
              <w:t>265.5</w:t>
            </w:r>
          </w:p>
        </w:tc>
      </w:tr>
      <w:tr w14:paraId="1EE0844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01" w:type="dxa"/>
            <w:vAlign w:val="center"/>
          </w:tcPr>
          <w:p w14:paraId="4679F80E">
            <w:pPr>
              <w:pStyle w:val="179"/>
              <w:widowControl w:val="0"/>
            </w:pPr>
            <w:r>
              <w:t>原材料</w:t>
            </w:r>
          </w:p>
        </w:tc>
        <w:tc>
          <w:tcPr>
            <w:tcW w:w="1605" w:type="dxa"/>
            <w:vAlign w:val="center"/>
          </w:tcPr>
          <w:p w14:paraId="12707EE3">
            <w:pPr>
              <w:pStyle w:val="179"/>
              <w:widowControl w:val="0"/>
            </w:pPr>
            <w:r>
              <w:t>88.5</w:t>
            </w:r>
          </w:p>
        </w:tc>
        <w:tc>
          <w:tcPr>
            <w:tcW w:w="1380" w:type="dxa"/>
            <w:vAlign w:val="center"/>
          </w:tcPr>
          <w:p w14:paraId="0F5E089F">
            <w:pPr>
              <w:pStyle w:val="179"/>
              <w:widowControl w:val="0"/>
            </w:pPr>
            <w:r>
              <w:t>2301.6</w:t>
            </w:r>
          </w:p>
        </w:tc>
        <w:tc>
          <w:tcPr>
            <w:tcW w:w="1260" w:type="dxa"/>
            <w:vAlign w:val="center"/>
          </w:tcPr>
          <w:p w14:paraId="39FB1E17">
            <w:pPr>
              <w:pStyle w:val="179"/>
              <w:widowControl w:val="0"/>
            </w:pPr>
            <w:r>
              <w:t>44.2</w:t>
            </w:r>
          </w:p>
        </w:tc>
        <w:tc>
          <w:tcPr>
            <w:tcW w:w="1517" w:type="dxa"/>
            <w:vAlign w:val="center"/>
          </w:tcPr>
          <w:p w14:paraId="321D496E">
            <w:pPr>
              <w:pStyle w:val="179"/>
              <w:widowControl w:val="0"/>
            </w:pPr>
            <w:r>
              <w:t>8.8</w:t>
            </w:r>
          </w:p>
        </w:tc>
        <w:tc>
          <w:tcPr>
            <w:tcW w:w="1724" w:type="dxa"/>
            <w:vAlign w:val="center"/>
          </w:tcPr>
          <w:p w14:paraId="4D18CC89">
            <w:pPr>
              <w:pStyle w:val="179"/>
              <w:widowControl w:val="0"/>
            </w:pPr>
            <w:r>
              <w:t>61.9</w:t>
            </w:r>
          </w:p>
        </w:tc>
      </w:tr>
      <w:tr w14:paraId="39EC373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01" w:type="dxa"/>
            <w:vAlign w:val="center"/>
          </w:tcPr>
          <w:p w14:paraId="074B5D5A">
            <w:pPr>
              <w:pStyle w:val="179"/>
              <w:widowControl w:val="0"/>
            </w:pPr>
            <w:r>
              <w:t>娱乐文化</w:t>
            </w:r>
          </w:p>
        </w:tc>
        <w:tc>
          <w:tcPr>
            <w:tcW w:w="1605" w:type="dxa"/>
            <w:vAlign w:val="center"/>
          </w:tcPr>
          <w:p w14:paraId="00C6D8F6">
            <w:pPr>
              <w:pStyle w:val="179"/>
              <w:widowControl w:val="0"/>
            </w:pPr>
            <w:r>
              <w:t>8.8</w:t>
            </w:r>
          </w:p>
        </w:tc>
        <w:tc>
          <w:tcPr>
            <w:tcW w:w="1380" w:type="dxa"/>
            <w:vAlign w:val="center"/>
          </w:tcPr>
          <w:p w14:paraId="28D916A6">
            <w:pPr>
              <w:pStyle w:val="179"/>
              <w:widowControl w:val="0"/>
            </w:pPr>
            <w:r>
              <w:t>1132.6</w:t>
            </w:r>
          </w:p>
        </w:tc>
        <w:tc>
          <w:tcPr>
            <w:tcW w:w="1260" w:type="dxa"/>
            <w:vAlign w:val="center"/>
          </w:tcPr>
          <w:p w14:paraId="074317DC">
            <w:pPr>
              <w:pStyle w:val="179"/>
              <w:widowControl w:val="0"/>
            </w:pPr>
            <w:r>
              <w:t>35.4</w:t>
            </w:r>
          </w:p>
        </w:tc>
        <w:tc>
          <w:tcPr>
            <w:tcW w:w="1517" w:type="dxa"/>
            <w:vAlign w:val="center"/>
          </w:tcPr>
          <w:p w14:paraId="2E58C5EF">
            <w:pPr>
              <w:pStyle w:val="179"/>
              <w:widowControl w:val="0"/>
            </w:pPr>
            <w:r>
              <w:t>3840.2</w:t>
            </w:r>
          </w:p>
        </w:tc>
        <w:tc>
          <w:tcPr>
            <w:tcW w:w="1724" w:type="dxa"/>
            <w:vAlign w:val="center"/>
          </w:tcPr>
          <w:p w14:paraId="1B0BB731">
            <w:pPr>
              <w:pStyle w:val="179"/>
              <w:widowControl w:val="0"/>
            </w:pPr>
            <w:r>
              <w:t>4911.0</w:t>
            </w:r>
          </w:p>
        </w:tc>
      </w:tr>
      <w:tr w14:paraId="16D52E4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01" w:type="dxa"/>
            <w:vAlign w:val="center"/>
          </w:tcPr>
          <w:p w14:paraId="07442556">
            <w:pPr>
              <w:pStyle w:val="179"/>
              <w:widowControl w:val="0"/>
            </w:pPr>
            <w:r>
              <w:t>总计</w:t>
            </w:r>
          </w:p>
        </w:tc>
        <w:tc>
          <w:tcPr>
            <w:tcW w:w="1605" w:type="dxa"/>
            <w:vAlign w:val="center"/>
          </w:tcPr>
          <w:p w14:paraId="326A0962">
            <w:pPr>
              <w:pStyle w:val="179"/>
              <w:widowControl w:val="0"/>
            </w:pPr>
            <w:r>
              <w:t>6114.3</w:t>
            </w:r>
          </w:p>
        </w:tc>
        <w:tc>
          <w:tcPr>
            <w:tcW w:w="1380" w:type="dxa"/>
            <w:vAlign w:val="center"/>
          </w:tcPr>
          <w:p w14:paraId="69504F0C">
            <w:pPr>
              <w:pStyle w:val="179"/>
              <w:widowControl w:val="0"/>
            </w:pPr>
            <w:r>
              <w:t>19335</w:t>
            </w:r>
          </w:p>
        </w:tc>
        <w:tc>
          <w:tcPr>
            <w:tcW w:w="1260" w:type="dxa"/>
            <w:vAlign w:val="center"/>
          </w:tcPr>
          <w:p w14:paraId="0C2B8B92">
            <w:pPr>
              <w:pStyle w:val="179"/>
              <w:widowControl w:val="0"/>
            </w:pPr>
            <w:r>
              <w:t>6406.5</w:t>
            </w:r>
          </w:p>
        </w:tc>
        <w:tc>
          <w:tcPr>
            <w:tcW w:w="1517" w:type="dxa"/>
            <w:vAlign w:val="center"/>
          </w:tcPr>
          <w:p w14:paraId="28E7AB65">
            <w:pPr>
              <w:pStyle w:val="179"/>
              <w:widowControl w:val="0"/>
            </w:pPr>
            <w:r>
              <w:t>40676.4</w:t>
            </w:r>
          </w:p>
        </w:tc>
        <w:tc>
          <w:tcPr>
            <w:tcW w:w="1724" w:type="dxa"/>
            <w:vAlign w:val="center"/>
          </w:tcPr>
          <w:p w14:paraId="6D633E31">
            <w:pPr>
              <w:pStyle w:val="179"/>
              <w:widowControl w:val="0"/>
            </w:pPr>
            <w:r>
              <w:t>5549.2</w:t>
            </w:r>
          </w:p>
        </w:tc>
      </w:tr>
    </w:tbl>
    <w:p w14:paraId="037BF4A3">
      <w:pPr>
        <w:pStyle w:val="178"/>
      </w:pPr>
      <w:r>
        <w:t>表4.3-</w:t>
      </w:r>
      <w:r>
        <w:rPr>
          <w:rFonts w:hint="eastAsia"/>
        </w:rPr>
        <w:t>25</w:t>
      </w:r>
      <w:r>
        <w:t>评价区陆地生态系统服务价值</w:t>
      </w:r>
    </w:p>
    <w:tbl>
      <w:tblPr>
        <w:tblStyle w:val="37"/>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725"/>
        <w:gridCol w:w="2352"/>
        <w:gridCol w:w="2144"/>
        <w:gridCol w:w="2251"/>
      </w:tblGrid>
      <w:tr w14:paraId="78F3B38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tblHeader/>
          <w:jc w:val="center"/>
        </w:trPr>
        <w:tc>
          <w:tcPr>
            <w:tcW w:w="1725" w:type="dxa"/>
            <w:vAlign w:val="center"/>
          </w:tcPr>
          <w:p w14:paraId="4114A790">
            <w:pPr>
              <w:pStyle w:val="179"/>
              <w:widowControl w:val="0"/>
              <w:rPr>
                <w:b/>
              </w:rPr>
            </w:pPr>
            <w:r>
              <w:rPr>
                <w:b/>
              </w:rPr>
              <w:t>生态系统类型</w:t>
            </w:r>
          </w:p>
        </w:tc>
        <w:tc>
          <w:tcPr>
            <w:tcW w:w="2352" w:type="dxa"/>
            <w:vAlign w:val="center"/>
          </w:tcPr>
          <w:p w14:paraId="5903320F">
            <w:pPr>
              <w:pStyle w:val="179"/>
              <w:widowControl w:val="0"/>
              <w:rPr>
                <w:b/>
              </w:rPr>
            </w:pPr>
            <w:r>
              <w:rPr>
                <w:b/>
              </w:rPr>
              <w:t>面积（hm</w:t>
            </w:r>
            <w:r>
              <w:rPr>
                <w:b/>
                <w:vertAlign w:val="superscript"/>
              </w:rPr>
              <w:t>2</w:t>
            </w:r>
            <w:r>
              <w:rPr>
                <w:b/>
              </w:rPr>
              <w:t>）</w:t>
            </w:r>
          </w:p>
        </w:tc>
        <w:tc>
          <w:tcPr>
            <w:tcW w:w="2144" w:type="dxa"/>
            <w:vAlign w:val="center"/>
          </w:tcPr>
          <w:p w14:paraId="580E801A">
            <w:pPr>
              <w:pStyle w:val="179"/>
              <w:widowControl w:val="0"/>
              <w:rPr>
                <w:b/>
              </w:rPr>
            </w:pPr>
            <w:r>
              <w:rPr>
                <w:b/>
              </w:rPr>
              <w:t>生态系统服务价值单价（元/hm</w:t>
            </w:r>
            <w:r>
              <w:rPr>
                <w:b/>
                <w:vertAlign w:val="superscript"/>
              </w:rPr>
              <w:t>2</w:t>
            </w:r>
            <w:r>
              <w:rPr>
                <w:b/>
              </w:rPr>
              <w:t>）</w:t>
            </w:r>
          </w:p>
        </w:tc>
        <w:tc>
          <w:tcPr>
            <w:tcW w:w="2251" w:type="dxa"/>
            <w:vAlign w:val="center"/>
          </w:tcPr>
          <w:p w14:paraId="5C0D90C8">
            <w:pPr>
              <w:pStyle w:val="179"/>
              <w:widowControl w:val="0"/>
              <w:rPr>
                <w:b/>
              </w:rPr>
            </w:pPr>
            <w:r>
              <w:rPr>
                <w:b/>
              </w:rPr>
              <w:t>生态系统服务价值（元）</w:t>
            </w:r>
          </w:p>
        </w:tc>
      </w:tr>
      <w:tr w14:paraId="43386B4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25" w:type="dxa"/>
            <w:vAlign w:val="center"/>
          </w:tcPr>
          <w:p w14:paraId="4B9B2C06">
            <w:pPr>
              <w:pStyle w:val="179"/>
              <w:widowControl w:val="0"/>
            </w:pPr>
            <w:r>
              <w:t>森林生态系统</w:t>
            </w:r>
          </w:p>
        </w:tc>
        <w:tc>
          <w:tcPr>
            <w:tcW w:w="2352" w:type="dxa"/>
            <w:vAlign w:val="center"/>
          </w:tcPr>
          <w:p w14:paraId="338B5ED3">
            <w:pPr>
              <w:pStyle w:val="179"/>
              <w:widowControl w:val="0"/>
            </w:pPr>
            <w:r>
              <w:t>274.35</w:t>
            </w:r>
          </w:p>
        </w:tc>
        <w:tc>
          <w:tcPr>
            <w:tcW w:w="2144" w:type="dxa"/>
            <w:vAlign w:val="center"/>
          </w:tcPr>
          <w:p w14:paraId="6A7CE069">
            <w:pPr>
              <w:pStyle w:val="179"/>
              <w:widowControl w:val="0"/>
            </w:pPr>
            <w:r>
              <w:t>19335</w:t>
            </w:r>
          </w:p>
        </w:tc>
        <w:tc>
          <w:tcPr>
            <w:tcW w:w="2251" w:type="dxa"/>
            <w:shd w:val="clear" w:color="auto" w:fill="auto"/>
            <w:vAlign w:val="center"/>
          </w:tcPr>
          <w:p w14:paraId="0B6A9F52">
            <w:pPr>
              <w:pStyle w:val="179"/>
              <w:widowControl w:val="0"/>
            </w:pPr>
            <w:r>
              <w:t>4934678.7</w:t>
            </w:r>
          </w:p>
        </w:tc>
      </w:tr>
      <w:tr w14:paraId="4B1EE06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25" w:type="dxa"/>
            <w:vAlign w:val="center"/>
          </w:tcPr>
          <w:p w14:paraId="29F494BF">
            <w:pPr>
              <w:pStyle w:val="179"/>
              <w:widowControl w:val="0"/>
            </w:pPr>
            <w:r>
              <w:t>草地生态系统</w:t>
            </w:r>
          </w:p>
        </w:tc>
        <w:tc>
          <w:tcPr>
            <w:tcW w:w="2352" w:type="dxa"/>
            <w:vAlign w:val="center"/>
          </w:tcPr>
          <w:p w14:paraId="550AAD70">
            <w:pPr>
              <w:pStyle w:val="179"/>
              <w:widowControl w:val="0"/>
            </w:pPr>
            <w:r>
              <w:t>64.63</w:t>
            </w:r>
          </w:p>
        </w:tc>
        <w:tc>
          <w:tcPr>
            <w:tcW w:w="2144" w:type="dxa"/>
            <w:vAlign w:val="center"/>
          </w:tcPr>
          <w:p w14:paraId="709FD721">
            <w:pPr>
              <w:pStyle w:val="179"/>
              <w:widowControl w:val="0"/>
            </w:pPr>
            <w:r>
              <w:t>6406.5</w:t>
            </w:r>
          </w:p>
        </w:tc>
        <w:tc>
          <w:tcPr>
            <w:tcW w:w="2251" w:type="dxa"/>
            <w:vAlign w:val="center"/>
          </w:tcPr>
          <w:p w14:paraId="1D917A62">
            <w:pPr>
              <w:pStyle w:val="179"/>
              <w:widowControl w:val="0"/>
            </w:pPr>
            <w:r>
              <w:t>205072.065</w:t>
            </w:r>
          </w:p>
        </w:tc>
      </w:tr>
      <w:tr w14:paraId="1F192AA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25" w:type="dxa"/>
            <w:vAlign w:val="center"/>
          </w:tcPr>
          <w:p w14:paraId="6C7A20C0">
            <w:pPr>
              <w:pStyle w:val="179"/>
              <w:widowControl w:val="0"/>
            </w:pPr>
            <w:r>
              <w:t>农田生态系统</w:t>
            </w:r>
          </w:p>
        </w:tc>
        <w:tc>
          <w:tcPr>
            <w:tcW w:w="2352" w:type="dxa"/>
            <w:vAlign w:val="center"/>
          </w:tcPr>
          <w:p w14:paraId="54D77164">
            <w:pPr>
              <w:pStyle w:val="179"/>
              <w:widowControl w:val="0"/>
            </w:pPr>
            <w:r>
              <w:t>121.88</w:t>
            </w:r>
          </w:p>
        </w:tc>
        <w:tc>
          <w:tcPr>
            <w:tcW w:w="2144" w:type="dxa"/>
            <w:vAlign w:val="center"/>
          </w:tcPr>
          <w:p w14:paraId="445937C0">
            <w:pPr>
              <w:pStyle w:val="179"/>
              <w:widowControl w:val="0"/>
            </w:pPr>
            <w:r>
              <w:t>6114.3</w:t>
            </w:r>
          </w:p>
        </w:tc>
        <w:tc>
          <w:tcPr>
            <w:tcW w:w="2251" w:type="dxa"/>
            <w:vAlign w:val="center"/>
          </w:tcPr>
          <w:p w14:paraId="719566D7">
            <w:pPr>
              <w:pStyle w:val="179"/>
              <w:widowControl w:val="0"/>
            </w:pPr>
            <w:r>
              <w:t>402320.94</w:t>
            </w:r>
          </w:p>
        </w:tc>
      </w:tr>
      <w:tr w14:paraId="75D3890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25" w:type="dxa"/>
            <w:vAlign w:val="center"/>
          </w:tcPr>
          <w:p w14:paraId="32B40BD2">
            <w:pPr>
              <w:pStyle w:val="179"/>
              <w:widowControl w:val="0"/>
            </w:pPr>
            <w:r>
              <w:t>城镇生态系统</w:t>
            </w:r>
          </w:p>
        </w:tc>
        <w:tc>
          <w:tcPr>
            <w:tcW w:w="2352" w:type="dxa"/>
            <w:vAlign w:val="center"/>
          </w:tcPr>
          <w:p w14:paraId="480BD020">
            <w:pPr>
              <w:pStyle w:val="179"/>
              <w:widowControl w:val="0"/>
            </w:pPr>
            <w:r>
              <w:t>12.47</w:t>
            </w:r>
          </w:p>
        </w:tc>
        <w:tc>
          <w:tcPr>
            <w:tcW w:w="2144" w:type="dxa"/>
            <w:vAlign w:val="center"/>
          </w:tcPr>
          <w:p w14:paraId="1927BCE7">
            <w:pPr>
              <w:pStyle w:val="179"/>
              <w:widowControl w:val="0"/>
            </w:pPr>
            <w:r>
              <w:t>-1000</w:t>
            </w:r>
          </w:p>
        </w:tc>
        <w:tc>
          <w:tcPr>
            <w:tcW w:w="2251" w:type="dxa"/>
            <w:vAlign w:val="center"/>
          </w:tcPr>
          <w:p w14:paraId="7D64FF01">
            <w:pPr>
              <w:pStyle w:val="179"/>
              <w:widowControl w:val="0"/>
            </w:pPr>
            <w:r>
              <w:t>-263400</w:t>
            </w:r>
          </w:p>
        </w:tc>
      </w:tr>
      <w:tr w14:paraId="2F8FA95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25" w:type="dxa"/>
            <w:vAlign w:val="center"/>
          </w:tcPr>
          <w:p w14:paraId="02C3E11D">
            <w:pPr>
              <w:pStyle w:val="179"/>
              <w:widowControl w:val="0"/>
            </w:pPr>
            <w:r>
              <w:t>河流生态系统</w:t>
            </w:r>
          </w:p>
        </w:tc>
        <w:tc>
          <w:tcPr>
            <w:tcW w:w="2352" w:type="dxa"/>
            <w:vAlign w:val="center"/>
          </w:tcPr>
          <w:p w14:paraId="308B3104">
            <w:pPr>
              <w:pStyle w:val="179"/>
              <w:widowControl w:val="0"/>
            </w:pPr>
            <w:r>
              <w:t>13.24</w:t>
            </w:r>
          </w:p>
        </w:tc>
        <w:tc>
          <w:tcPr>
            <w:tcW w:w="2144" w:type="dxa"/>
            <w:vAlign w:val="center"/>
          </w:tcPr>
          <w:p w14:paraId="2B7BFA69">
            <w:pPr>
              <w:pStyle w:val="179"/>
              <w:widowControl w:val="0"/>
            </w:pPr>
            <w:r>
              <w:t>40676.4</w:t>
            </w:r>
          </w:p>
        </w:tc>
        <w:tc>
          <w:tcPr>
            <w:tcW w:w="2251" w:type="dxa"/>
            <w:vAlign w:val="center"/>
          </w:tcPr>
          <w:p w14:paraId="6750B7DB">
            <w:pPr>
              <w:pStyle w:val="179"/>
              <w:widowControl w:val="0"/>
            </w:pPr>
            <w:r>
              <w:t>1148701.536</w:t>
            </w:r>
          </w:p>
        </w:tc>
      </w:tr>
      <w:tr w14:paraId="38D6CE3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25" w:type="dxa"/>
            <w:vAlign w:val="center"/>
          </w:tcPr>
          <w:p w14:paraId="4B0729D4">
            <w:pPr>
              <w:pStyle w:val="179"/>
              <w:widowControl w:val="0"/>
            </w:pPr>
            <w:r>
              <w:t>总计</w:t>
            </w:r>
          </w:p>
        </w:tc>
        <w:tc>
          <w:tcPr>
            <w:tcW w:w="2352" w:type="dxa"/>
            <w:vAlign w:val="center"/>
          </w:tcPr>
          <w:p w14:paraId="4E444AD5">
            <w:pPr>
              <w:pStyle w:val="179"/>
              <w:widowControl w:val="0"/>
            </w:pPr>
            <w:r>
              <w:t>486.57</w:t>
            </w:r>
          </w:p>
        </w:tc>
        <w:tc>
          <w:tcPr>
            <w:tcW w:w="2144" w:type="dxa"/>
            <w:vAlign w:val="center"/>
          </w:tcPr>
          <w:p w14:paraId="5F0D554A">
            <w:pPr>
              <w:pStyle w:val="179"/>
              <w:widowControl w:val="0"/>
            </w:pPr>
            <w:r>
              <w:t>/</w:t>
            </w:r>
          </w:p>
        </w:tc>
        <w:tc>
          <w:tcPr>
            <w:tcW w:w="2251" w:type="dxa"/>
            <w:shd w:val="clear" w:color="auto" w:fill="auto"/>
            <w:vAlign w:val="center"/>
          </w:tcPr>
          <w:p w14:paraId="61879BED">
            <w:pPr>
              <w:pStyle w:val="179"/>
              <w:widowControl w:val="0"/>
            </w:pPr>
            <w:r>
              <w:t>6664433.241</w:t>
            </w:r>
          </w:p>
        </w:tc>
      </w:tr>
    </w:tbl>
    <w:p w14:paraId="6BD6E376">
      <w:pPr>
        <w:spacing w:line="240" w:lineRule="auto"/>
        <w:ind w:firstLine="0" w:firstLineChars="0"/>
      </w:pPr>
      <w:r>
        <w:rPr>
          <w:rFonts w:hint="eastAsia"/>
          <w:b/>
          <w:sz w:val="21"/>
          <w:szCs w:val="21"/>
        </w:rPr>
        <w:t>注：（</w:t>
      </w:r>
      <w:r>
        <w:rPr>
          <w:b/>
          <w:sz w:val="21"/>
          <w:szCs w:val="21"/>
        </w:rPr>
        <w:t>1</w:t>
      </w:r>
      <w:r>
        <w:rPr>
          <w:rFonts w:hint="eastAsia"/>
          <w:b/>
          <w:sz w:val="21"/>
          <w:szCs w:val="21"/>
        </w:rPr>
        <w:t>）建设用地生态系统参考《 城市建设用地生态服务功能价值计算与应用》中的研究结果；本表将灌丛生态系统归并到森林生态系统统一进行分析。（</w:t>
      </w:r>
      <w:r>
        <w:rPr>
          <w:b/>
          <w:sz w:val="21"/>
          <w:szCs w:val="21"/>
        </w:rPr>
        <w:t>2</w:t>
      </w:r>
      <w:r>
        <w:rPr>
          <w:rFonts w:hint="eastAsia"/>
          <w:b/>
          <w:sz w:val="21"/>
          <w:szCs w:val="21"/>
        </w:rPr>
        <w:t>）灌丛生态系统统一并入森林生态系统进行分析。</w:t>
      </w:r>
    </w:p>
    <w:p w14:paraId="15A02BFE">
      <w:pPr>
        <w:ind w:firstLine="480"/>
      </w:pPr>
      <w:r>
        <w:rPr>
          <w:rFonts w:hint="eastAsia"/>
        </w:rPr>
        <w:t>以上分析可知，评价区生态系统服务价值为666.4433万元，平均生态系统服务价值为150.66万元/km</w:t>
      </w:r>
      <w:r>
        <w:rPr>
          <w:rFonts w:hint="eastAsia"/>
          <w:vertAlign w:val="superscript"/>
        </w:rPr>
        <w:t>2</w:t>
      </w:r>
      <w:r>
        <w:rPr>
          <w:rFonts w:hint="eastAsia"/>
        </w:rPr>
        <w:t>，远高于全国平均水平</w:t>
      </w:r>
      <w:r>
        <w:t>50</w:t>
      </w:r>
      <w:r>
        <w:rPr>
          <w:rFonts w:hint="eastAsia"/>
        </w:rPr>
        <w:t>万元</w:t>
      </w:r>
      <w:r>
        <w:t>/km</w:t>
      </w:r>
      <w:r>
        <w:rPr>
          <w:vertAlign w:val="superscript"/>
        </w:rPr>
        <w:t>2</w:t>
      </w:r>
      <w:r>
        <w:rPr>
          <w:rFonts w:hint="eastAsia"/>
        </w:rPr>
        <w:t>（《中国陆地生态系统服务功能及其价值评价研究》，赵同谦</w:t>
      </w:r>
      <w:r>
        <w:t>2004</w:t>
      </w:r>
      <w:r>
        <w:rPr>
          <w:rFonts w:hint="eastAsia"/>
        </w:rPr>
        <w:t>年博士论文），说明评价区生态系统服务功能较高。</w:t>
      </w:r>
    </w:p>
    <w:p w14:paraId="6554E851">
      <w:pPr>
        <w:pStyle w:val="4"/>
        <w:spacing w:before="180" w:after="120"/>
        <w:rPr>
          <w:rFonts w:hAnsi="Times New Roman" w:cs="Times New Roman"/>
        </w:rPr>
      </w:pPr>
      <w:bookmarkStart w:id="342" w:name="_Toc25050"/>
      <w:r>
        <w:rPr>
          <w:rFonts w:hAnsi="Times New Roman" w:cs="Times New Roman"/>
        </w:rPr>
        <w:t>生态敏感目标调查</w:t>
      </w:r>
      <w:bookmarkEnd w:id="342"/>
    </w:p>
    <w:p w14:paraId="7D0134D9">
      <w:pPr>
        <w:widowControl/>
        <w:topLinePunct/>
        <w:autoSpaceDE w:val="0"/>
        <w:autoSpaceDN w:val="0"/>
        <w:adjustRightInd w:val="0"/>
        <w:snapToGrid w:val="0"/>
        <w:spacing w:line="500" w:lineRule="exact"/>
        <w:ind w:firstLine="480"/>
        <w:textAlignment w:val="baseline"/>
      </w:pPr>
      <w:r>
        <w:rPr>
          <w:rFonts w:hint="eastAsia"/>
        </w:rPr>
        <w:t>根据调查，评价范围内受本项目影响的生态敏感区1处：嫩江市松嫩平原生物多样性维护功能生态保护红线-水源涵养生态功能重要区。</w:t>
      </w:r>
    </w:p>
    <w:p w14:paraId="16CF196C">
      <w:pPr>
        <w:pStyle w:val="5"/>
        <w:spacing w:before="120" w:after="120"/>
      </w:pPr>
      <w:r>
        <w:rPr>
          <w:rFonts w:hint="eastAsia"/>
        </w:rPr>
        <w:t>植被类型</w:t>
      </w:r>
    </w:p>
    <w:p w14:paraId="1C325B7F">
      <w:pPr>
        <w:widowControl/>
        <w:topLinePunct/>
        <w:autoSpaceDE w:val="0"/>
        <w:autoSpaceDN w:val="0"/>
        <w:adjustRightInd w:val="0"/>
        <w:snapToGrid w:val="0"/>
        <w:spacing w:line="500" w:lineRule="exact"/>
        <w:ind w:firstLine="480"/>
        <w:textAlignment w:val="baseline"/>
      </w:pPr>
      <w:r>
        <w:rPr>
          <w:rFonts w:hint="eastAsia"/>
        </w:rPr>
        <w:t>本项目涉及生态保护红线嫩江市松嫩平原生物多样性维护功能生态保护红线-水源涵养生态功能重要区，植物区系属小兴安岭针阔混交林与松嫩草甸草原过渡植被区，地带性原生植被为蒙古栎、白桦次生阔叶林，伴生兴安落叶松小片纯林，林下发育榛、胡枝子灌丛，河谷地带分布小叶章、苔草沼泽草甸，林草、林田交错分布，形成森林 - 灌丛 - 湿地复合植被群落。</w:t>
      </w:r>
    </w:p>
    <w:p w14:paraId="247818A5">
      <w:pPr>
        <w:widowControl/>
        <w:topLinePunct/>
        <w:autoSpaceDE w:val="0"/>
        <w:autoSpaceDN w:val="0"/>
        <w:adjustRightInd w:val="0"/>
        <w:snapToGrid w:val="0"/>
        <w:spacing w:line="500" w:lineRule="exact"/>
        <w:ind w:firstLine="480"/>
        <w:textAlignment w:val="baseline"/>
      </w:pPr>
      <w:r>
        <w:rPr>
          <w:rFonts w:hint="eastAsia"/>
        </w:rPr>
        <w:t>根据现场调查结果，评价范围内生态敏感区有植物86种，项目所在范围种子植物科、属、种数分别占黑龙江省种子植物总科数、总属数和总种数的 20.80%、7.62% 和 3.67%。</w:t>
      </w:r>
    </w:p>
    <w:p w14:paraId="66EEFFDC">
      <w:pPr>
        <w:pStyle w:val="5"/>
        <w:spacing w:before="120" w:after="120"/>
      </w:pPr>
      <w:r>
        <w:rPr>
          <w:rFonts w:hint="eastAsia"/>
        </w:rPr>
        <w:t>动植物资源</w:t>
      </w:r>
    </w:p>
    <w:p w14:paraId="04BED5D1">
      <w:pPr>
        <w:widowControl/>
        <w:topLinePunct/>
        <w:autoSpaceDE w:val="0"/>
        <w:autoSpaceDN w:val="0"/>
        <w:adjustRightInd w:val="0"/>
        <w:snapToGrid w:val="0"/>
        <w:spacing w:line="500" w:lineRule="exact"/>
        <w:ind w:firstLine="480"/>
        <w:textAlignment w:val="baseline"/>
      </w:pPr>
      <w:r>
        <w:rPr>
          <w:rFonts w:hint="eastAsia"/>
        </w:rPr>
        <w:t>本项目涉及生态保护红线嫩江市松嫩平原生物多样性维护功能生态保护红线-水源涵养生态功能重要区，动物区划属于古北界—东北亚界—东北区—松嫩平原亚区—针阔混交林、湿地复合动物群。</w:t>
      </w:r>
    </w:p>
    <w:p w14:paraId="0540C0AF">
      <w:pPr>
        <w:widowControl/>
        <w:topLinePunct/>
        <w:autoSpaceDE w:val="0"/>
        <w:autoSpaceDN w:val="0"/>
        <w:adjustRightInd w:val="0"/>
        <w:snapToGrid w:val="0"/>
        <w:spacing w:line="500" w:lineRule="exact"/>
        <w:ind w:firstLine="480"/>
        <w:textAlignment w:val="baseline"/>
      </w:pPr>
      <w:r>
        <w:rPr>
          <w:rFonts w:hint="eastAsia"/>
        </w:rPr>
        <w:t>根据现场调查结果，评价范围内生态敏感区陆生脊椎动物有70种；评价范围内国家二级重点保护野生动物 3 种，分别为鸟类（红隼、苍鹰、）；哺乳类（雪兔）。</w:t>
      </w:r>
    </w:p>
    <w:p w14:paraId="053BE6EC">
      <w:pPr>
        <w:pStyle w:val="5"/>
        <w:spacing w:before="120" w:after="120"/>
      </w:pPr>
      <w:r>
        <w:rPr>
          <w:rFonts w:hint="eastAsia"/>
        </w:rPr>
        <w:t>保护现状</w:t>
      </w:r>
    </w:p>
    <w:p w14:paraId="4D0D611E">
      <w:pPr>
        <w:widowControl/>
        <w:topLinePunct/>
        <w:autoSpaceDE w:val="0"/>
        <w:autoSpaceDN w:val="0"/>
        <w:adjustRightInd w:val="0"/>
        <w:snapToGrid w:val="0"/>
        <w:spacing w:line="500" w:lineRule="exact"/>
        <w:ind w:firstLine="480"/>
        <w:textAlignment w:val="baseline"/>
        <w:rPr>
          <w:rFonts w:hAnsi="Times New Roman" w:cs="Times New Roman"/>
        </w:rPr>
      </w:pPr>
      <w:r>
        <w:rPr>
          <w:rFonts w:hint="eastAsia"/>
        </w:rPr>
        <w:t>本项目位于嫩江市松嫩平原生物多样性维护功能生态保护红线 - 水源涵养生态功能重要区，区内分布连片次生林、河谷沼泽湿地，是科洛河、沐河支流关键水源涵养廊道。根据管控要求严格保护具有重要水源涵养、水土保持功能的森林、湿地、灌丛原生植被，限制或禁止各类破坏流域生态功能的生产活动，如无序露天采矿、毁林开荒、河滩湿地开垦、过度放牧、随意堆弃土石方等。禁止滥捕滥猎区内野生鸟兽、随意采挖保护野生植物，维持河流连通性与野生动植物迁徙、觅食廊道完整，稳定区域动植物种群结构，实现流域森林、湿地生态系统良性循环与可持续保育。</w:t>
      </w:r>
    </w:p>
    <w:p w14:paraId="088FF74A">
      <w:pPr>
        <w:pStyle w:val="4"/>
        <w:spacing w:before="180" w:after="120"/>
        <w:rPr>
          <w:rFonts w:hAnsi="Times New Roman" w:cs="Times New Roman"/>
        </w:rPr>
      </w:pPr>
      <w:bookmarkStart w:id="343" w:name="_Toc32099"/>
      <w:r>
        <w:rPr>
          <w:rFonts w:hAnsi="Times New Roman" w:cs="Times New Roman"/>
        </w:rPr>
        <w:t>评价区主要生态问题</w:t>
      </w:r>
      <w:bookmarkEnd w:id="343"/>
    </w:p>
    <w:p w14:paraId="3C436442">
      <w:pPr>
        <w:ind w:firstLine="480"/>
        <w:rPr>
          <w:lang w:val="zh-CN"/>
        </w:rPr>
      </w:pPr>
      <w:r>
        <w:rPr>
          <w:rFonts w:hint="eastAsia"/>
        </w:rPr>
        <w:t>本项目位于黑龙江省嫩江市境内。项目所在区域的生态功能区属于Ⅰ—5松嫩平原东部农业生态区、Ⅰ—5—2松嫩平原东北部农业与土壤保持生态亚区、Ⅰ—5—2—4嫩江—讷谟尔河水文调蓄与农、牧业生态功能区，该生态功能区主要生态问题为地表植被覆盖少；地面径流滞蓄能力弱，部分地区在雨季水土流失较重</w:t>
      </w:r>
      <w:r>
        <w:rPr>
          <w:lang w:val="zh-CN"/>
        </w:rPr>
        <w:t>。</w:t>
      </w:r>
    </w:p>
    <w:p w14:paraId="1588E223">
      <w:pPr>
        <w:pStyle w:val="3"/>
        <w:spacing w:before="180" w:after="120"/>
        <w:rPr>
          <w:bCs/>
        </w:rPr>
      </w:pPr>
      <w:bookmarkStart w:id="344" w:name="_Toc61013688"/>
      <w:bookmarkStart w:id="345" w:name="_Toc61013278"/>
      <w:bookmarkStart w:id="346" w:name="_Toc26650"/>
      <w:bookmarkStart w:id="347" w:name="_Toc12649337"/>
      <w:bookmarkStart w:id="348" w:name="_Toc61012597"/>
      <w:bookmarkStart w:id="349" w:name="_Toc61013483"/>
      <w:bookmarkStart w:id="350" w:name="_Toc61012949"/>
      <w:bookmarkStart w:id="351" w:name="_Toc234927700"/>
      <w:bookmarkStart w:id="352" w:name="_Toc61013073"/>
      <w:bookmarkStart w:id="353" w:name="_Toc61013893"/>
      <w:r>
        <w:t>土壤环境质量现状评价</w:t>
      </w:r>
      <w:bookmarkEnd w:id="344"/>
      <w:bookmarkEnd w:id="345"/>
      <w:bookmarkEnd w:id="346"/>
      <w:bookmarkEnd w:id="347"/>
      <w:bookmarkEnd w:id="348"/>
      <w:bookmarkEnd w:id="349"/>
      <w:bookmarkEnd w:id="350"/>
      <w:bookmarkEnd w:id="351"/>
      <w:bookmarkEnd w:id="352"/>
      <w:bookmarkEnd w:id="353"/>
    </w:p>
    <w:p w14:paraId="0FB64978">
      <w:pPr>
        <w:pStyle w:val="4"/>
        <w:spacing w:before="180" w:after="120"/>
      </w:pPr>
      <w:r>
        <w:t>监测点位</w:t>
      </w:r>
    </w:p>
    <w:p w14:paraId="51D5D065">
      <w:pPr>
        <w:ind w:firstLine="480"/>
      </w:pPr>
      <w:r>
        <w:t>本项目为</w:t>
      </w:r>
      <w:r>
        <w:rPr>
          <w:rFonts w:hint="eastAsia"/>
        </w:rPr>
        <w:t>土砂石</w:t>
      </w:r>
      <w:r>
        <w:t>开采项目，矿山采区为露天开采，不会造成酸化、碱化、盐化等生态型土壤影响，根据地下水影响分析，不会造成所在区域地下水位明显抬升；本项目按污染影响型项目考虑。土壤评价等级为二级，考虑项目工业场地占地情况。因此，本项目采场工业场地占地范围内布设3个表层样点。</w:t>
      </w:r>
    </w:p>
    <w:p w14:paraId="1B9A6D70">
      <w:pPr>
        <w:pStyle w:val="178"/>
      </w:pPr>
      <w:r>
        <w:drawing>
          <wp:inline distT="0" distB="0" distL="114300" distR="114300">
            <wp:extent cx="5242560" cy="3607435"/>
            <wp:effectExtent l="19050" t="0" r="0" b="0"/>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92"/>
                    <a:stretch>
                      <a:fillRect/>
                    </a:stretch>
                  </pic:blipFill>
                  <pic:spPr>
                    <a:xfrm>
                      <a:off x="0" y="0"/>
                      <a:ext cx="5242560" cy="3607463"/>
                    </a:xfrm>
                    <a:prstGeom prst="rect">
                      <a:avLst/>
                    </a:prstGeom>
                    <a:noFill/>
                    <a:ln>
                      <a:noFill/>
                    </a:ln>
                  </pic:spPr>
                </pic:pic>
              </a:graphicData>
            </a:graphic>
          </wp:inline>
        </w:drawing>
      </w:r>
    </w:p>
    <w:p w14:paraId="366C37FD">
      <w:pPr>
        <w:pStyle w:val="178"/>
      </w:pPr>
      <w:r>
        <w:t>图4.</w:t>
      </w:r>
      <w:r>
        <w:rPr>
          <w:rFonts w:hint="eastAsia"/>
        </w:rPr>
        <w:t>4</w:t>
      </w:r>
      <w:r>
        <w:t>-1  本项目土壤监测点分布图</w:t>
      </w:r>
    </w:p>
    <w:p w14:paraId="54F2CAC6">
      <w:pPr>
        <w:pStyle w:val="4"/>
        <w:spacing w:before="180" w:after="120"/>
        <w:rPr>
          <w:rFonts w:hAnsi="Times New Roman" w:cs="Times New Roman"/>
        </w:rPr>
      </w:pPr>
      <w:r>
        <w:rPr>
          <w:rFonts w:hAnsi="Times New Roman" w:cs="Times New Roman"/>
        </w:rPr>
        <w:t>监测项目</w:t>
      </w:r>
    </w:p>
    <w:p w14:paraId="0665A65E">
      <w:pPr>
        <w:pStyle w:val="178"/>
        <w:rPr>
          <w:kern w:val="0"/>
        </w:rPr>
      </w:pPr>
      <w:r>
        <w:rPr>
          <w:kern w:val="0"/>
        </w:rPr>
        <w:t>表4.</w:t>
      </w:r>
      <w:r>
        <w:rPr>
          <w:rFonts w:hint="eastAsia"/>
          <w:kern w:val="0"/>
        </w:rPr>
        <w:t>4</w:t>
      </w:r>
      <w:r>
        <w:rPr>
          <w:kern w:val="0"/>
        </w:rPr>
        <w:t>-1土壤环境质量现状监测布点</w:t>
      </w:r>
    </w:p>
    <w:tbl>
      <w:tblPr>
        <w:tblStyle w:val="36"/>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550"/>
        <w:gridCol w:w="6061"/>
        <w:gridCol w:w="885"/>
        <w:gridCol w:w="1009"/>
      </w:tblGrid>
      <w:tr w14:paraId="0E6E59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tblHeader/>
          <w:jc w:val="center"/>
        </w:trPr>
        <w:tc>
          <w:tcPr>
            <w:tcW w:w="324" w:type="pct"/>
            <w:tcBorders>
              <w:top w:val="single" w:color="auto" w:sz="12" w:space="0"/>
              <w:left w:val="single" w:color="auto" w:sz="12" w:space="0"/>
              <w:tl2br w:val="nil"/>
              <w:tr2bl w:val="nil"/>
            </w:tcBorders>
            <w:noWrap/>
            <w:vAlign w:val="center"/>
          </w:tcPr>
          <w:p w14:paraId="453DE1B8">
            <w:pPr>
              <w:pStyle w:val="179"/>
              <w:rPr>
                <w:rFonts w:cs="Times New Roman"/>
                <w:b/>
              </w:rPr>
            </w:pPr>
            <w:r>
              <w:rPr>
                <w:rFonts w:cs="Times New Roman"/>
                <w:b/>
              </w:rPr>
              <w:t>序号</w:t>
            </w:r>
          </w:p>
        </w:tc>
        <w:tc>
          <w:tcPr>
            <w:tcW w:w="3563" w:type="pct"/>
            <w:tcBorders>
              <w:top w:val="single" w:color="auto" w:sz="12" w:space="0"/>
              <w:tl2br w:val="nil"/>
              <w:tr2bl w:val="nil"/>
            </w:tcBorders>
            <w:noWrap/>
            <w:vAlign w:val="center"/>
          </w:tcPr>
          <w:p w14:paraId="137C1D26">
            <w:pPr>
              <w:pStyle w:val="179"/>
              <w:rPr>
                <w:rFonts w:cs="Times New Roman"/>
                <w:b/>
              </w:rPr>
            </w:pPr>
            <w:r>
              <w:rPr>
                <w:rFonts w:cs="Times New Roman"/>
                <w:b/>
              </w:rPr>
              <w:t>监测因子</w:t>
            </w:r>
          </w:p>
        </w:tc>
        <w:tc>
          <w:tcPr>
            <w:tcW w:w="520" w:type="pct"/>
            <w:tcBorders>
              <w:top w:val="single" w:color="auto" w:sz="12" w:space="0"/>
              <w:tl2br w:val="nil"/>
              <w:tr2bl w:val="nil"/>
            </w:tcBorders>
            <w:noWrap/>
            <w:vAlign w:val="center"/>
          </w:tcPr>
          <w:p w14:paraId="00088DC9">
            <w:pPr>
              <w:pStyle w:val="179"/>
              <w:rPr>
                <w:rFonts w:cs="Times New Roman"/>
                <w:b/>
                <w:bCs w:val="0"/>
              </w:rPr>
            </w:pPr>
            <w:r>
              <w:rPr>
                <w:rFonts w:cs="Times New Roman"/>
                <w:b/>
              </w:rPr>
              <w:t>监测布点类型</w:t>
            </w:r>
          </w:p>
        </w:tc>
        <w:tc>
          <w:tcPr>
            <w:tcW w:w="593" w:type="pct"/>
            <w:tcBorders>
              <w:top w:val="single" w:color="auto" w:sz="12" w:space="0"/>
              <w:right w:val="single" w:color="auto" w:sz="12" w:space="0"/>
              <w:tl2br w:val="nil"/>
              <w:tr2bl w:val="nil"/>
            </w:tcBorders>
            <w:noWrap/>
            <w:vAlign w:val="center"/>
          </w:tcPr>
          <w:p w14:paraId="1A8C93F7">
            <w:pPr>
              <w:pStyle w:val="179"/>
              <w:rPr>
                <w:rFonts w:cs="Times New Roman"/>
                <w:b/>
                <w:bCs w:val="0"/>
              </w:rPr>
            </w:pPr>
            <w:r>
              <w:rPr>
                <w:rFonts w:cs="Times New Roman"/>
                <w:b/>
              </w:rPr>
              <w:t>测点取土样深度</w:t>
            </w:r>
          </w:p>
        </w:tc>
      </w:tr>
      <w:tr w14:paraId="57134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5000" w:type="pct"/>
            <w:gridSpan w:val="4"/>
            <w:tcBorders>
              <w:left w:val="single" w:color="auto" w:sz="12" w:space="0"/>
              <w:right w:val="single" w:color="auto" w:sz="12" w:space="0"/>
              <w:tl2br w:val="nil"/>
              <w:tr2bl w:val="nil"/>
            </w:tcBorders>
            <w:noWrap/>
            <w:vAlign w:val="center"/>
          </w:tcPr>
          <w:p w14:paraId="01AD74D4">
            <w:pPr>
              <w:pStyle w:val="179"/>
              <w:rPr>
                <w:rFonts w:cs="Times New Roman"/>
              </w:rPr>
            </w:pPr>
            <w:r>
              <w:rPr>
                <w:rFonts w:cs="Times New Roman"/>
              </w:rPr>
              <w:t>厂区占地范围内</w:t>
            </w:r>
          </w:p>
        </w:tc>
      </w:tr>
      <w:tr w14:paraId="2C6841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24" w:type="pct"/>
            <w:tcBorders>
              <w:left w:val="single" w:color="auto" w:sz="12" w:space="0"/>
              <w:tl2br w:val="nil"/>
              <w:tr2bl w:val="nil"/>
            </w:tcBorders>
            <w:noWrap/>
            <w:vAlign w:val="center"/>
          </w:tcPr>
          <w:p w14:paraId="2A0141D4">
            <w:pPr>
              <w:pStyle w:val="179"/>
              <w:rPr>
                <w:rFonts w:cs="Times New Roman"/>
              </w:rPr>
            </w:pPr>
            <w:r>
              <w:rPr>
                <w:rFonts w:cs="Times New Roman"/>
              </w:rPr>
              <w:t>1#</w:t>
            </w:r>
          </w:p>
        </w:tc>
        <w:tc>
          <w:tcPr>
            <w:tcW w:w="3563" w:type="pct"/>
            <w:tcBorders>
              <w:bottom w:val="single" w:color="000000" w:sz="4" w:space="0"/>
              <w:tl2br w:val="nil"/>
              <w:tr2bl w:val="nil"/>
            </w:tcBorders>
            <w:noWrap/>
            <w:vAlign w:val="center"/>
          </w:tcPr>
          <w:p w14:paraId="0680954F">
            <w:pPr>
              <w:pStyle w:val="179"/>
            </w:pPr>
            <w:r>
              <w:rPr>
                <w:rFonts w:hint="eastAsia"/>
              </w:rPr>
              <w:t>砷、镉、铬（六价）、铜、铅、汞、镍、四氯化碳、氯仿、氯甲烷、1,1-二氯乙烷、1,2-二氯乙烷、1,1-二氯乙烯、顺-1,2-二氯乙烯、反-1,2-二氯乙烯、二氯甲烷、1,2-二氯丙烷、1,1,1,2-四氯乙烷、1,1,2,2-四氯乙烷、四氯乙烯、1,1,1-三氯乙烷、1,1,2-三氯乙烷、三氯乙烯、1,2,3-三氯丙烷、苯、氯乙烯、氯苯、1,2-二氯苯、1,4-二氯苯、乙苯、苯乙烯、甲苯、间,对二甲苯、邻二甲苯、硝基苯、苯胺、2-氯酚、苯并（a）蒽、苯并（a）芘、苯并（b）荧蒽、苯并（k）荧蒽、</w:t>
            </w:r>
            <w:r>
              <w:rPr>
                <w:rFonts w:hint="eastAsia" w:ascii="宋体" w:hAnsi="宋体"/>
              </w:rPr>
              <w:t>䓛</w:t>
            </w:r>
            <w:r>
              <w:rPr>
                <w:rFonts w:hint="eastAsia" w:ascii="仿宋_GB2312" w:hAnsi="仿宋_GB2312" w:eastAsia="仿宋_GB2312" w:cs="仿宋_GB2312"/>
              </w:rPr>
              <w:t>、二苯并</w:t>
            </w:r>
            <w:r>
              <w:rPr>
                <w:rFonts w:hint="eastAsia"/>
              </w:rPr>
              <w:t>（a，h）蒽、茚并（1，2，3-cd）芘、萘、pH值、石油烃</w:t>
            </w:r>
          </w:p>
        </w:tc>
        <w:tc>
          <w:tcPr>
            <w:tcW w:w="520" w:type="pct"/>
            <w:tcBorders>
              <w:tl2br w:val="nil"/>
              <w:tr2bl w:val="nil"/>
            </w:tcBorders>
            <w:noWrap/>
            <w:vAlign w:val="center"/>
          </w:tcPr>
          <w:p w14:paraId="7AA75589">
            <w:pPr>
              <w:pStyle w:val="179"/>
              <w:rPr>
                <w:rFonts w:cs="Times New Roman"/>
              </w:rPr>
            </w:pPr>
            <w:r>
              <w:rPr>
                <w:rFonts w:hint="eastAsia" w:cs="Times New Roman"/>
              </w:rPr>
              <w:t>表层样</w:t>
            </w:r>
          </w:p>
        </w:tc>
        <w:tc>
          <w:tcPr>
            <w:tcW w:w="593" w:type="pct"/>
            <w:tcBorders>
              <w:right w:val="single" w:color="auto" w:sz="12" w:space="0"/>
              <w:tl2br w:val="nil"/>
              <w:tr2bl w:val="nil"/>
            </w:tcBorders>
            <w:noWrap/>
            <w:vAlign w:val="center"/>
          </w:tcPr>
          <w:p w14:paraId="23AE673C">
            <w:pPr>
              <w:pStyle w:val="179"/>
              <w:rPr>
                <w:rFonts w:cs="Times New Roman"/>
              </w:rPr>
            </w:pPr>
            <w:r>
              <w:rPr>
                <w:rFonts w:cs="Times New Roman"/>
              </w:rPr>
              <w:t>0~0.5 m</w:t>
            </w:r>
          </w:p>
        </w:tc>
      </w:tr>
      <w:tr w14:paraId="71B6E1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24" w:type="pct"/>
            <w:tcBorders>
              <w:left w:val="single" w:color="auto" w:sz="12" w:space="0"/>
              <w:tl2br w:val="nil"/>
              <w:tr2bl w:val="nil"/>
            </w:tcBorders>
            <w:noWrap/>
            <w:vAlign w:val="center"/>
          </w:tcPr>
          <w:p w14:paraId="368A83A6">
            <w:pPr>
              <w:pStyle w:val="179"/>
              <w:rPr>
                <w:rFonts w:cs="Times New Roman"/>
              </w:rPr>
            </w:pPr>
            <w:r>
              <w:rPr>
                <w:rFonts w:cs="Times New Roman"/>
              </w:rPr>
              <w:t>2#</w:t>
            </w:r>
          </w:p>
        </w:tc>
        <w:tc>
          <w:tcPr>
            <w:tcW w:w="3563" w:type="pct"/>
            <w:vMerge w:val="restart"/>
            <w:tcBorders>
              <w:top w:val="single" w:color="000000" w:sz="4" w:space="0"/>
              <w:tl2br w:val="nil"/>
              <w:tr2bl w:val="nil"/>
            </w:tcBorders>
            <w:noWrap/>
            <w:vAlign w:val="center"/>
          </w:tcPr>
          <w:p w14:paraId="74FE53D4">
            <w:pPr>
              <w:pStyle w:val="179"/>
            </w:pPr>
            <w:r>
              <w:t>pH、砷、镉、铬、铜、铅、汞、镍</w:t>
            </w:r>
            <w:r>
              <w:rPr>
                <w:rFonts w:hint="eastAsia"/>
              </w:rPr>
              <w:t>、锌、含盐量</w:t>
            </w:r>
          </w:p>
        </w:tc>
        <w:tc>
          <w:tcPr>
            <w:tcW w:w="520" w:type="pct"/>
            <w:tcBorders>
              <w:tl2br w:val="nil"/>
              <w:tr2bl w:val="nil"/>
            </w:tcBorders>
            <w:noWrap/>
            <w:vAlign w:val="center"/>
          </w:tcPr>
          <w:p w14:paraId="21B8AF6B">
            <w:pPr>
              <w:pStyle w:val="179"/>
              <w:rPr>
                <w:rFonts w:cs="Times New Roman"/>
              </w:rPr>
            </w:pPr>
            <w:r>
              <w:rPr>
                <w:rFonts w:hint="eastAsia" w:cs="Times New Roman"/>
              </w:rPr>
              <w:t>表层样</w:t>
            </w:r>
          </w:p>
        </w:tc>
        <w:tc>
          <w:tcPr>
            <w:tcW w:w="593" w:type="pct"/>
            <w:tcBorders>
              <w:right w:val="single" w:color="auto" w:sz="12" w:space="0"/>
              <w:tl2br w:val="nil"/>
              <w:tr2bl w:val="nil"/>
            </w:tcBorders>
            <w:noWrap/>
            <w:vAlign w:val="center"/>
          </w:tcPr>
          <w:p w14:paraId="5D27DA4B">
            <w:pPr>
              <w:pStyle w:val="179"/>
              <w:rPr>
                <w:rFonts w:cs="Times New Roman"/>
              </w:rPr>
            </w:pPr>
            <w:r>
              <w:rPr>
                <w:rFonts w:cs="Times New Roman"/>
              </w:rPr>
              <w:t>0~0.5 m</w:t>
            </w:r>
          </w:p>
        </w:tc>
      </w:tr>
      <w:tr w14:paraId="1B8043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24" w:type="pct"/>
            <w:tcBorders>
              <w:left w:val="single" w:color="auto" w:sz="12" w:space="0"/>
              <w:bottom w:val="single" w:color="auto" w:sz="12" w:space="0"/>
              <w:tl2br w:val="nil"/>
              <w:tr2bl w:val="nil"/>
            </w:tcBorders>
            <w:noWrap/>
            <w:vAlign w:val="center"/>
          </w:tcPr>
          <w:p w14:paraId="2508100B">
            <w:pPr>
              <w:pStyle w:val="179"/>
              <w:rPr>
                <w:rFonts w:cs="Times New Roman"/>
              </w:rPr>
            </w:pPr>
            <w:r>
              <w:rPr>
                <w:rFonts w:cs="Times New Roman"/>
              </w:rPr>
              <w:t>3#</w:t>
            </w:r>
          </w:p>
        </w:tc>
        <w:tc>
          <w:tcPr>
            <w:tcW w:w="3563" w:type="pct"/>
            <w:vMerge w:val="continue"/>
            <w:tcBorders>
              <w:top w:val="single" w:color="000000" w:sz="4" w:space="0"/>
              <w:bottom w:val="single" w:color="auto" w:sz="12" w:space="0"/>
              <w:tl2br w:val="nil"/>
              <w:tr2bl w:val="nil"/>
            </w:tcBorders>
            <w:noWrap/>
            <w:vAlign w:val="center"/>
          </w:tcPr>
          <w:p w14:paraId="0AFE1875">
            <w:pPr>
              <w:pStyle w:val="179"/>
              <w:rPr>
                <w:rFonts w:cs="Times New Roman"/>
              </w:rPr>
            </w:pPr>
          </w:p>
        </w:tc>
        <w:tc>
          <w:tcPr>
            <w:tcW w:w="520" w:type="pct"/>
            <w:tcBorders>
              <w:bottom w:val="single" w:color="auto" w:sz="12" w:space="0"/>
              <w:tl2br w:val="nil"/>
              <w:tr2bl w:val="nil"/>
            </w:tcBorders>
            <w:noWrap/>
            <w:vAlign w:val="center"/>
          </w:tcPr>
          <w:p w14:paraId="6DC5EFF5">
            <w:pPr>
              <w:pStyle w:val="179"/>
              <w:rPr>
                <w:rFonts w:cs="Times New Roman"/>
              </w:rPr>
            </w:pPr>
            <w:r>
              <w:rPr>
                <w:rFonts w:hint="eastAsia" w:cs="Times New Roman"/>
              </w:rPr>
              <w:t>表层样</w:t>
            </w:r>
          </w:p>
        </w:tc>
        <w:tc>
          <w:tcPr>
            <w:tcW w:w="593" w:type="pct"/>
            <w:tcBorders>
              <w:bottom w:val="single" w:color="auto" w:sz="12" w:space="0"/>
              <w:right w:val="single" w:color="auto" w:sz="12" w:space="0"/>
              <w:tl2br w:val="nil"/>
              <w:tr2bl w:val="nil"/>
            </w:tcBorders>
            <w:noWrap/>
            <w:vAlign w:val="center"/>
          </w:tcPr>
          <w:p w14:paraId="0999495A">
            <w:pPr>
              <w:pStyle w:val="179"/>
              <w:rPr>
                <w:rFonts w:cs="Times New Roman"/>
              </w:rPr>
            </w:pPr>
            <w:r>
              <w:rPr>
                <w:rFonts w:cs="Times New Roman"/>
              </w:rPr>
              <w:t>0~0.5 m</w:t>
            </w:r>
          </w:p>
        </w:tc>
      </w:tr>
    </w:tbl>
    <w:p w14:paraId="015C4697">
      <w:pPr>
        <w:pStyle w:val="4"/>
        <w:spacing w:before="180" w:after="120"/>
        <w:rPr>
          <w:rFonts w:hAnsi="Times New Roman" w:cs="Times New Roman"/>
        </w:rPr>
      </w:pPr>
      <w:r>
        <w:rPr>
          <w:rFonts w:hAnsi="Times New Roman" w:cs="Times New Roman"/>
        </w:rPr>
        <w:t>监测时间</w:t>
      </w:r>
    </w:p>
    <w:p w14:paraId="65C36DA5">
      <w:pPr>
        <w:ind w:firstLine="480"/>
        <w:rPr>
          <w:rFonts w:hAnsi="Times New Roman" w:cs="Times New Roman"/>
        </w:rPr>
      </w:pPr>
      <w:r>
        <w:rPr>
          <w:rFonts w:hAnsi="Times New Roman" w:cs="Times New Roman"/>
        </w:rPr>
        <w:t>监测时间为202</w:t>
      </w:r>
      <w:r>
        <w:rPr>
          <w:rFonts w:hint="eastAsia" w:hAnsi="Times New Roman" w:cs="Times New Roman"/>
        </w:rPr>
        <w:t>6</w:t>
      </w:r>
      <w:r>
        <w:rPr>
          <w:rFonts w:hAnsi="Times New Roman" w:cs="Times New Roman"/>
        </w:rPr>
        <w:t>年</w:t>
      </w:r>
      <w:r>
        <w:rPr>
          <w:rFonts w:hint="eastAsia" w:hAnsi="Times New Roman" w:cs="Times New Roman"/>
        </w:rPr>
        <w:t>1</w:t>
      </w:r>
      <w:r>
        <w:rPr>
          <w:rFonts w:hAnsi="Times New Roman" w:cs="Times New Roman"/>
        </w:rPr>
        <w:t>月</w:t>
      </w:r>
      <w:r>
        <w:rPr>
          <w:rFonts w:hint="eastAsia" w:hAnsi="Times New Roman" w:cs="Times New Roman"/>
        </w:rPr>
        <w:t>8</w:t>
      </w:r>
      <w:r>
        <w:rPr>
          <w:rFonts w:hAnsi="Times New Roman" w:cs="Times New Roman"/>
        </w:rPr>
        <w:t>日进行监测，连续监测1天，一天一次。</w:t>
      </w:r>
    </w:p>
    <w:p w14:paraId="257EC44E">
      <w:pPr>
        <w:pStyle w:val="4"/>
        <w:spacing w:before="180" w:after="120"/>
        <w:rPr>
          <w:rFonts w:hAnsi="Times New Roman" w:cs="Times New Roman"/>
        </w:rPr>
      </w:pPr>
      <w:r>
        <w:rPr>
          <w:rFonts w:hAnsi="Times New Roman" w:cs="Times New Roman"/>
        </w:rPr>
        <w:t>监测单位</w:t>
      </w:r>
    </w:p>
    <w:p w14:paraId="5AAFD8FF">
      <w:pPr>
        <w:ind w:firstLine="480"/>
      </w:pPr>
      <w:r>
        <w:t>黑龙江克巽检测技术有限公司</w:t>
      </w:r>
    </w:p>
    <w:p w14:paraId="3C241739">
      <w:pPr>
        <w:pStyle w:val="4"/>
        <w:spacing w:before="180" w:after="120"/>
        <w:rPr>
          <w:rFonts w:hAnsi="Times New Roman" w:cs="Times New Roman"/>
        </w:rPr>
      </w:pPr>
      <w:r>
        <w:rPr>
          <w:rFonts w:hAnsi="Times New Roman" w:cs="Times New Roman"/>
        </w:rPr>
        <w:t>土壤理化特性调查</w:t>
      </w:r>
    </w:p>
    <w:p w14:paraId="6A60DFC7">
      <w:pPr>
        <w:ind w:firstLine="480"/>
      </w:pPr>
      <w:r>
        <w:t>本项目所在区域土壤理化特性见表4.</w:t>
      </w:r>
      <w:r>
        <w:rPr>
          <w:rFonts w:hint="eastAsia"/>
        </w:rPr>
        <w:t>4</w:t>
      </w:r>
      <w:r>
        <w:t>-2。</w:t>
      </w:r>
    </w:p>
    <w:p w14:paraId="720B9211">
      <w:pPr>
        <w:pStyle w:val="178"/>
        <w:rPr>
          <w:kern w:val="0"/>
        </w:rPr>
      </w:pPr>
      <w:r>
        <w:rPr>
          <w:kern w:val="0"/>
        </w:rPr>
        <w:t>表4.</w:t>
      </w:r>
      <w:r>
        <w:rPr>
          <w:rFonts w:hint="eastAsia"/>
          <w:kern w:val="0"/>
        </w:rPr>
        <w:t>4</w:t>
      </w:r>
      <w:r>
        <w:rPr>
          <w:kern w:val="0"/>
        </w:rPr>
        <w:t>-2  土壤理化特性调查表</w:t>
      </w:r>
    </w:p>
    <w:tbl>
      <w:tblPr>
        <w:tblStyle w:val="36"/>
        <w:tblW w:w="5000"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128"/>
        <w:gridCol w:w="2279"/>
        <w:gridCol w:w="1803"/>
        <w:gridCol w:w="1583"/>
        <w:gridCol w:w="1679"/>
      </w:tblGrid>
      <w:tr w14:paraId="01C8E2F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blHeader/>
        </w:trPr>
        <w:tc>
          <w:tcPr>
            <w:tcW w:w="2011" w:type="pct"/>
            <w:gridSpan w:val="2"/>
            <w:noWrap/>
            <w:vAlign w:val="center"/>
          </w:tcPr>
          <w:p w14:paraId="6C19378E">
            <w:pPr>
              <w:pStyle w:val="179"/>
              <w:rPr>
                <w:b/>
              </w:rPr>
            </w:pPr>
            <w:r>
              <w:rPr>
                <w:b/>
              </w:rPr>
              <w:t>点号</w:t>
            </w:r>
          </w:p>
        </w:tc>
        <w:tc>
          <w:tcPr>
            <w:tcW w:w="1064" w:type="pct"/>
            <w:noWrap/>
            <w:vAlign w:val="center"/>
          </w:tcPr>
          <w:p w14:paraId="4C5E5A00">
            <w:pPr>
              <w:pStyle w:val="179"/>
              <w:rPr>
                <w:b/>
              </w:rPr>
            </w:pPr>
            <w:r>
              <w:rPr>
                <w:rFonts w:hint="eastAsia"/>
                <w:b/>
              </w:rPr>
              <w:t>1</w:t>
            </w:r>
            <w:r>
              <w:rPr>
                <w:b/>
              </w:rPr>
              <w:t>#（表层样）</w:t>
            </w:r>
          </w:p>
        </w:tc>
        <w:tc>
          <w:tcPr>
            <w:tcW w:w="934" w:type="pct"/>
            <w:noWrap/>
            <w:vAlign w:val="center"/>
          </w:tcPr>
          <w:p w14:paraId="00198608">
            <w:pPr>
              <w:pStyle w:val="179"/>
              <w:rPr>
                <w:b/>
              </w:rPr>
            </w:pPr>
            <w:r>
              <w:rPr>
                <w:rFonts w:hint="eastAsia"/>
                <w:b/>
              </w:rPr>
              <w:t>2</w:t>
            </w:r>
            <w:r>
              <w:rPr>
                <w:b/>
              </w:rPr>
              <w:t>#（表层样）</w:t>
            </w:r>
          </w:p>
        </w:tc>
        <w:tc>
          <w:tcPr>
            <w:tcW w:w="991" w:type="pct"/>
            <w:noWrap/>
            <w:vAlign w:val="center"/>
          </w:tcPr>
          <w:p w14:paraId="01275108">
            <w:pPr>
              <w:pStyle w:val="179"/>
              <w:rPr>
                <w:b/>
              </w:rPr>
            </w:pPr>
            <w:r>
              <w:rPr>
                <w:rFonts w:hint="eastAsia"/>
                <w:b/>
              </w:rPr>
              <w:t>3</w:t>
            </w:r>
            <w:r>
              <w:rPr>
                <w:b/>
              </w:rPr>
              <w:t>#（表层样）</w:t>
            </w:r>
          </w:p>
        </w:tc>
      </w:tr>
      <w:tr w14:paraId="6D9E833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011" w:type="pct"/>
            <w:gridSpan w:val="2"/>
            <w:noWrap/>
            <w:vAlign w:val="center"/>
          </w:tcPr>
          <w:p w14:paraId="55DF9D13">
            <w:pPr>
              <w:pStyle w:val="179"/>
            </w:pPr>
            <w:r>
              <w:t>层次</w:t>
            </w:r>
          </w:p>
        </w:tc>
        <w:tc>
          <w:tcPr>
            <w:tcW w:w="1064" w:type="pct"/>
            <w:noWrap/>
            <w:vAlign w:val="center"/>
          </w:tcPr>
          <w:p w14:paraId="53977117">
            <w:pPr>
              <w:pStyle w:val="179"/>
            </w:pPr>
            <w:r>
              <w:t>0-0.2m</w:t>
            </w:r>
          </w:p>
        </w:tc>
        <w:tc>
          <w:tcPr>
            <w:tcW w:w="934" w:type="pct"/>
            <w:noWrap/>
            <w:vAlign w:val="center"/>
          </w:tcPr>
          <w:p w14:paraId="0362AB86">
            <w:pPr>
              <w:pStyle w:val="179"/>
            </w:pPr>
            <w:r>
              <w:t>0-0.2m</w:t>
            </w:r>
          </w:p>
        </w:tc>
        <w:tc>
          <w:tcPr>
            <w:tcW w:w="991" w:type="pct"/>
            <w:noWrap/>
            <w:vAlign w:val="center"/>
          </w:tcPr>
          <w:p w14:paraId="5E4C3623">
            <w:pPr>
              <w:pStyle w:val="179"/>
            </w:pPr>
            <w:r>
              <w:t>0-0.2m</w:t>
            </w:r>
          </w:p>
        </w:tc>
      </w:tr>
      <w:tr w14:paraId="05B203C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6" w:type="pct"/>
            <w:vMerge w:val="restart"/>
            <w:noWrap/>
            <w:vAlign w:val="center"/>
          </w:tcPr>
          <w:p w14:paraId="42E6254B">
            <w:pPr>
              <w:pStyle w:val="179"/>
            </w:pPr>
            <w:r>
              <w:t>现场记录</w:t>
            </w:r>
          </w:p>
        </w:tc>
        <w:tc>
          <w:tcPr>
            <w:tcW w:w="1345" w:type="pct"/>
            <w:noWrap/>
            <w:vAlign w:val="center"/>
          </w:tcPr>
          <w:p w14:paraId="2FA6AA24">
            <w:pPr>
              <w:pStyle w:val="179"/>
            </w:pPr>
            <w:r>
              <w:t>颜色</w:t>
            </w:r>
          </w:p>
        </w:tc>
        <w:tc>
          <w:tcPr>
            <w:tcW w:w="1064" w:type="pct"/>
            <w:noWrap/>
            <w:vAlign w:val="center"/>
          </w:tcPr>
          <w:p w14:paraId="21D273E7">
            <w:pPr>
              <w:pStyle w:val="179"/>
            </w:pPr>
            <w:r>
              <w:t>黑色</w:t>
            </w:r>
          </w:p>
        </w:tc>
        <w:tc>
          <w:tcPr>
            <w:tcW w:w="934" w:type="pct"/>
            <w:noWrap/>
            <w:vAlign w:val="center"/>
          </w:tcPr>
          <w:p w14:paraId="42C6E422">
            <w:pPr>
              <w:pStyle w:val="179"/>
            </w:pPr>
            <w:r>
              <w:t>黑色</w:t>
            </w:r>
          </w:p>
        </w:tc>
        <w:tc>
          <w:tcPr>
            <w:tcW w:w="991" w:type="pct"/>
            <w:noWrap/>
            <w:vAlign w:val="center"/>
          </w:tcPr>
          <w:p w14:paraId="2D057BB4">
            <w:pPr>
              <w:pStyle w:val="179"/>
            </w:pPr>
            <w:r>
              <w:t>黑色</w:t>
            </w:r>
          </w:p>
        </w:tc>
      </w:tr>
      <w:tr w14:paraId="40869C6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6" w:type="pct"/>
            <w:vMerge w:val="continue"/>
            <w:noWrap/>
            <w:vAlign w:val="center"/>
          </w:tcPr>
          <w:p w14:paraId="00DC0079">
            <w:pPr>
              <w:pStyle w:val="179"/>
            </w:pPr>
          </w:p>
        </w:tc>
        <w:tc>
          <w:tcPr>
            <w:tcW w:w="1345" w:type="pct"/>
            <w:noWrap/>
            <w:vAlign w:val="center"/>
          </w:tcPr>
          <w:p w14:paraId="414CE900">
            <w:pPr>
              <w:pStyle w:val="179"/>
            </w:pPr>
            <w:r>
              <w:t>结构</w:t>
            </w:r>
          </w:p>
        </w:tc>
        <w:tc>
          <w:tcPr>
            <w:tcW w:w="1064" w:type="pct"/>
            <w:noWrap/>
            <w:vAlign w:val="center"/>
          </w:tcPr>
          <w:p w14:paraId="61991CD9">
            <w:pPr>
              <w:pStyle w:val="179"/>
            </w:pPr>
            <w:r>
              <w:t>团粒状</w:t>
            </w:r>
          </w:p>
        </w:tc>
        <w:tc>
          <w:tcPr>
            <w:tcW w:w="934" w:type="pct"/>
            <w:noWrap/>
            <w:vAlign w:val="center"/>
          </w:tcPr>
          <w:p w14:paraId="26B8DF47">
            <w:pPr>
              <w:pStyle w:val="179"/>
            </w:pPr>
            <w:r>
              <w:t>团粒状</w:t>
            </w:r>
          </w:p>
        </w:tc>
        <w:tc>
          <w:tcPr>
            <w:tcW w:w="991" w:type="pct"/>
            <w:noWrap/>
            <w:vAlign w:val="center"/>
          </w:tcPr>
          <w:p w14:paraId="38E18242">
            <w:pPr>
              <w:pStyle w:val="179"/>
            </w:pPr>
            <w:r>
              <w:t>团粒状</w:t>
            </w:r>
          </w:p>
        </w:tc>
      </w:tr>
      <w:tr w14:paraId="2660A09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6" w:type="pct"/>
            <w:vMerge w:val="continue"/>
            <w:noWrap/>
            <w:vAlign w:val="center"/>
          </w:tcPr>
          <w:p w14:paraId="0DFABB97">
            <w:pPr>
              <w:pStyle w:val="179"/>
            </w:pPr>
          </w:p>
        </w:tc>
        <w:tc>
          <w:tcPr>
            <w:tcW w:w="1345" w:type="pct"/>
            <w:noWrap/>
            <w:vAlign w:val="center"/>
          </w:tcPr>
          <w:p w14:paraId="08C0251B">
            <w:pPr>
              <w:pStyle w:val="179"/>
            </w:pPr>
            <w:r>
              <w:t>质地</w:t>
            </w:r>
          </w:p>
        </w:tc>
        <w:tc>
          <w:tcPr>
            <w:tcW w:w="1064" w:type="pct"/>
            <w:noWrap/>
            <w:vAlign w:val="center"/>
          </w:tcPr>
          <w:p w14:paraId="22938A81">
            <w:pPr>
              <w:pStyle w:val="179"/>
            </w:pPr>
            <w:r>
              <w:t>粗粉砂、粘粒为主</w:t>
            </w:r>
          </w:p>
        </w:tc>
        <w:tc>
          <w:tcPr>
            <w:tcW w:w="934" w:type="pct"/>
            <w:noWrap/>
            <w:vAlign w:val="center"/>
          </w:tcPr>
          <w:p w14:paraId="5BBFF0A1">
            <w:pPr>
              <w:pStyle w:val="179"/>
            </w:pPr>
            <w:r>
              <w:t>粗粉砂、粘粒为主</w:t>
            </w:r>
          </w:p>
        </w:tc>
        <w:tc>
          <w:tcPr>
            <w:tcW w:w="991" w:type="pct"/>
            <w:noWrap/>
            <w:vAlign w:val="center"/>
          </w:tcPr>
          <w:p w14:paraId="251F004D">
            <w:pPr>
              <w:pStyle w:val="179"/>
            </w:pPr>
            <w:r>
              <w:t>粗粉砂、粘粒为主</w:t>
            </w:r>
          </w:p>
        </w:tc>
      </w:tr>
      <w:tr w14:paraId="4F46D7C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6" w:type="pct"/>
            <w:vMerge w:val="continue"/>
            <w:noWrap/>
            <w:vAlign w:val="center"/>
          </w:tcPr>
          <w:p w14:paraId="1866AB57">
            <w:pPr>
              <w:pStyle w:val="179"/>
            </w:pPr>
          </w:p>
        </w:tc>
        <w:tc>
          <w:tcPr>
            <w:tcW w:w="1345" w:type="pct"/>
            <w:noWrap/>
            <w:vAlign w:val="center"/>
          </w:tcPr>
          <w:p w14:paraId="5C2F1BBE">
            <w:pPr>
              <w:pStyle w:val="179"/>
            </w:pPr>
            <w:r>
              <w:t>砂砾含量</w:t>
            </w:r>
          </w:p>
        </w:tc>
        <w:tc>
          <w:tcPr>
            <w:tcW w:w="1064" w:type="pct"/>
            <w:noWrap/>
            <w:vAlign w:val="center"/>
          </w:tcPr>
          <w:p w14:paraId="2560729A">
            <w:pPr>
              <w:pStyle w:val="179"/>
            </w:pPr>
            <w:r>
              <w:t>20%</w:t>
            </w:r>
          </w:p>
        </w:tc>
        <w:tc>
          <w:tcPr>
            <w:tcW w:w="934" w:type="pct"/>
            <w:noWrap/>
            <w:vAlign w:val="center"/>
          </w:tcPr>
          <w:p w14:paraId="1CC97675">
            <w:pPr>
              <w:pStyle w:val="179"/>
            </w:pPr>
            <w:r>
              <w:t>20%</w:t>
            </w:r>
          </w:p>
        </w:tc>
        <w:tc>
          <w:tcPr>
            <w:tcW w:w="991" w:type="pct"/>
            <w:noWrap/>
            <w:vAlign w:val="center"/>
          </w:tcPr>
          <w:p w14:paraId="17C009F8">
            <w:pPr>
              <w:pStyle w:val="179"/>
            </w:pPr>
            <w:r>
              <w:t>20%</w:t>
            </w:r>
          </w:p>
        </w:tc>
      </w:tr>
      <w:tr w14:paraId="22A1883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6" w:type="pct"/>
            <w:vMerge w:val="continue"/>
            <w:noWrap/>
            <w:vAlign w:val="center"/>
          </w:tcPr>
          <w:p w14:paraId="555ED2B8">
            <w:pPr>
              <w:pStyle w:val="179"/>
            </w:pPr>
          </w:p>
        </w:tc>
        <w:tc>
          <w:tcPr>
            <w:tcW w:w="1345" w:type="pct"/>
            <w:noWrap/>
            <w:vAlign w:val="center"/>
          </w:tcPr>
          <w:p w14:paraId="3AEAEED0">
            <w:pPr>
              <w:pStyle w:val="179"/>
            </w:pPr>
            <w:r>
              <w:t>其他异物</w:t>
            </w:r>
          </w:p>
        </w:tc>
        <w:tc>
          <w:tcPr>
            <w:tcW w:w="1064" w:type="pct"/>
            <w:noWrap/>
            <w:vAlign w:val="center"/>
          </w:tcPr>
          <w:p w14:paraId="5292F39D">
            <w:pPr>
              <w:pStyle w:val="179"/>
            </w:pPr>
            <w:r>
              <w:t>无</w:t>
            </w:r>
          </w:p>
        </w:tc>
        <w:tc>
          <w:tcPr>
            <w:tcW w:w="934" w:type="pct"/>
            <w:noWrap/>
            <w:vAlign w:val="center"/>
          </w:tcPr>
          <w:p w14:paraId="0EB973F5">
            <w:pPr>
              <w:pStyle w:val="179"/>
            </w:pPr>
            <w:r>
              <w:t>无</w:t>
            </w:r>
          </w:p>
        </w:tc>
        <w:tc>
          <w:tcPr>
            <w:tcW w:w="991" w:type="pct"/>
            <w:noWrap/>
            <w:vAlign w:val="center"/>
          </w:tcPr>
          <w:p w14:paraId="28F230A8">
            <w:pPr>
              <w:pStyle w:val="179"/>
            </w:pPr>
            <w:r>
              <w:t>无</w:t>
            </w:r>
          </w:p>
        </w:tc>
      </w:tr>
      <w:tr w14:paraId="77F6B3F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6" w:type="pct"/>
            <w:vMerge w:val="restart"/>
            <w:noWrap/>
            <w:vAlign w:val="center"/>
          </w:tcPr>
          <w:p w14:paraId="1F1A529A">
            <w:pPr>
              <w:pStyle w:val="179"/>
            </w:pPr>
            <w:r>
              <w:t>实验室测定</w:t>
            </w:r>
          </w:p>
        </w:tc>
        <w:tc>
          <w:tcPr>
            <w:tcW w:w="1345" w:type="pct"/>
            <w:noWrap/>
            <w:vAlign w:val="center"/>
          </w:tcPr>
          <w:p w14:paraId="1D76A13E">
            <w:pPr>
              <w:pStyle w:val="179"/>
            </w:pPr>
            <w:r>
              <w:t>pH值（无量纲）</w:t>
            </w:r>
          </w:p>
        </w:tc>
        <w:tc>
          <w:tcPr>
            <w:tcW w:w="1064" w:type="pct"/>
            <w:noWrap/>
            <w:vAlign w:val="center"/>
          </w:tcPr>
          <w:p w14:paraId="04908BF8">
            <w:pPr>
              <w:pStyle w:val="179"/>
            </w:pPr>
            <w:r>
              <w:t>5.52</w:t>
            </w:r>
          </w:p>
        </w:tc>
        <w:tc>
          <w:tcPr>
            <w:tcW w:w="934" w:type="pct"/>
            <w:noWrap/>
            <w:vAlign w:val="center"/>
          </w:tcPr>
          <w:p w14:paraId="2BEEC438">
            <w:pPr>
              <w:pStyle w:val="179"/>
            </w:pPr>
            <w:r>
              <w:t>5.83</w:t>
            </w:r>
          </w:p>
        </w:tc>
        <w:tc>
          <w:tcPr>
            <w:tcW w:w="991" w:type="pct"/>
            <w:noWrap/>
            <w:vAlign w:val="center"/>
          </w:tcPr>
          <w:p w14:paraId="653915D0">
            <w:pPr>
              <w:pStyle w:val="179"/>
            </w:pPr>
            <w:r>
              <w:t>5.78</w:t>
            </w:r>
          </w:p>
        </w:tc>
      </w:tr>
      <w:tr w14:paraId="73F93B9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6" w:type="pct"/>
            <w:vMerge w:val="continue"/>
            <w:noWrap/>
            <w:vAlign w:val="center"/>
          </w:tcPr>
          <w:p w14:paraId="14E95EC8">
            <w:pPr>
              <w:pStyle w:val="179"/>
            </w:pPr>
          </w:p>
        </w:tc>
        <w:tc>
          <w:tcPr>
            <w:tcW w:w="1345" w:type="pct"/>
            <w:noWrap/>
            <w:vAlign w:val="center"/>
          </w:tcPr>
          <w:p w14:paraId="78A9CD8B">
            <w:pPr>
              <w:pStyle w:val="179"/>
            </w:pPr>
            <w:r>
              <w:t>阳离子交换量（cmol/kg）</w:t>
            </w:r>
          </w:p>
        </w:tc>
        <w:tc>
          <w:tcPr>
            <w:tcW w:w="1064" w:type="pct"/>
            <w:noWrap/>
            <w:vAlign w:val="center"/>
          </w:tcPr>
          <w:p w14:paraId="564D2A43">
            <w:pPr>
              <w:pStyle w:val="179"/>
            </w:pPr>
            <w:r>
              <w:t>18.5</w:t>
            </w:r>
          </w:p>
        </w:tc>
        <w:tc>
          <w:tcPr>
            <w:tcW w:w="934" w:type="pct"/>
            <w:noWrap/>
            <w:vAlign w:val="center"/>
          </w:tcPr>
          <w:p w14:paraId="65F18166">
            <w:pPr>
              <w:pStyle w:val="179"/>
            </w:pPr>
            <w:r>
              <w:t>17.6</w:t>
            </w:r>
          </w:p>
        </w:tc>
        <w:tc>
          <w:tcPr>
            <w:tcW w:w="991" w:type="pct"/>
            <w:noWrap/>
            <w:vAlign w:val="center"/>
          </w:tcPr>
          <w:p w14:paraId="3D0F246C">
            <w:pPr>
              <w:pStyle w:val="179"/>
            </w:pPr>
            <w:r>
              <w:t>15.8</w:t>
            </w:r>
          </w:p>
        </w:tc>
      </w:tr>
      <w:tr w14:paraId="5A153A1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6" w:type="pct"/>
            <w:vMerge w:val="continue"/>
            <w:noWrap/>
            <w:vAlign w:val="center"/>
          </w:tcPr>
          <w:p w14:paraId="4FC69286">
            <w:pPr>
              <w:pStyle w:val="179"/>
            </w:pPr>
          </w:p>
        </w:tc>
        <w:tc>
          <w:tcPr>
            <w:tcW w:w="1345" w:type="pct"/>
            <w:noWrap/>
            <w:vAlign w:val="center"/>
          </w:tcPr>
          <w:p w14:paraId="1322C79E">
            <w:pPr>
              <w:pStyle w:val="179"/>
            </w:pPr>
            <w:r>
              <w:t>氧化还原电位（mV）</w:t>
            </w:r>
          </w:p>
        </w:tc>
        <w:tc>
          <w:tcPr>
            <w:tcW w:w="1064" w:type="pct"/>
            <w:noWrap/>
            <w:vAlign w:val="center"/>
          </w:tcPr>
          <w:p w14:paraId="7D8156A4">
            <w:pPr>
              <w:pStyle w:val="179"/>
            </w:pPr>
            <w:r>
              <w:t>470</w:t>
            </w:r>
          </w:p>
        </w:tc>
        <w:tc>
          <w:tcPr>
            <w:tcW w:w="934" w:type="pct"/>
            <w:noWrap/>
            <w:vAlign w:val="center"/>
          </w:tcPr>
          <w:p w14:paraId="7AEE3AAA">
            <w:pPr>
              <w:pStyle w:val="179"/>
            </w:pPr>
            <w:r>
              <w:t>475</w:t>
            </w:r>
          </w:p>
        </w:tc>
        <w:tc>
          <w:tcPr>
            <w:tcW w:w="991" w:type="pct"/>
            <w:noWrap/>
            <w:vAlign w:val="center"/>
          </w:tcPr>
          <w:p w14:paraId="5DACE071">
            <w:pPr>
              <w:pStyle w:val="179"/>
            </w:pPr>
            <w:r>
              <w:t>477</w:t>
            </w:r>
          </w:p>
        </w:tc>
      </w:tr>
      <w:tr w14:paraId="25AE848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6" w:type="pct"/>
            <w:vMerge w:val="continue"/>
            <w:noWrap/>
            <w:vAlign w:val="center"/>
          </w:tcPr>
          <w:p w14:paraId="269216E8">
            <w:pPr>
              <w:pStyle w:val="179"/>
            </w:pPr>
          </w:p>
        </w:tc>
        <w:tc>
          <w:tcPr>
            <w:tcW w:w="1345" w:type="pct"/>
            <w:noWrap/>
            <w:vAlign w:val="center"/>
          </w:tcPr>
          <w:p w14:paraId="35CAD078">
            <w:pPr>
              <w:pStyle w:val="179"/>
            </w:pPr>
            <w:r>
              <w:t>饱和导水率（cm/s）</w:t>
            </w:r>
          </w:p>
        </w:tc>
        <w:tc>
          <w:tcPr>
            <w:tcW w:w="1064" w:type="pct"/>
            <w:noWrap/>
            <w:vAlign w:val="center"/>
          </w:tcPr>
          <w:p w14:paraId="1D53E006">
            <w:pPr>
              <w:pStyle w:val="179"/>
            </w:pPr>
            <w:r>
              <w:t>0.059</w:t>
            </w:r>
          </w:p>
        </w:tc>
        <w:tc>
          <w:tcPr>
            <w:tcW w:w="934" w:type="pct"/>
            <w:noWrap/>
            <w:vAlign w:val="center"/>
          </w:tcPr>
          <w:p w14:paraId="78C771EF">
            <w:pPr>
              <w:pStyle w:val="179"/>
            </w:pPr>
            <w:r>
              <w:t>0.059</w:t>
            </w:r>
          </w:p>
        </w:tc>
        <w:tc>
          <w:tcPr>
            <w:tcW w:w="991" w:type="pct"/>
            <w:noWrap/>
            <w:vAlign w:val="center"/>
          </w:tcPr>
          <w:p w14:paraId="4EAB5F6C">
            <w:pPr>
              <w:pStyle w:val="179"/>
            </w:pPr>
            <w:r>
              <w:t>0.058</w:t>
            </w:r>
          </w:p>
        </w:tc>
      </w:tr>
      <w:tr w14:paraId="44FCF55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6" w:type="pct"/>
            <w:vMerge w:val="continue"/>
            <w:noWrap/>
            <w:vAlign w:val="center"/>
          </w:tcPr>
          <w:p w14:paraId="693FF607">
            <w:pPr>
              <w:pStyle w:val="179"/>
            </w:pPr>
          </w:p>
        </w:tc>
        <w:tc>
          <w:tcPr>
            <w:tcW w:w="1345" w:type="pct"/>
            <w:shd w:val="clear" w:color="auto" w:fill="auto"/>
            <w:noWrap/>
            <w:vAlign w:val="center"/>
          </w:tcPr>
          <w:p w14:paraId="7E14004A">
            <w:pPr>
              <w:pStyle w:val="179"/>
            </w:pPr>
            <w:r>
              <w:t>土壤容重（g/cm</w:t>
            </w:r>
            <w:r>
              <w:rPr>
                <w:vertAlign w:val="superscript"/>
              </w:rPr>
              <w:t>3</w:t>
            </w:r>
            <w:r>
              <w:t>）</w:t>
            </w:r>
          </w:p>
        </w:tc>
        <w:tc>
          <w:tcPr>
            <w:tcW w:w="1064" w:type="pct"/>
            <w:shd w:val="clear" w:color="auto" w:fill="auto"/>
            <w:noWrap/>
            <w:vAlign w:val="center"/>
          </w:tcPr>
          <w:p w14:paraId="12267A82">
            <w:pPr>
              <w:pStyle w:val="179"/>
            </w:pPr>
            <w:r>
              <w:t>1.10</w:t>
            </w:r>
          </w:p>
        </w:tc>
        <w:tc>
          <w:tcPr>
            <w:tcW w:w="934" w:type="pct"/>
            <w:shd w:val="clear" w:color="auto" w:fill="auto"/>
            <w:noWrap/>
            <w:vAlign w:val="center"/>
          </w:tcPr>
          <w:p w14:paraId="1C614FEB">
            <w:pPr>
              <w:pStyle w:val="179"/>
            </w:pPr>
            <w:r>
              <w:t>1.07</w:t>
            </w:r>
          </w:p>
        </w:tc>
        <w:tc>
          <w:tcPr>
            <w:tcW w:w="991" w:type="pct"/>
            <w:shd w:val="clear" w:color="auto" w:fill="auto"/>
            <w:noWrap/>
            <w:vAlign w:val="center"/>
          </w:tcPr>
          <w:p w14:paraId="76C562B4">
            <w:pPr>
              <w:pStyle w:val="179"/>
            </w:pPr>
            <w:r>
              <w:t>1.04</w:t>
            </w:r>
          </w:p>
        </w:tc>
      </w:tr>
      <w:tr w14:paraId="0D93199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6" w:type="pct"/>
            <w:vMerge w:val="continue"/>
            <w:noWrap/>
            <w:vAlign w:val="center"/>
          </w:tcPr>
          <w:p w14:paraId="1015EAEE">
            <w:pPr>
              <w:pStyle w:val="179"/>
            </w:pPr>
          </w:p>
        </w:tc>
        <w:tc>
          <w:tcPr>
            <w:tcW w:w="1345" w:type="pct"/>
            <w:shd w:val="clear" w:color="auto" w:fill="auto"/>
            <w:noWrap/>
            <w:vAlign w:val="center"/>
          </w:tcPr>
          <w:p w14:paraId="44815AC5">
            <w:pPr>
              <w:pStyle w:val="179"/>
            </w:pPr>
            <w:r>
              <w:t>孔隙度（%）</w:t>
            </w:r>
          </w:p>
        </w:tc>
        <w:tc>
          <w:tcPr>
            <w:tcW w:w="1064" w:type="pct"/>
            <w:shd w:val="clear" w:color="auto" w:fill="auto"/>
            <w:noWrap/>
            <w:vAlign w:val="center"/>
          </w:tcPr>
          <w:p w14:paraId="2932224D">
            <w:pPr>
              <w:pStyle w:val="179"/>
            </w:pPr>
            <w:r>
              <w:t>42.3</w:t>
            </w:r>
          </w:p>
        </w:tc>
        <w:tc>
          <w:tcPr>
            <w:tcW w:w="934" w:type="pct"/>
            <w:shd w:val="clear" w:color="auto" w:fill="auto"/>
            <w:noWrap/>
            <w:vAlign w:val="center"/>
          </w:tcPr>
          <w:p w14:paraId="6F2E1344">
            <w:pPr>
              <w:pStyle w:val="179"/>
            </w:pPr>
            <w:r>
              <w:t>42.7</w:t>
            </w:r>
          </w:p>
        </w:tc>
        <w:tc>
          <w:tcPr>
            <w:tcW w:w="991" w:type="pct"/>
            <w:shd w:val="clear" w:color="auto" w:fill="auto"/>
            <w:noWrap/>
            <w:vAlign w:val="center"/>
          </w:tcPr>
          <w:p w14:paraId="26A314C6">
            <w:pPr>
              <w:pStyle w:val="179"/>
            </w:pPr>
            <w:r>
              <w:t>43.4</w:t>
            </w:r>
          </w:p>
        </w:tc>
      </w:tr>
    </w:tbl>
    <w:p w14:paraId="3BF5E233">
      <w:pPr>
        <w:pStyle w:val="4"/>
        <w:spacing w:before="180" w:after="120"/>
        <w:rPr>
          <w:rFonts w:hAnsi="Times New Roman" w:cs="Times New Roman"/>
        </w:rPr>
      </w:pPr>
      <w:r>
        <w:rPr>
          <w:rFonts w:hAnsi="Times New Roman" w:cs="Times New Roman"/>
        </w:rPr>
        <w:t>现状监测结果</w:t>
      </w:r>
    </w:p>
    <w:p w14:paraId="7C5E62F2">
      <w:pPr>
        <w:ind w:firstLine="480"/>
        <w:rPr>
          <w:rFonts w:hAnsi="Times New Roman" w:cs="Times New Roman"/>
        </w:rPr>
      </w:pPr>
      <w:r>
        <w:t>土壤环境现状监测结果见表4.</w:t>
      </w:r>
      <w:r>
        <w:rPr>
          <w:rFonts w:hint="eastAsia"/>
        </w:rPr>
        <w:t>4</w:t>
      </w:r>
      <w:r>
        <w:t>-3。</w:t>
      </w:r>
    </w:p>
    <w:p w14:paraId="6F783052">
      <w:pPr>
        <w:pStyle w:val="178"/>
        <w:rPr>
          <w:kern w:val="0"/>
        </w:rPr>
      </w:pPr>
      <w:r>
        <w:rPr>
          <w:kern w:val="0"/>
        </w:rPr>
        <w:t>表4.</w:t>
      </w:r>
      <w:r>
        <w:rPr>
          <w:rFonts w:hint="eastAsia"/>
          <w:kern w:val="0"/>
        </w:rPr>
        <w:t>4</w:t>
      </w:r>
      <w:r>
        <w:rPr>
          <w:kern w:val="0"/>
        </w:rPr>
        <w:t xml:space="preserve">-3  土壤监测结果表  </w:t>
      </w:r>
    </w:p>
    <w:tbl>
      <w:tblPr>
        <w:tblStyle w:val="36"/>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803"/>
        <w:gridCol w:w="1511"/>
        <w:gridCol w:w="1511"/>
        <w:gridCol w:w="1513"/>
        <w:gridCol w:w="1134"/>
      </w:tblGrid>
      <w:tr w14:paraId="3A71D0E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tblHeader/>
          <w:jc w:val="center"/>
        </w:trPr>
        <w:tc>
          <w:tcPr>
            <w:tcW w:w="1654" w:type="pct"/>
            <w:vMerge w:val="restart"/>
            <w:noWrap/>
            <w:vAlign w:val="center"/>
          </w:tcPr>
          <w:p w14:paraId="2B9E38FB">
            <w:pPr>
              <w:pStyle w:val="179"/>
              <w:rPr>
                <w:b/>
              </w:rPr>
            </w:pPr>
            <w:r>
              <w:rPr>
                <w:b/>
              </w:rPr>
              <w:t>检测项目</w:t>
            </w:r>
          </w:p>
        </w:tc>
        <w:tc>
          <w:tcPr>
            <w:tcW w:w="2677" w:type="pct"/>
            <w:gridSpan w:val="3"/>
            <w:noWrap/>
            <w:vAlign w:val="center"/>
          </w:tcPr>
          <w:p w14:paraId="1D7A2395">
            <w:pPr>
              <w:pStyle w:val="179"/>
              <w:rPr>
                <w:b/>
              </w:rPr>
            </w:pPr>
            <w:r>
              <w:rPr>
                <w:b/>
              </w:rPr>
              <w:t>检测时间/检测点位/检测结果</w:t>
            </w:r>
          </w:p>
        </w:tc>
        <w:tc>
          <w:tcPr>
            <w:tcW w:w="669" w:type="pct"/>
            <w:vMerge w:val="restart"/>
            <w:vAlign w:val="center"/>
          </w:tcPr>
          <w:p w14:paraId="79F4DE17">
            <w:pPr>
              <w:pStyle w:val="179"/>
              <w:rPr>
                <w:b/>
              </w:rPr>
            </w:pPr>
            <w:r>
              <w:rPr>
                <w:b/>
              </w:rPr>
              <w:t>单位</w:t>
            </w:r>
          </w:p>
        </w:tc>
      </w:tr>
      <w:tr w14:paraId="2DCC1DA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tblHeader/>
          <w:jc w:val="center"/>
        </w:trPr>
        <w:tc>
          <w:tcPr>
            <w:tcW w:w="1654" w:type="pct"/>
            <w:vMerge w:val="continue"/>
            <w:noWrap/>
            <w:vAlign w:val="center"/>
          </w:tcPr>
          <w:p w14:paraId="5E6D9184">
            <w:pPr>
              <w:pStyle w:val="179"/>
              <w:rPr>
                <w:b/>
              </w:rPr>
            </w:pPr>
          </w:p>
        </w:tc>
        <w:tc>
          <w:tcPr>
            <w:tcW w:w="2677" w:type="pct"/>
            <w:gridSpan w:val="3"/>
            <w:noWrap/>
            <w:vAlign w:val="center"/>
          </w:tcPr>
          <w:p w14:paraId="02BFD95C">
            <w:pPr>
              <w:pStyle w:val="179"/>
              <w:rPr>
                <w:b/>
              </w:rPr>
            </w:pPr>
            <w:r>
              <w:rPr>
                <w:b/>
              </w:rPr>
              <w:t>202</w:t>
            </w:r>
            <w:r>
              <w:rPr>
                <w:rFonts w:hint="eastAsia"/>
                <w:b/>
              </w:rPr>
              <w:t>6</w:t>
            </w:r>
            <w:r>
              <w:rPr>
                <w:b/>
              </w:rPr>
              <w:t>.0</w:t>
            </w:r>
            <w:r>
              <w:rPr>
                <w:rFonts w:hint="eastAsia"/>
                <w:b/>
              </w:rPr>
              <w:t>1</w:t>
            </w:r>
            <w:r>
              <w:rPr>
                <w:b/>
              </w:rPr>
              <w:t>.</w:t>
            </w:r>
            <w:r>
              <w:rPr>
                <w:rFonts w:hint="eastAsia"/>
                <w:b/>
              </w:rPr>
              <w:t>08</w:t>
            </w:r>
          </w:p>
        </w:tc>
        <w:tc>
          <w:tcPr>
            <w:tcW w:w="669" w:type="pct"/>
            <w:vMerge w:val="continue"/>
          </w:tcPr>
          <w:p w14:paraId="4C385AE6">
            <w:pPr>
              <w:pStyle w:val="179"/>
              <w:rPr>
                <w:b/>
              </w:rPr>
            </w:pPr>
          </w:p>
        </w:tc>
      </w:tr>
      <w:tr w14:paraId="019683C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tblHeader/>
          <w:jc w:val="center"/>
        </w:trPr>
        <w:tc>
          <w:tcPr>
            <w:tcW w:w="1654" w:type="pct"/>
            <w:vMerge w:val="continue"/>
            <w:noWrap/>
            <w:vAlign w:val="center"/>
          </w:tcPr>
          <w:p w14:paraId="2412A2CB">
            <w:pPr>
              <w:pStyle w:val="179"/>
              <w:rPr>
                <w:b/>
              </w:rPr>
            </w:pPr>
          </w:p>
        </w:tc>
        <w:tc>
          <w:tcPr>
            <w:tcW w:w="892" w:type="pct"/>
            <w:noWrap/>
            <w:vAlign w:val="center"/>
          </w:tcPr>
          <w:p w14:paraId="20F86FB3">
            <w:pPr>
              <w:pStyle w:val="179"/>
              <w:rPr>
                <w:b/>
              </w:rPr>
            </w:pPr>
            <w:r>
              <w:rPr>
                <w:b/>
              </w:rPr>
              <w:t>1#(0~0.5m)</w:t>
            </w:r>
          </w:p>
        </w:tc>
        <w:tc>
          <w:tcPr>
            <w:tcW w:w="892" w:type="pct"/>
            <w:vAlign w:val="center"/>
          </w:tcPr>
          <w:p w14:paraId="49B90288">
            <w:pPr>
              <w:pStyle w:val="179"/>
              <w:rPr>
                <w:b/>
              </w:rPr>
            </w:pPr>
            <w:r>
              <w:rPr>
                <w:b/>
              </w:rPr>
              <w:t>2#(0~0.5m)</w:t>
            </w:r>
          </w:p>
        </w:tc>
        <w:tc>
          <w:tcPr>
            <w:tcW w:w="892" w:type="pct"/>
            <w:vAlign w:val="center"/>
          </w:tcPr>
          <w:p w14:paraId="50A541E2">
            <w:pPr>
              <w:pStyle w:val="179"/>
              <w:rPr>
                <w:b/>
              </w:rPr>
            </w:pPr>
            <w:r>
              <w:rPr>
                <w:b/>
              </w:rPr>
              <w:t>3#(0~0.5m)</w:t>
            </w:r>
          </w:p>
        </w:tc>
        <w:tc>
          <w:tcPr>
            <w:tcW w:w="669" w:type="pct"/>
            <w:vMerge w:val="continue"/>
          </w:tcPr>
          <w:p w14:paraId="6C8BDE37">
            <w:pPr>
              <w:pStyle w:val="179"/>
              <w:rPr>
                <w:b/>
              </w:rPr>
            </w:pPr>
          </w:p>
        </w:tc>
      </w:tr>
      <w:tr w14:paraId="234DB10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654" w:type="pct"/>
            <w:noWrap/>
            <w:vAlign w:val="center"/>
          </w:tcPr>
          <w:p w14:paraId="70EBF598">
            <w:pPr>
              <w:pStyle w:val="179"/>
            </w:pPr>
            <w:r>
              <w:t>砷</w:t>
            </w:r>
            <w:r>
              <w:rPr>
                <w:rFonts w:hint="eastAsia"/>
              </w:rPr>
              <w:t>*</w:t>
            </w:r>
          </w:p>
        </w:tc>
        <w:tc>
          <w:tcPr>
            <w:tcW w:w="892" w:type="pct"/>
            <w:noWrap/>
            <w:vAlign w:val="center"/>
          </w:tcPr>
          <w:p w14:paraId="507A1E72">
            <w:pPr>
              <w:pStyle w:val="179"/>
            </w:pPr>
            <w:r>
              <w:rPr>
                <w:rFonts w:hint="eastAsia"/>
              </w:rPr>
              <w:t>7.97</w:t>
            </w:r>
          </w:p>
        </w:tc>
        <w:tc>
          <w:tcPr>
            <w:tcW w:w="892" w:type="pct"/>
            <w:vAlign w:val="center"/>
          </w:tcPr>
          <w:p w14:paraId="7602522F">
            <w:pPr>
              <w:pStyle w:val="179"/>
            </w:pPr>
            <w:r>
              <w:rPr>
                <w:rFonts w:hint="eastAsia"/>
              </w:rPr>
              <w:t>8.08</w:t>
            </w:r>
          </w:p>
        </w:tc>
        <w:tc>
          <w:tcPr>
            <w:tcW w:w="892" w:type="pct"/>
            <w:vAlign w:val="center"/>
          </w:tcPr>
          <w:p w14:paraId="2C29FCF6">
            <w:pPr>
              <w:pStyle w:val="179"/>
            </w:pPr>
            <w:r>
              <w:rPr>
                <w:rFonts w:hint="eastAsia"/>
              </w:rPr>
              <w:t>7.69</w:t>
            </w:r>
          </w:p>
        </w:tc>
        <w:tc>
          <w:tcPr>
            <w:tcW w:w="669" w:type="pct"/>
            <w:vAlign w:val="center"/>
          </w:tcPr>
          <w:p w14:paraId="798A9489">
            <w:pPr>
              <w:pStyle w:val="179"/>
            </w:pPr>
            <w:r>
              <w:t>mg/kg</w:t>
            </w:r>
          </w:p>
        </w:tc>
      </w:tr>
      <w:tr w14:paraId="5E45C7D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654" w:type="pct"/>
            <w:shd w:val="clear" w:color="auto" w:fill="auto"/>
            <w:noWrap/>
            <w:vAlign w:val="center"/>
          </w:tcPr>
          <w:p w14:paraId="180DAC5D">
            <w:pPr>
              <w:pStyle w:val="179"/>
            </w:pPr>
            <w:r>
              <w:rPr>
                <w:rFonts w:hint="eastAsia"/>
              </w:rPr>
              <w:t>镉*</w:t>
            </w:r>
          </w:p>
        </w:tc>
        <w:tc>
          <w:tcPr>
            <w:tcW w:w="892" w:type="pct"/>
            <w:shd w:val="clear" w:color="auto" w:fill="auto"/>
            <w:noWrap/>
            <w:vAlign w:val="center"/>
          </w:tcPr>
          <w:p w14:paraId="0AE3F8C6">
            <w:pPr>
              <w:pStyle w:val="179"/>
            </w:pPr>
            <w:r>
              <w:rPr>
                <w:rFonts w:hint="eastAsia"/>
              </w:rPr>
              <w:t>0.23</w:t>
            </w:r>
          </w:p>
        </w:tc>
        <w:tc>
          <w:tcPr>
            <w:tcW w:w="892" w:type="pct"/>
            <w:vAlign w:val="center"/>
          </w:tcPr>
          <w:p w14:paraId="7D3C392C">
            <w:pPr>
              <w:pStyle w:val="179"/>
            </w:pPr>
            <w:r>
              <w:rPr>
                <w:rFonts w:hint="eastAsia"/>
              </w:rPr>
              <w:t>0.22</w:t>
            </w:r>
          </w:p>
        </w:tc>
        <w:tc>
          <w:tcPr>
            <w:tcW w:w="892" w:type="pct"/>
            <w:vAlign w:val="center"/>
          </w:tcPr>
          <w:p w14:paraId="0750CCB7">
            <w:pPr>
              <w:pStyle w:val="179"/>
            </w:pPr>
            <w:r>
              <w:rPr>
                <w:rFonts w:hint="eastAsia"/>
              </w:rPr>
              <w:t>0.20</w:t>
            </w:r>
          </w:p>
        </w:tc>
        <w:tc>
          <w:tcPr>
            <w:tcW w:w="669" w:type="pct"/>
            <w:vAlign w:val="center"/>
          </w:tcPr>
          <w:p w14:paraId="457DF46C">
            <w:pPr>
              <w:pStyle w:val="179"/>
            </w:pPr>
            <w:r>
              <w:t>mg/kg</w:t>
            </w:r>
          </w:p>
        </w:tc>
      </w:tr>
      <w:tr w14:paraId="79679E0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654" w:type="pct"/>
            <w:shd w:val="clear" w:color="auto" w:fill="auto"/>
            <w:noWrap/>
            <w:vAlign w:val="center"/>
          </w:tcPr>
          <w:p w14:paraId="2269BAA9">
            <w:pPr>
              <w:pStyle w:val="179"/>
            </w:pPr>
            <w:r>
              <w:rPr>
                <w:rFonts w:hint="eastAsia"/>
              </w:rPr>
              <w:t>铬（六价）*</w:t>
            </w:r>
          </w:p>
        </w:tc>
        <w:tc>
          <w:tcPr>
            <w:tcW w:w="892" w:type="pct"/>
            <w:shd w:val="clear" w:color="auto" w:fill="auto"/>
            <w:noWrap/>
            <w:vAlign w:val="center"/>
          </w:tcPr>
          <w:p w14:paraId="0D940BAD">
            <w:pPr>
              <w:pStyle w:val="179"/>
            </w:pPr>
            <w:r>
              <w:rPr>
                <w:rFonts w:hint="eastAsia"/>
              </w:rPr>
              <w:t>ND</w:t>
            </w:r>
          </w:p>
        </w:tc>
        <w:tc>
          <w:tcPr>
            <w:tcW w:w="892" w:type="pct"/>
            <w:vAlign w:val="center"/>
          </w:tcPr>
          <w:p w14:paraId="077BFFE5">
            <w:pPr>
              <w:pStyle w:val="179"/>
            </w:pPr>
            <w:r>
              <w:rPr>
                <w:rFonts w:hint="eastAsia"/>
              </w:rPr>
              <w:t>ND</w:t>
            </w:r>
          </w:p>
        </w:tc>
        <w:tc>
          <w:tcPr>
            <w:tcW w:w="892" w:type="pct"/>
            <w:vAlign w:val="center"/>
          </w:tcPr>
          <w:p w14:paraId="06550AFC">
            <w:pPr>
              <w:pStyle w:val="179"/>
            </w:pPr>
            <w:r>
              <w:rPr>
                <w:rFonts w:hint="eastAsia"/>
              </w:rPr>
              <w:t>ND</w:t>
            </w:r>
          </w:p>
        </w:tc>
        <w:tc>
          <w:tcPr>
            <w:tcW w:w="669" w:type="pct"/>
            <w:vAlign w:val="center"/>
          </w:tcPr>
          <w:p w14:paraId="27FFFB3E">
            <w:pPr>
              <w:pStyle w:val="179"/>
            </w:pPr>
            <w:r>
              <w:t>mg/kg</w:t>
            </w:r>
          </w:p>
        </w:tc>
      </w:tr>
      <w:tr w14:paraId="248CE17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654" w:type="pct"/>
            <w:shd w:val="clear" w:color="auto" w:fill="auto"/>
            <w:noWrap/>
            <w:vAlign w:val="center"/>
          </w:tcPr>
          <w:p w14:paraId="0B7AB3C4">
            <w:pPr>
              <w:pStyle w:val="179"/>
            </w:pPr>
            <w:r>
              <w:rPr>
                <w:rFonts w:hint="eastAsia"/>
              </w:rPr>
              <w:t>铜*</w:t>
            </w:r>
          </w:p>
        </w:tc>
        <w:tc>
          <w:tcPr>
            <w:tcW w:w="892" w:type="pct"/>
            <w:shd w:val="clear" w:color="auto" w:fill="auto"/>
            <w:noWrap/>
            <w:vAlign w:val="center"/>
          </w:tcPr>
          <w:p w14:paraId="7886F8CB">
            <w:pPr>
              <w:pStyle w:val="179"/>
            </w:pPr>
            <w:r>
              <w:rPr>
                <w:rFonts w:hint="eastAsia"/>
              </w:rPr>
              <w:t>42</w:t>
            </w:r>
          </w:p>
        </w:tc>
        <w:tc>
          <w:tcPr>
            <w:tcW w:w="892" w:type="pct"/>
            <w:vAlign w:val="center"/>
          </w:tcPr>
          <w:p w14:paraId="1A7B961D">
            <w:pPr>
              <w:pStyle w:val="179"/>
            </w:pPr>
            <w:r>
              <w:rPr>
                <w:rFonts w:hint="eastAsia"/>
              </w:rPr>
              <w:t>41</w:t>
            </w:r>
          </w:p>
        </w:tc>
        <w:tc>
          <w:tcPr>
            <w:tcW w:w="892" w:type="pct"/>
            <w:vAlign w:val="center"/>
          </w:tcPr>
          <w:p w14:paraId="1789B524">
            <w:pPr>
              <w:pStyle w:val="179"/>
            </w:pPr>
            <w:r>
              <w:rPr>
                <w:rFonts w:hint="eastAsia"/>
              </w:rPr>
              <w:t>38</w:t>
            </w:r>
          </w:p>
        </w:tc>
        <w:tc>
          <w:tcPr>
            <w:tcW w:w="669" w:type="pct"/>
            <w:vAlign w:val="center"/>
          </w:tcPr>
          <w:p w14:paraId="414AD611">
            <w:pPr>
              <w:pStyle w:val="179"/>
            </w:pPr>
            <w:r>
              <w:t>mg/kg</w:t>
            </w:r>
          </w:p>
        </w:tc>
      </w:tr>
      <w:tr w14:paraId="2A13BE2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654" w:type="pct"/>
            <w:shd w:val="clear" w:color="auto" w:fill="auto"/>
            <w:noWrap/>
            <w:vAlign w:val="center"/>
          </w:tcPr>
          <w:p w14:paraId="2583033B">
            <w:pPr>
              <w:pStyle w:val="179"/>
            </w:pPr>
            <w:r>
              <w:rPr>
                <w:rFonts w:hint="eastAsia"/>
              </w:rPr>
              <w:t>铅*</w:t>
            </w:r>
          </w:p>
        </w:tc>
        <w:tc>
          <w:tcPr>
            <w:tcW w:w="892" w:type="pct"/>
            <w:shd w:val="clear" w:color="auto" w:fill="auto"/>
            <w:noWrap/>
            <w:vAlign w:val="center"/>
          </w:tcPr>
          <w:p w14:paraId="510C356B">
            <w:pPr>
              <w:pStyle w:val="179"/>
            </w:pPr>
            <w:r>
              <w:rPr>
                <w:rFonts w:hint="eastAsia"/>
              </w:rPr>
              <w:t>37</w:t>
            </w:r>
          </w:p>
        </w:tc>
        <w:tc>
          <w:tcPr>
            <w:tcW w:w="892" w:type="pct"/>
            <w:vAlign w:val="center"/>
          </w:tcPr>
          <w:p w14:paraId="15D6E011">
            <w:pPr>
              <w:pStyle w:val="179"/>
            </w:pPr>
            <w:r>
              <w:rPr>
                <w:rFonts w:hint="eastAsia"/>
              </w:rPr>
              <w:t>34</w:t>
            </w:r>
          </w:p>
        </w:tc>
        <w:tc>
          <w:tcPr>
            <w:tcW w:w="892" w:type="pct"/>
            <w:vAlign w:val="center"/>
          </w:tcPr>
          <w:p w14:paraId="21841CAB">
            <w:pPr>
              <w:pStyle w:val="179"/>
            </w:pPr>
            <w:r>
              <w:rPr>
                <w:rFonts w:hint="eastAsia"/>
              </w:rPr>
              <w:t>38</w:t>
            </w:r>
          </w:p>
        </w:tc>
        <w:tc>
          <w:tcPr>
            <w:tcW w:w="669" w:type="pct"/>
            <w:vAlign w:val="center"/>
          </w:tcPr>
          <w:p w14:paraId="182DA479">
            <w:pPr>
              <w:pStyle w:val="179"/>
            </w:pPr>
            <w:r>
              <w:t>mg/kg</w:t>
            </w:r>
          </w:p>
        </w:tc>
      </w:tr>
      <w:tr w14:paraId="411FF34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654" w:type="pct"/>
            <w:shd w:val="clear" w:color="auto" w:fill="auto"/>
            <w:noWrap/>
            <w:vAlign w:val="center"/>
          </w:tcPr>
          <w:p w14:paraId="7D08673A">
            <w:pPr>
              <w:pStyle w:val="179"/>
            </w:pPr>
            <w:r>
              <w:rPr>
                <w:rFonts w:hint="eastAsia"/>
              </w:rPr>
              <w:t>汞*</w:t>
            </w:r>
          </w:p>
        </w:tc>
        <w:tc>
          <w:tcPr>
            <w:tcW w:w="892" w:type="pct"/>
            <w:shd w:val="clear" w:color="auto" w:fill="auto"/>
            <w:noWrap/>
            <w:vAlign w:val="center"/>
          </w:tcPr>
          <w:p w14:paraId="725ADFE6">
            <w:pPr>
              <w:pStyle w:val="179"/>
            </w:pPr>
            <w:r>
              <w:rPr>
                <w:rFonts w:hint="eastAsia"/>
              </w:rPr>
              <w:t>0.109</w:t>
            </w:r>
          </w:p>
        </w:tc>
        <w:tc>
          <w:tcPr>
            <w:tcW w:w="892" w:type="pct"/>
            <w:vAlign w:val="center"/>
          </w:tcPr>
          <w:p w14:paraId="36DCD5B4">
            <w:pPr>
              <w:pStyle w:val="179"/>
            </w:pPr>
            <w:r>
              <w:rPr>
                <w:rFonts w:hint="eastAsia"/>
              </w:rPr>
              <w:t>0.120</w:t>
            </w:r>
          </w:p>
        </w:tc>
        <w:tc>
          <w:tcPr>
            <w:tcW w:w="892" w:type="pct"/>
            <w:vAlign w:val="center"/>
          </w:tcPr>
          <w:p w14:paraId="5F5F789A">
            <w:pPr>
              <w:pStyle w:val="179"/>
            </w:pPr>
            <w:r>
              <w:rPr>
                <w:rFonts w:hint="eastAsia"/>
              </w:rPr>
              <w:t>0.105</w:t>
            </w:r>
          </w:p>
        </w:tc>
        <w:tc>
          <w:tcPr>
            <w:tcW w:w="669" w:type="pct"/>
            <w:vAlign w:val="center"/>
          </w:tcPr>
          <w:p w14:paraId="43D5D4B0">
            <w:pPr>
              <w:pStyle w:val="179"/>
            </w:pPr>
            <w:r>
              <w:t>mg/kg</w:t>
            </w:r>
          </w:p>
        </w:tc>
      </w:tr>
      <w:tr w14:paraId="2872976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654" w:type="pct"/>
            <w:shd w:val="clear" w:color="auto" w:fill="auto"/>
            <w:noWrap/>
            <w:vAlign w:val="center"/>
          </w:tcPr>
          <w:p w14:paraId="3088B83C">
            <w:pPr>
              <w:pStyle w:val="179"/>
            </w:pPr>
            <w:r>
              <w:rPr>
                <w:rFonts w:hint="eastAsia"/>
              </w:rPr>
              <w:t>镍*</w:t>
            </w:r>
          </w:p>
        </w:tc>
        <w:tc>
          <w:tcPr>
            <w:tcW w:w="892" w:type="pct"/>
            <w:shd w:val="clear" w:color="auto" w:fill="auto"/>
            <w:noWrap/>
            <w:vAlign w:val="center"/>
          </w:tcPr>
          <w:p w14:paraId="151B8108">
            <w:pPr>
              <w:pStyle w:val="179"/>
            </w:pPr>
            <w:r>
              <w:rPr>
                <w:rFonts w:hint="eastAsia"/>
              </w:rPr>
              <w:t>44</w:t>
            </w:r>
          </w:p>
        </w:tc>
        <w:tc>
          <w:tcPr>
            <w:tcW w:w="892" w:type="pct"/>
            <w:vAlign w:val="center"/>
          </w:tcPr>
          <w:p w14:paraId="17F83DA6">
            <w:pPr>
              <w:pStyle w:val="179"/>
            </w:pPr>
            <w:r>
              <w:rPr>
                <w:rFonts w:hint="eastAsia"/>
              </w:rPr>
              <w:t>45</w:t>
            </w:r>
          </w:p>
        </w:tc>
        <w:tc>
          <w:tcPr>
            <w:tcW w:w="892" w:type="pct"/>
            <w:vAlign w:val="center"/>
          </w:tcPr>
          <w:p w14:paraId="4DE95531">
            <w:pPr>
              <w:pStyle w:val="179"/>
            </w:pPr>
            <w:r>
              <w:rPr>
                <w:rFonts w:hint="eastAsia"/>
              </w:rPr>
              <w:t>40</w:t>
            </w:r>
          </w:p>
        </w:tc>
        <w:tc>
          <w:tcPr>
            <w:tcW w:w="669" w:type="pct"/>
            <w:vAlign w:val="center"/>
          </w:tcPr>
          <w:p w14:paraId="236A6CFD">
            <w:pPr>
              <w:pStyle w:val="179"/>
            </w:pPr>
            <w:r>
              <w:t>mg/kg</w:t>
            </w:r>
          </w:p>
        </w:tc>
      </w:tr>
      <w:tr w14:paraId="6301B4E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654" w:type="pct"/>
            <w:noWrap/>
            <w:vAlign w:val="center"/>
          </w:tcPr>
          <w:p w14:paraId="19BB4A5A">
            <w:pPr>
              <w:pStyle w:val="179"/>
            </w:pPr>
            <w:r>
              <w:rPr>
                <w:rFonts w:hint="eastAsia"/>
              </w:rPr>
              <w:t>四氯化碳*</w:t>
            </w:r>
          </w:p>
        </w:tc>
        <w:tc>
          <w:tcPr>
            <w:tcW w:w="892" w:type="pct"/>
            <w:noWrap/>
            <w:vAlign w:val="center"/>
          </w:tcPr>
          <w:p w14:paraId="64C90549">
            <w:pPr>
              <w:pStyle w:val="179"/>
            </w:pPr>
            <w:r>
              <w:rPr>
                <w:rFonts w:hint="eastAsia"/>
              </w:rPr>
              <w:t>ND</w:t>
            </w:r>
          </w:p>
        </w:tc>
        <w:tc>
          <w:tcPr>
            <w:tcW w:w="892" w:type="pct"/>
          </w:tcPr>
          <w:p w14:paraId="7E056592">
            <w:pPr>
              <w:pStyle w:val="179"/>
            </w:pPr>
            <w:r>
              <w:rPr>
                <w:rFonts w:hint="eastAsia"/>
              </w:rPr>
              <w:t>-</w:t>
            </w:r>
          </w:p>
        </w:tc>
        <w:tc>
          <w:tcPr>
            <w:tcW w:w="892" w:type="pct"/>
          </w:tcPr>
          <w:p w14:paraId="7F7C096B">
            <w:pPr>
              <w:pStyle w:val="179"/>
            </w:pPr>
            <w:r>
              <w:rPr>
                <w:rFonts w:hint="eastAsia"/>
              </w:rPr>
              <w:t>-</w:t>
            </w:r>
          </w:p>
        </w:tc>
        <w:tc>
          <w:tcPr>
            <w:tcW w:w="669" w:type="pct"/>
            <w:vAlign w:val="center"/>
          </w:tcPr>
          <w:p w14:paraId="4428CD38">
            <w:pPr>
              <w:pStyle w:val="179"/>
            </w:pPr>
            <w:r>
              <w:t>mg/kg</w:t>
            </w:r>
          </w:p>
        </w:tc>
      </w:tr>
      <w:tr w14:paraId="1E9496E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654" w:type="pct"/>
            <w:shd w:val="clear" w:color="auto" w:fill="auto"/>
            <w:noWrap/>
            <w:vAlign w:val="center"/>
          </w:tcPr>
          <w:p w14:paraId="6AE751FC">
            <w:pPr>
              <w:pStyle w:val="179"/>
            </w:pPr>
            <w:r>
              <w:rPr>
                <w:rFonts w:hint="eastAsia"/>
              </w:rPr>
              <w:t>氯仿*</w:t>
            </w:r>
          </w:p>
        </w:tc>
        <w:tc>
          <w:tcPr>
            <w:tcW w:w="892" w:type="pct"/>
            <w:noWrap/>
            <w:vAlign w:val="center"/>
          </w:tcPr>
          <w:p w14:paraId="27322DB4">
            <w:pPr>
              <w:pStyle w:val="179"/>
            </w:pPr>
            <w:r>
              <w:rPr>
                <w:rFonts w:hint="eastAsia"/>
              </w:rPr>
              <w:t>ND</w:t>
            </w:r>
          </w:p>
        </w:tc>
        <w:tc>
          <w:tcPr>
            <w:tcW w:w="892" w:type="pct"/>
          </w:tcPr>
          <w:p w14:paraId="4A92116E">
            <w:pPr>
              <w:pStyle w:val="179"/>
            </w:pPr>
            <w:r>
              <w:rPr>
                <w:rFonts w:hint="eastAsia"/>
              </w:rPr>
              <w:t>-</w:t>
            </w:r>
          </w:p>
        </w:tc>
        <w:tc>
          <w:tcPr>
            <w:tcW w:w="892" w:type="pct"/>
          </w:tcPr>
          <w:p w14:paraId="5403137C">
            <w:pPr>
              <w:pStyle w:val="179"/>
            </w:pPr>
            <w:r>
              <w:rPr>
                <w:rFonts w:hint="eastAsia"/>
              </w:rPr>
              <w:t>-</w:t>
            </w:r>
          </w:p>
        </w:tc>
        <w:tc>
          <w:tcPr>
            <w:tcW w:w="669" w:type="pct"/>
            <w:vAlign w:val="center"/>
          </w:tcPr>
          <w:p w14:paraId="24DCCA91">
            <w:pPr>
              <w:pStyle w:val="179"/>
            </w:pPr>
            <w:r>
              <w:t>mg/kg</w:t>
            </w:r>
          </w:p>
        </w:tc>
      </w:tr>
      <w:tr w14:paraId="2B461C4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654" w:type="pct"/>
            <w:shd w:val="clear" w:color="auto" w:fill="auto"/>
            <w:noWrap/>
            <w:vAlign w:val="center"/>
          </w:tcPr>
          <w:p w14:paraId="44CA0CDB">
            <w:pPr>
              <w:pStyle w:val="179"/>
            </w:pPr>
            <w:r>
              <w:rPr>
                <w:rFonts w:hint="eastAsia"/>
              </w:rPr>
              <w:t>氯甲烷*</w:t>
            </w:r>
          </w:p>
        </w:tc>
        <w:tc>
          <w:tcPr>
            <w:tcW w:w="892" w:type="pct"/>
            <w:noWrap/>
            <w:vAlign w:val="center"/>
          </w:tcPr>
          <w:p w14:paraId="322BB01D">
            <w:pPr>
              <w:pStyle w:val="179"/>
            </w:pPr>
            <w:r>
              <w:rPr>
                <w:rFonts w:hint="eastAsia"/>
              </w:rPr>
              <w:t>ND</w:t>
            </w:r>
          </w:p>
        </w:tc>
        <w:tc>
          <w:tcPr>
            <w:tcW w:w="892" w:type="pct"/>
          </w:tcPr>
          <w:p w14:paraId="3B580954">
            <w:pPr>
              <w:pStyle w:val="179"/>
            </w:pPr>
            <w:r>
              <w:rPr>
                <w:rFonts w:hint="eastAsia"/>
              </w:rPr>
              <w:t>-</w:t>
            </w:r>
          </w:p>
        </w:tc>
        <w:tc>
          <w:tcPr>
            <w:tcW w:w="892" w:type="pct"/>
          </w:tcPr>
          <w:p w14:paraId="7F1A9CB0">
            <w:pPr>
              <w:pStyle w:val="179"/>
            </w:pPr>
            <w:r>
              <w:rPr>
                <w:rFonts w:hint="eastAsia"/>
              </w:rPr>
              <w:t>-</w:t>
            </w:r>
          </w:p>
        </w:tc>
        <w:tc>
          <w:tcPr>
            <w:tcW w:w="669" w:type="pct"/>
            <w:vAlign w:val="center"/>
          </w:tcPr>
          <w:p w14:paraId="2B0134A4">
            <w:pPr>
              <w:pStyle w:val="179"/>
            </w:pPr>
            <w:r>
              <w:t>mg/kg</w:t>
            </w:r>
          </w:p>
        </w:tc>
      </w:tr>
      <w:tr w14:paraId="2315B94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654" w:type="pct"/>
            <w:shd w:val="clear" w:color="auto" w:fill="auto"/>
            <w:noWrap/>
            <w:vAlign w:val="center"/>
          </w:tcPr>
          <w:p w14:paraId="2BC6C65B">
            <w:pPr>
              <w:pStyle w:val="179"/>
            </w:pPr>
            <w:r>
              <w:t>1,1-二氯乙烷</w:t>
            </w:r>
            <w:r>
              <w:rPr>
                <w:rFonts w:hint="eastAsia"/>
              </w:rPr>
              <w:t>*</w:t>
            </w:r>
          </w:p>
        </w:tc>
        <w:tc>
          <w:tcPr>
            <w:tcW w:w="892" w:type="pct"/>
            <w:noWrap/>
            <w:vAlign w:val="center"/>
          </w:tcPr>
          <w:p w14:paraId="2527A993">
            <w:pPr>
              <w:pStyle w:val="179"/>
            </w:pPr>
            <w:r>
              <w:rPr>
                <w:rFonts w:hint="eastAsia"/>
              </w:rPr>
              <w:t>ND</w:t>
            </w:r>
          </w:p>
        </w:tc>
        <w:tc>
          <w:tcPr>
            <w:tcW w:w="892" w:type="pct"/>
          </w:tcPr>
          <w:p w14:paraId="70FA0FB1">
            <w:pPr>
              <w:pStyle w:val="179"/>
            </w:pPr>
            <w:r>
              <w:rPr>
                <w:rFonts w:hint="eastAsia"/>
              </w:rPr>
              <w:t>-</w:t>
            </w:r>
          </w:p>
        </w:tc>
        <w:tc>
          <w:tcPr>
            <w:tcW w:w="892" w:type="pct"/>
          </w:tcPr>
          <w:p w14:paraId="7365EDBF">
            <w:pPr>
              <w:pStyle w:val="179"/>
            </w:pPr>
            <w:r>
              <w:rPr>
                <w:rFonts w:hint="eastAsia"/>
              </w:rPr>
              <w:t>-</w:t>
            </w:r>
          </w:p>
        </w:tc>
        <w:tc>
          <w:tcPr>
            <w:tcW w:w="669" w:type="pct"/>
            <w:vAlign w:val="center"/>
          </w:tcPr>
          <w:p w14:paraId="6A4E1D36">
            <w:pPr>
              <w:pStyle w:val="179"/>
            </w:pPr>
            <w:r>
              <w:t>mg/kg</w:t>
            </w:r>
          </w:p>
        </w:tc>
      </w:tr>
      <w:tr w14:paraId="023A5F5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654" w:type="pct"/>
            <w:shd w:val="clear" w:color="auto" w:fill="auto"/>
            <w:noWrap/>
            <w:vAlign w:val="center"/>
          </w:tcPr>
          <w:p w14:paraId="07A14767">
            <w:pPr>
              <w:pStyle w:val="179"/>
            </w:pPr>
            <w:r>
              <w:t>1,2-二氯乙烷</w:t>
            </w:r>
            <w:r>
              <w:rPr>
                <w:rFonts w:hint="eastAsia"/>
              </w:rPr>
              <w:t>*</w:t>
            </w:r>
          </w:p>
        </w:tc>
        <w:tc>
          <w:tcPr>
            <w:tcW w:w="892" w:type="pct"/>
            <w:noWrap/>
            <w:vAlign w:val="center"/>
          </w:tcPr>
          <w:p w14:paraId="409D2D4E">
            <w:pPr>
              <w:pStyle w:val="179"/>
            </w:pPr>
            <w:r>
              <w:rPr>
                <w:rFonts w:hint="eastAsia"/>
              </w:rPr>
              <w:t>ND</w:t>
            </w:r>
          </w:p>
        </w:tc>
        <w:tc>
          <w:tcPr>
            <w:tcW w:w="892" w:type="pct"/>
          </w:tcPr>
          <w:p w14:paraId="377D55B6">
            <w:pPr>
              <w:pStyle w:val="179"/>
            </w:pPr>
            <w:r>
              <w:rPr>
                <w:rFonts w:hint="eastAsia"/>
              </w:rPr>
              <w:t>-</w:t>
            </w:r>
          </w:p>
        </w:tc>
        <w:tc>
          <w:tcPr>
            <w:tcW w:w="892" w:type="pct"/>
          </w:tcPr>
          <w:p w14:paraId="26534EAD">
            <w:pPr>
              <w:pStyle w:val="179"/>
            </w:pPr>
            <w:r>
              <w:rPr>
                <w:rFonts w:hint="eastAsia"/>
              </w:rPr>
              <w:t>-</w:t>
            </w:r>
          </w:p>
        </w:tc>
        <w:tc>
          <w:tcPr>
            <w:tcW w:w="669" w:type="pct"/>
            <w:vAlign w:val="center"/>
          </w:tcPr>
          <w:p w14:paraId="1CF44971">
            <w:pPr>
              <w:pStyle w:val="179"/>
            </w:pPr>
            <w:r>
              <w:t>mg/kg</w:t>
            </w:r>
          </w:p>
        </w:tc>
      </w:tr>
      <w:tr w14:paraId="1E61880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654" w:type="pct"/>
            <w:shd w:val="clear" w:color="auto" w:fill="auto"/>
            <w:noWrap/>
            <w:vAlign w:val="center"/>
          </w:tcPr>
          <w:p w14:paraId="672AC86A">
            <w:pPr>
              <w:pStyle w:val="179"/>
            </w:pPr>
            <w:r>
              <w:rPr>
                <w:rFonts w:hint="eastAsia"/>
              </w:rPr>
              <w:t>1,1-二氯乙烯*</w:t>
            </w:r>
          </w:p>
        </w:tc>
        <w:tc>
          <w:tcPr>
            <w:tcW w:w="892" w:type="pct"/>
            <w:noWrap/>
            <w:vAlign w:val="center"/>
          </w:tcPr>
          <w:p w14:paraId="7042DE26">
            <w:pPr>
              <w:pStyle w:val="179"/>
            </w:pPr>
            <w:r>
              <w:rPr>
                <w:rFonts w:hint="eastAsia"/>
              </w:rPr>
              <w:t>ND</w:t>
            </w:r>
          </w:p>
        </w:tc>
        <w:tc>
          <w:tcPr>
            <w:tcW w:w="892" w:type="pct"/>
          </w:tcPr>
          <w:p w14:paraId="39EEE9F0">
            <w:pPr>
              <w:pStyle w:val="179"/>
            </w:pPr>
            <w:r>
              <w:rPr>
                <w:rFonts w:hint="eastAsia"/>
              </w:rPr>
              <w:t>-</w:t>
            </w:r>
          </w:p>
        </w:tc>
        <w:tc>
          <w:tcPr>
            <w:tcW w:w="892" w:type="pct"/>
          </w:tcPr>
          <w:p w14:paraId="3431EC8D">
            <w:pPr>
              <w:pStyle w:val="179"/>
            </w:pPr>
            <w:r>
              <w:rPr>
                <w:rFonts w:hint="eastAsia"/>
              </w:rPr>
              <w:t>-</w:t>
            </w:r>
          </w:p>
        </w:tc>
        <w:tc>
          <w:tcPr>
            <w:tcW w:w="669" w:type="pct"/>
            <w:vAlign w:val="center"/>
          </w:tcPr>
          <w:p w14:paraId="45D137AD">
            <w:pPr>
              <w:pStyle w:val="179"/>
            </w:pPr>
            <w:r>
              <w:t>mg/kg</w:t>
            </w:r>
          </w:p>
        </w:tc>
      </w:tr>
      <w:tr w14:paraId="0A2C32B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654" w:type="pct"/>
            <w:shd w:val="clear" w:color="auto" w:fill="auto"/>
            <w:noWrap/>
            <w:vAlign w:val="center"/>
          </w:tcPr>
          <w:p w14:paraId="2A91D273">
            <w:pPr>
              <w:pStyle w:val="179"/>
            </w:pPr>
            <w:r>
              <w:rPr>
                <w:rFonts w:hint="eastAsia"/>
              </w:rPr>
              <w:t>顺-1,2-二氯乙烯*</w:t>
            </w:r>
          </w:p>
        </w:tc>
        <w:tc>
          <w:tcPr>
            <w:tcW w:w="892" w:type="pct"/>
            <w:noWrap/>
            <w:vAlign w:val="center"/>
          </w:tcPr>
          <w:p w14:paraId="111541CE">
            <w:pPr>
              <w:pStyle w:val="179"/>
            </w:pPr>
            <w:r>
              <w:rPr>
                <w:rFonts w:hint="eastAsia"/>
              </w:rPr>
              <w:t>ND</w:t>
            </w:r>
          </w:p>
        </w:tc>
        <w:tc>
          <w:tcPr>
            <w:tcW w:w="892" w:type="pct"/>
          </w:tcPr>
          <w:p w14:paraId="58ABA87A">
            <w:pPr>
              <w:pStyle w:val="179"/>
            </w:pPr>
            <w:r>
              <w:rPr>
                <w:rFonts w:hint="eastAsia"/>
              </w:rPr>
              <w:t>-</w:t>
            </w:r>
          </w:p>
        </w:tc>
        <w:tc>
          <w:tcPr>
            <w:tcW w:w="892" w:type="pct"/>
          </w:tcPr>
          <w:p w14:paraId="504ACAA6">
            <w:pPr>
              <w:pStyle w:val="179"/>
            </w:pPr>
            <w:r>
              <w:rPr>
                <w:rFonts w:hint="eastAsia"/>
              </w:rPr>
              <w:t>-</w:t>
            </w:r>
          </w:p>
        </w:tc>
        <w:tc>
          <w:tcPr>
            <w:tcW w:w="669" w:type="pct"/>
            <w:vAlign w:val="center"/>
          </w:tcPr>
          <w:p w14:paraId="428B5351">
            <w:pPr>
              <w:pStyle w:val="179"/>
            </w:pPr>
            <w:r>
              <w:t>mg/kg</w:t>
            </w:r>
          </w:p>
        </w:tc>
      </w:tr>
      <w:tr w14:paraId="62FF6C4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283" w:hRule="atLeast"/>
          <w:jc w:val="center"/>
        </w:trPr>
        <w:tc>
          <w:tcPr>
            <w:tcW w:w="1654" w:type="pct"/>
            <w:shd w:val="clear" w:color="auto" w:fill="auto"/>
            <w:noWrap/>
            <w:vAlign w:val="center"/>
          </w:tcPr>
          <w:p w14:paraId="5A13DF05">
            <w:pPr>
              <w:pStyle w:val="179"/>
            </w:pPr>
            <w:r>
              <w:rPr>
                <w:rFonts w:hint="eastAsia"/>
              </w:rPr>
              <w:t>反-1,2-二氯乙烯*</w:t>
            </w:r>
          </w:p>
        </w:tc>
        <w:tc>
          <w:tcPr>
            <w:tcW w:w="892" w:type="pct"/>
            <w:noWrap/>
            <w:vAlign w:val="center"/>
          </w:tcPr>
          <w:p w14:paraId="06B1A0BC">
            <w:pPr>
              <w:pStyle w:val="179"/>
            </w:pPr>
            <w:r>
              <w:rPr>
                <w:rFonts w:hint="eastAsia"/>
              </w:rPr>
              <w:t>ND</w:t>
            </w:r>
          </w:p>
        </w:tc>
        <w:tc>
          <w:tcPr>
            <w:tcW w:w="892" w:type="pct"/>
          </w:tcPr>
          <w:p w14:paraId="0395283F">
            <w:pPr>
              <w:pStyle w:val="179"/>
            </w:pPr>
            <w:r>
              <w:rPr>
                <w:rFonts w:hint="eastAsia"/>
              </w:rPr>
              <w:t>-</w:t>
            </w:r>
          </w:p>
        </w:tc>
        <w:tc>
          <w:tcPr>
            <w:tcW w:w="892" w:type="pct"/>
          </w:tcPr>
          <w:p w14:paraId="02E2F94D">
            <w:pPr>
              <w:pStyle w:val="179"/>
            </w:pPr>
            <w:r>
              <w:rPr>
                <w:rFonts w:hint="eastAsia"/>
              </w:rPr>
              <w:t>-</w:t>
            </w:r>
          </w:p>
        </w:tc>
        <w:tc>
          <w:tcPr>
            <w:tcW w:w="669" w:type="pct"/>
            <w:vAlign w:val="center"/>
          </w:tcPr>
          <w:p w14:paraId="4743F9ED">
            <w:pPr>
              <w:pStyle w:val="179"/>
            </w:pPr>
            <w:r>
              <w:t>mg/kg</w:t>
            </w:r>
          </w:p>
        </w:tc>
      </w:tr>
      <w:tr w14:paraId="6B4A38B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654" w:type="pct"/>
            <w:shd w:val="clear" w:color="auto" w:fill="auto"/>
            <w:noWrap/>
            <w:vAlign w:val="center"/>
          </w:tcPr>
          <w:p w14:paraId="5D7248A0">
            <w:pPr>
              <w:pStyle w:val="179"/>
            </w:pPr>
            <w:r>
              <w:rPr>
                <w:rFonts w:hint="eastAsia"/>
              </w:rPr>
              <w:t>二氯甲烷*</w:t>
            </w:r>
          </w:p>
        </w:tc>
        <w:tc>
          <w:tcPr>
            <w:tcW w:w="892" w:type="pct"/>
            <w:noWrap/>
            <w:vAlign w:val="center"/>
          </w:tcPr>
          <w:p w14:paraId="1DB54598">
            <w:pPr>
              <w:pStyle w:val="179"/>
            </w:pPr>
            <w:r>
              <w:rPr>
                <w:rFonts w:hint="eastAsia"/>
              </w:rPr>
              <w:t>ND</w:t>
            </w:r>
          </w:p>
        </w:tc>
        <w:tc>
          <w:tcPr>
            <w:tcW w:w="892" w:type="pct"/>
          </w:tcPr>
          <w:p w14:paraId="28853BD5">
            <w:pPr>
              <w:pStyle w:val="179"/>
            </w:pPr>
            <w:r>
              <w:rPr>
                <w:rFonts w:hint="eastAsia"/>
              </w:rPr>
              <w:t>-</w:t>
            </w:r>
          </w:p>
        </w:tc>
        <w:tc>
          <w:tcPr>
            <w:tcW w:w="892" w:type="pct"/>
          </w:tcPr>
          <w:p w14:paraId="14157563">
            <w:pPr>
              <w:pStyle w:val="179"/>
            </w:pPr>
            <w:r>
              <w:rPr>
                <w:rFonts w:hint="eastAsia"/>
              </w:rPr>
              <w:t>-</w:t>
            </w:r>
          </w:p>
        </w:tc>
        <w:tc>
          <w:tcPr>
            <w:tcW w:w="669" w:type="pct"/>
            <w:vAlign w:val="center"/>
          </w:tcPr>
          <w:p w14:paraId="0635EE60">
            <w:pPr>
              <w:pStyle w:val="179"/>
            </w:pPr>
            <w:r>
              <w:t>mg/kg</w:t>
            </w:r>
          </w:p>
        </w:tc>
      </w:tr>
      <w:tr w14:paraId="241AEC5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654" w:type="pct"/>
            <w:shd w:val="clear" w:color="auto" w:fill="auto"/>
            <w:noWrap/>
            <w:vAlign w:val="center"/>
          </w:tcPr>
          <w:p w14:paraId="0FC25951">
            <w:pPr>
              <w:pStyle w:val="179"/>
            </w:pPr>
            <w:r>
              <w:rPr>
                <w:rFonts w:hint="eastAsia"/>
              </w:rPr>
              <w:t>1,2-二氯丙烷*</w:t>
            </w:r>
          </w:p>
        </w:tc>
        <w:tc>
          <w:tcPr>
            <w:tcW w:w="892" w:type="pct"/>
            <w:noWrap/>
            <w:vAlign w:val="center"/>
          </w:tcPr>
          <w:p w14:paraId="404CA67D">
            <w:pPr>
              <w:pStyle w:val="179"/>
            </w:pPr>
            <w:r>
              <w:rPr>
                <w:rFonts w:hint="eastAsia"/>
              </w:rPr>
              <w:t>ND</w:t>
            </w:r>
          </w:p>
        </w:tc>
        <w:tc>
          <w:tcPr>
            <w:tcW w:w="892" w:type="pct"/>
          </w:tcPr>
          <w:p w14:paraId="74A0F8A8">
            <w:pPr>
              <w:pStyle w:val="179"/>
            </w:pPr>
            <w:r>
              <w:rPr>
                <w:rFonts w:hint="eastAsia"/>
              </w:rPr>
              <w:t>-</w:t>
            </w:r>
          </w:p>
        </w:tc>
        <w:tc>
          <w:tcPr>
            <w:tcW w:w="892" w:type="pct"/>
          </w:tcPr>
          <w:p w14:paraId="2842FE4F">
            <w:pPr>
              <w:pStyle w:val="179"/>
            </w:pPr>
            <w:r>
              <w:rPr>
                <w:rFonts w:hint="eastAsia"/>
              </w:rPr>
              <w:t>-</w:t>
            </w:r>
          </w:p>
        </w:tc>
        <w:tc>
          <w:tcPr>
            <w:tcW w:w="669" w:type="pct"/>
            <w:vAlign w:val="center"/>
          </w:tcPr>
          <w:p w14:paraId="3419BE8B">
            <w:pPr>
              <w:pStyle w:val="179"/>
            </w:pPr>
            <w:r>
              <w:t>µ</w:t>
            </w:r>
            <w:r>
              <w:rPr>
                <w:rFonts w:hint="eastAsia"/>
              </w:rPr>
              <w:t>g/kg</w:t>
            </w:r>
          </w:p>
        </w:tc>
      </w:tr>
      <w:tr w14:paraId="2DD105C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654" w:type="pct"/>
            <w:shd w:val="clear" w:color="auto" w:fill="auto"/>
            <w:noWrap/>
            <w:vAlign w:val="center"/>
          </w:tcPr>
          <w:p w14:paraId="1F07D3A5">
            <w:pPr>
              <w:pStyle w:val="179"/>
            </w:pPr>
            <w:r>
              <w:rPr>
                <w:rFonts w:hint="eastAsia"/>
              </w:rPr>
              <w:t>1,1,1,2-四氯乙烷*</w:t>
            </w:r>
          </w:p>
        </w:tc>
        <w:tc>
          <w:tcPr>
            <w:tcW w:w="892" w:type="pct"/>
            <w:noWrap/>
            <w:vAlign w:val="center"/>
          </w:tcPr>
          <w:p w14:paraId="64D1FA0B">
            <w:pPr>
              <w:pStyle w:val="179"/>
            </w:pPr>
            <w:r>
              <w:rPr>
                <w:rFonts w:hint="eastAsia"/>
              </w:rPr>
              <w:t>ND</w:t>
            </w:r>
          </w:p>
        </w:tc>
        <w:tc>
          <w:tcPr>
            <w:tcW w:w="892" w:type="pct"/>
          </w:tcPr>
          <w:p w14:paraId="0D7AEBA3">
            <w:pPr>
              <w:pStyle w:val="179"/>
            </w:pPr>
            <w:r>
              <w:rPr>
                <w:rFonts w:hint="eastAsia"/>
              </w:rPr>
              <w:t>-</w:t>
            </w:r>
          </w:p>
        </w:tc>
        <w:tc>
          <w:tcPr>
            <w:tcW w:w="892" w:type="pct"/>
          </w:tcPr>
          <w:p w14:paraId="5E1D6640">
            <w:pPr>
              <w:pStyle w:val="179"/>
            </w:pPr>
            <w:r>
              <w:rPr>
                <w:rFonts w:hint="eastAsia"/>
              </w:rPr>
              <w:t>-</w:t>
            </w:r>
          </w:p>
        </w:tc>
        <w:tc>
          <w:tcPr>
            <w:tcW w:w="669" w:type="pct"/>
            <w:vAlign w:val="center"/>
          </w:tcPr>
          <w:p w14:paraId="2A79BC00">
            <w:pPr>
              <w:pStyle w:val="179"/>
            </w:pPr>
            <w:r>
              <w:t>µ</w:t>
            </w:r>
            <w:r>
              <w:rPr>
                <w:rFonts w:hint="eastAsia"/>
              </w:rPr>
              <w:t>g/kg</w:t>
            </w:r>
          </w:p>
        </w:tc>
      </w:tr>
      <w:tr w14:paraId="0275EC2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654" w:type="pct"/>
            <w:shd w:val="clear" w:color="auto" w:fill="auto"/>
            <w:noWrap/>
            <w:vAlign w:val="center"/>
          </w:tcPr>
          <w:p w14:paraId="2B3C8F44">
            <w:pPr>
              <w:pStyle w:val="179"/>
            </w:pPr>
            <w:r>
              <w:rPr>
                <w:rFonts w:hint="eastAsia"/>
              </w:rPr>
              <w:t>1,1,2,2-四氯乙烷*</w:t>
            </w:r>
          </w:p>
        </w:tc>
        <w:tc>
          <w:tcPr>
            <w:tcW w:w="892" w:type="pct"/>
            <w:noWrap/>
            <w:vAlign w:val="center"/>
          </w:tcPr>
          <w:p w14:paraId="7AC20C98">
            <w:pPr>
              <w:pStyle w:val="179"/>
            </w:pPr>
            <w:r>
              <w:rPr>
                <w:rFonts w:hint="eastAsia"/>
              </w:rPr>
              <w:t>ND</w:t>
            </w:r>
          </w:p>
        </w:tc>
        <w:tc>
          <w:tcPr>
            <w:tcW w:w="892" w:type="pct"/>
          </w:tcPr>
          <w:p w14:paraId="70B322D5">
            <w:pPr>
              <w:pStyle w:val="179"/>
            </w:pPr>
            <w:r>
              <w:rPr>
                <w:rFonts w:hint="eastAsia"/>
              </w:rPr>
              <w:t>-</w:t>
            </w:r>
          </w:p>
        </w:tc>
        <w:tc>
          <w:tcPr>
            <w:tcW w:w="892" w:type="pct"/>
          </w:tcPr>
          <w:p w14:paraId="11C9EB0A">
            <w:pPr>
              <w:pStyle w:val="179"/>
            </w:pPr>
            <w:r>
              <w:rPr>
                <w:rFonts w:hint="eastAsia"/>
              </w:rPr>
              <w:t>-</w:t>
            </w:r>
          </w:p>
        </w:tc>
        <w:tc>
          <w:tcPr>
            <w:tcW w:w="669" w:type="pct"/>
            <w:vAlign w:val="center"/>
          </w:tcPr>
          <w:p w14:paraId="05F1EF88">
            <w:pPr>
              <w:pStyle w:val="179"/>
            </w:pPr>
            <w:r>
              <w:t>µ</w:t>
            </w:r>
            <w:r>
              <w:rPr>
                <w:rFonts w:hint="eastAsia"/>
              </w:rPr>
              <w:t>g/kg</w:t>
            </w:r>
          </w:p>
        </w:tc>
      </w:tr>
      <w:tr w14:paraId="3C4C33C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654" w:type="pct"/>
            <w:shd w:val="clear" w:color="auto" w:fill="auto"/>
            <w:noWrap/>
            <w:vAlign w:val="center"/>
          </w:tcPr>
          <w:p w14:paraId="086CBEC2">
            <w:pPr>
              <w:pStyle w:val="179"/>
            </w:pPr>
            <w:r>
              <w:rPr>
                <w:rFonts w:hint="eastAsia"/>
              </w:rPr>
              <w:t>四氯乙烯*</w:t>
            </w:r>
          </w:p>
        </w:tc>
        <w:tc>
          <w:tcPr>
            <w:tcW w:w="892" w:type="pct"/>
            <w:noWrap/>
            <w:vAlign w:val="center"/>
          </w:tcPr>
          <w:p w14:paraId="7C157353">
            <w:pPr>
              <w:pStyle w:val="179"/>
            </w:pPr>
            <w:r>
              <w:rPr>
                <w:rFonts w:hint="eastAsia"/>
              </w:rPr>
              <w:t>ND</w:t>
            </w:r>
          </w:p>
        </w:tc>
        <w:tc>
          <w:tcPr>
            <w:tcW w:w="892" w:type="pct"/>
          </w:tcPr>
          <w:p w14:paraId="6BADE9C4">
            <w:pPr>
              <w:pStyle w:val="179"/>
            </w:pPr>
            <w:r>
              <w:rPr>
                <w:rFonts w:hint="eastAsia"/>
              </w:rPr>
              <w:t>-</w:t>
            </w:r>
          </w:p>
        </w:tc>
        <w:tc>
          <w:tcPr>
            <w:tcW w:w="892" w:type="pct"/>
          </w:tcPr>
          <w:p w14:paraId="4FE4914C">
            <w:pPr>
              <w:pStyle w:val="179"/>
            </w:pPr>
            <w:r>
              <w:rPr>
                <w:rFonts w:hint="eastAsia"/>
              </w:rPr>
              <w:t>-</w:t>
            </w:r>
          </w:p>
        </w:tc>
        <w:tc>
          <w:tcPr>
            <w:tcW w:w="669" w:type="pct"/>
            <w:vAlign w:val="center"/>
          </w:tcPr>
          <w:p w14:paraId="6E22948D">
            <w:pPr>
              <w:pStyle w:val="179"/>
            </w:pPr>
            <w:r>
              <w:t>µ</w:t>
            </w:r>
            <w:r>
              <w:rPr>
                <w:rFonts w:hint="eastAsia"/>
              </w:rPr>
              <w:t>g/kg</w:t>
            </w:r>
          </w:p>
        </w:tc>
      </w:tr>
      <w:tr w14:paraId="16D62D4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654" w:type="pct"/>
            <w:shd w:val="clear" w:color="auto" w:fill="auto"/>
            <w:noWrap/>
            <w:vAlign w:val="center"/>
          </w:tcPr>
          <w:p w14:paraId="76120797">
            <w:pPr>
              <w:pStyle w:val="179"/>
            </w:pPr>
            <w:r>
              <w:rPr>
                <w:rFonts w:hint="eastAsia"/>
              </w:rPr>
              <w:t>1,1,1-三氯乙烷*</w:t>
            </w:r>
          </w:p>
        </w:tc>
        <w:tc>
          <w:tcPr>
            <w:tcW w:w="892" w:type="pct"/>
            <w:noWrap/>
            <w:vAlign w:val="center"/>
          </w:tcPr>
          <w:p w14:paraId="791C8197">
            <w:pPr>
              <w:pStyle w:val="179"/>
            </w:pPr>
            <w:r>
              <w:rPr>
                <w:rFonts w:hint="eastAsia"/>
              </w:rPr>
              <w:t>ND</w:t>
            </w:r>
          </w:p>
        </w:tc>
        <w:tc>
          <w:tcPr>
            <w:tcW w:w="892" w:type="pct"/>
          </w:tcPr>
          <w:p w14:paraId="14211158">
            <w:pPr>
              <w:pStyle w:val="179"/>
            </w:pPr>
            <w:r>
              <w:rPr>
                <w:rFonts w:hint="eastAsia"/>
              </w:rPr>
              <w:t>-</w:t>
            </w:r>
          </w:p>
        </w:tc>
        <w:tc>
          <w:tcPr>
            <w:tcW w:w="892" w:type="pct"/>
          </w:tcPr>
          <w:p w14:paraId="698A71DD">
            <w:pPr>
              <w:pStyle w:val="179"/>
            </w:pPr>
            <w:r>
              <w:rPr>
                <w:rFonts w:hint="eastAsia"/>
              </w:rPr>
              <w:t>-</w:t>
            </w:r>
          </w:p>
        </w:tc>
        <w:tc>
          <w:tcPr>
            <w:tcW w:w="669" w:type="pct"/>
            <w:vAlign w:val="center"/>
          </w:tcPr>
          <w:p w14:paraId="7F835807">
            <w:pPr>
              <w:pStyle w:val="179"/>
            </w:pPr>
            <w:r>
              <w:t>µ</w:t>
            </w:r>
            <w:r>
              <w:rPr>
                <w:rFonts w:hint="eastAsia"/>
              </w:rPr>
              <w:t>g/kg</w:t>
            </w:r>
          </w:p>
        </w:tc>
      </w:tr>
      <w:tr w14:paraId="41CB8DE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654" w:type="pct"/>
            <w:shd w:val="clear" w:color="auto" w:fill="auto"/>
            <w:noWrap/>
            <w:vAlign w:val="center"/>
          </w:tcPr>
          <w:p w14:paraId="733545FE">
            <w:pPr>
              <w:pStyle w:val="179"/>
            </w:pPr>
            <w:r>
              <w:rPr>
                <w:rFonts w:hint="eastAsia"/>
              </w:rPr>
              <w:t>1,1,2-三氯乙烷*</w:t>
            </w:r>
          </w:p>
        </w:tc>
        <w:tc>
          <w:tcPr>
            <w:tcW w:w="892" w:type="pct"/>
            <w:noWrap/>
            <w:vAlign w:val="center"/>
          </w:tcPr>
          <w:p w14:paraId="68BC2648">
            <w:pPr>
              <w:pStyle w:val="179"/>
            </w:pPr>
            <w:r>
              <w:rPr>
                <w:rFonts w:hint="eastAsia"/>
              </w:rPr>
              <w:t>ND</w:t>
            </w:r>
          </w:p>
        </w:tc>
        <w:tc>
          <w:tcPr>
            <w:tcW w:w="892" w:type="pct"/>
          </w:tcPr>
          <w:p w14:paraId="44595C61">
            <w:pPr>
              <w:pStyle w:val="179"/>
            </w:pPr>
            <w:r>
              <w:rPr>
                <w:rFonts w:hint="eastAsia"/>
              </w:rPr>
              <w:t>-</w:t>
            </w:r>
          </w:p>
        </w:tc>
        <w:tc>
          <w:tcPr>
            <w:tcW w:w="892" w:type="pct"/>
          </w:tcPr>
          <w:p w14:paraId="164F3293">
            <w:pPr>
              <w:pStyle w:val="179"/>
            </w:pPr>
            <w:r>
              <w:rPr>
                <w:rFonts w:hint="eastAsia"/>
              </w:rPr>
              <w:t>-</w:t>
            </w:r>
          </w:p>
        </w:tc>
        <w:tc>
          <w:tcPr>
            <w:tcW w:w="669" w:type="pct"/>
            <w:vAlign w:val="center"/>
          </w:tcPr>
          <w:p w14:paraId="2DA43410">
            <w:pPr>
              <w:pStyle w:val="179"/>
            </w:pPr>
            <w:r>
              <w:t>µ</w:t>
            </w:r>
            <w:r>
              <w:rPr>
                <w:rFonts w:hint="eastAsia"/>
              </w:rPr>
              <w:t>g/kg</w:t>
            </w:r>
          </w:p>
        </w:tc>
      </w:tr>
      <w:tr w14:paraId="073EC7F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654" w:type="pct"/>
            <w:shd w:val="clear" w:color="auto" w:fill="auto"/>
            <w:noWrap/>
            <w:vAlign w:val="center"/>
          </w:tcPr>
          <w:p w14:paraId="00425807">
            <w:pPr>
              <w:pStyle w:val="179"/>
            </w:pPr>
            <w:r>
              <w:rPr>
                <w:rFonts w:hint="eastAsia"/>
              </w:rPr>
              <w:t>三氯乙烯*</w:t>
            </w:r>
          </w:p>
        </w:tc>
        <w:tc>
          <w:tcPr>
            <w:tcW w:w="892" w:type="pct"/>
            <w:noWrap/>
            <w:vAlign w:val="center"/>
          </w:tcPr>
          <w:p w14:paraId="067B1A95">
            <w:pPr>
              <w:pStyle w:val="179"/>
            </w:pPr>
            <w:r>
              <w:rPr>
                <w:rFonts w:hint="eastAsia"/>
              </w:rPr>
              <w:t>ND</w:t>
            </w:r>
          </w:p>
        </w:tc>
        <w:tc>
          <w:tcPr>
            <w:tcW w:w="892" w:type="pct"/>
          </w:tcPr>
          <w:p w14:paraId="069FB7E9">
            <w:pPr>
              <w:pStyle w:val="179"/>
            </w:pPr>
            <w:r>
              <w:rPr>
                <w:rFonts w:hint="eastAsia"/>
              </w:rPr>
              <w:t>-</w:t>
            </w:r>
          </w:p>
        </w:tc>
        <w:tc>
          <w:tcPr>
            <w:tcW w:w="892" w:type="pct"/>
          </w:tcPr>
          <w:p w14:paraId="6C5D76ED">
            <w:pPr>
              <w:pStyle w:val="179"/>
            </w:pPr>
            <w:r>
              <w:rPr>
                <w:rFonts w:hint="eastAsia"/>
              </w:rPr>
              <w:t>-</w:t>
            </w:r>
          </w:p>
        </w:tc>
        <w:tc>
          <w:tcPr>
            <w:tcW w:w="669" w:type="pct"/>
            <w:vAlign w:val="center"/>
          </w:tcPr>
          <w:p w14:paraId="75505114">
            <w:pPr>
              <w:pStyle w:val="179"/>
            </w:pPr>
            <w:r>
              <w:t>µ</w:t>
            </w:r>
            <w:r>
              <w:rPr>
                <w:rFonts w:hint="eastAsia"/>
              </w:rPr>
              <w:t>g/kg</w:t>
            </w:r>
          </w:p>
        </w:tc>
      </w:tr>
      <w:tr w14:paraId="7E8DBB1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654" w:type="pct"/>
            <w:shd w:val="clear" w:color="auto" w:fill="auto"/>
            <w:noWrap/>
            <w:vAlign w:val="center"/>
          </w:tcPr>
          <w:p w14:paraId="018B6DF4">
            <w:pPr>
              <w:pStyle w:val="179"/>
            </w:pPr>
            <w:r>
              <w:rPr>
                <w:rFonts w:hint="eastAsia"/>
              </w:rPr>
              <w:t>1,2,3-三氯丙烷*</w:t>
            </w:r>
          </w:p>
        </w:tc>
        <w:tc>
          <w:tcPr>
            <w:tcW w:w="892" w:type="pct"/>
            <w:noWrap/>
            <w:vAlign w:val="center"/>
          </w:tcPr>
          <w:p w14:paraId="04D495C7">
            <w:pPr>
              <w:pStyle w:val="179"/>
            </w:pPr>
            <w:r>
              <w:rPr>
                <w:rFonts w:hint="eastAsia"/>
              </w:rPr>
              <w:t>ND</w:t>
            </w:r>
          </w:p>
        </w:tc>
        <w:tc>
          <w:tcPr>
            <w:tcW w:w="892" w:type="pct"/>
          </w:tcPr>
          <w:p w14:paraId="1CF989AE">
            <w:pPr>
              <w:pStyle w:val="179"/>
            </w:pPr>
            <w:r>
              <w:rPr>
                <w:rFonts w:hint="eastAsia"/>
              </w:rPr>
              <w:t>-</w:t>
            </w:r>
          </w:p>
        </w:tc>
        <w:tc>
          <w:tcPr>
            <w:tcW w:w="892" w:type="pct"/>
          </w:tcPr>
          <w:p w14:paraId="1BE867A9">
            <w:pPr>
              <w:pStyle w:val="179"/>
            </w:pPr>
            <w:r>
              <w:rPr>
                <w:rFonts w:hint="eastAsia"/>
              </w:rPr>
              <w:t>-</w:t>
            </w:r>
          </w:p>
        </w:tc>
        <w:tc>
          <w:tcPr>
            <w:tcW w:w="669" w:type="pct"/>
            <w:vAlign w:val="center"/>
          </w:tcPr>
          <w:p w14:paraId="29E02C55">
            <w:pPr>
              <w:pStyle w:val="179"/>
            </w:pPr>
            <w:r>
              <w:t>µ</w:t>
            </w:r>
            <w:r>
              <w:rPr>
                <w:rFonts w:hint="eastAsia"/>
              </w:rPr>
              <w:t>g/kg</w:t>
            </w:r>
          </w:p>
        </w:tc>
      </w:tr>
      <w:tr w14:paraId="0C4160C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654" w:type="pct"/>
            <w:shd w:val="clear" w:color="auto" w:fill="auto"/>
            <w:noWrap/>
            <w:vAlign w:val="center"/>
          </w:tcPr>
          <w:p w14:paraId="4F1B966E">
            <w:pPr>
              <w:pStyle w:val="179"/>
            </w:pPr>
            <w:r>
              <w:rPr>
                <w:rFonts w:hint="eastAsia"/>
              </w:rPr>
              <w:t>苯*</w:t>
            </w:r>
          </w:p>
        </w:tc>
        <w:tc>
          <w:tcPr>
            <w:tcW w:w="892" w:type="pct"/>
            <w:noWrap/>
            <w:vAlign w:val="center"/>
          </w:tcPr>
          <w:p w14:paraId="476F814D">
            <w:pPr>
              <w:pStyle w:val="179"/>
            </w:pPr>
            <w:r>
              <w:rPr>
                <w:rFonts w:hint="eastAsia"/>
              </w:rPr>
              <w:t>ND</w:t>
            </w:r>
          </w:p>
        </w:tc>
        <w:tc>
          <w:tcPr>
            <w:tcW w:w="892" w:type="pct"/>
          </w:tcPr>
          <w:p w14:paraId="754ED3B0">
            <w:pPr>
              <w:pStyle w:val="179"/>
            </w:pPr>
            <w:r>
              <w:rPr>
                <w:rFonts w:hint="eastAsia"/>
              </w:rPr>
              <w:t>-</w:t>
            </w:r>
          </w:p>
        </w:tc>
        <w:tc>
          <w:tcPr>
            <w:tcW w:w="892" w:type="pct"/>
          </w:tcPr>
          <w:p w14:paraId="2CC42565">
            <w:pPr>
              <w:pStyle w:val="179"/>
            </w:pPr>
            <w:r>
              <w:rPr>
                <w:rFonts w:hint="eastAsia"/>
              </w:rPr>
              <w:t>-</w:t>
            </w:r>
          </w:p>
        </w:tc>
        <w:tc>
          <w:tcPr>
            <w:tcW w:w="669" w:type="pct"/>
            <w:vAlign w:val="center"/>
          </w:tcPr>
          <w:p w14:paraId="49E80C99">
            <w:pPr>
              <w:pStyle w:val="179"/>
            </w:pPr>
            <w:r>
              <w:t>µ</w:t>
            </w:r>
            <w:r>
              <w:rPr>
                <w:rFonts w:hint="eastAsia"/>
              </w:rPr>
              <w:t>g/kg</w:t>
            </w:r>
          </w:p>
        </w:tc>
      </w:tr>
      <w:tr w14:paraId="7EAC152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654" w:type="pct"/>
            <w:shd w:val="clear" w:color="auto" w:fill="auto"/>
            <w:noWrap/>
            <w:vAlign w:val="center"/>
          </w:tcPr>
          <w:p w14:paraId="2260AB13">
            <w:pPr>
              <w:pStyle w:val="179"/>
            </w:pPr>
            <w:r>
              <w:rPr>
                <w:rFonts w:hint="eastAsia"/>
              </w:rPr>
              <w:t>氯乙烯*</w:t>
            </w:r>
          </w:p>
        </w:tc>
        <w:tc>
          <w:tcPr>
            <w:tcW w:w="892" w:type="pct"/>
            <w:noWrap/>
            <w:vAlign w:val="center"/>
          </w:tcPr>
          <w:p w14:paraId="719D16A5">
            <w:pPr>
              <w:pStyle w:val="179"/>
            </w:pPr>
            <w:r>
              <w:rPr>
                <w:rFonts w:hint="eastAsia"/>
              </w:rPr>
              <w:t>ND</w:t>
            </w:r>
          </w:p>
        </w:tc>
        <w:tc>
          <w:tcPr>
            <w:tcW w:w="892" w:type="pct"/>
          </w:tcPr>
          <w:p w14:paraId="469010B4">
            <w:pPr>
              <w:pStyle w:val="179"/>
            </w:pPr>
            <w:r>
              <w:rPr>
                <w:rFonts w:hint="eastAsia"/>
              </w:rPr>
              <w:t>-</w:t>
            </w:r>
          </w:p>
        </w:tc>
        <w:tc>
          <w:tcPr>
            <w:tcW w:w="892" w:type="pct"/>
          </w:tcPr>
          <w:p w14:paraId="4574AD8E">
            <w:pPr>
              <w:pStyle w:val="179"/>
            </w:pPr>
            <w:r>
              <w:rPr>
                <w:rFonts w:hint="eastAsia"/>
              </w:rPr>
              <w:t>-</w:t>
            </w:r>
          </w:p>
        </w:tc>
        <w:tc>
          <w:tcPr>
            <w:tcW w:w="669" w:type="pct"/>
            <w:vAlign w:val="center"/>
          </w:tcPr>
          <w:p w14:paraId="077FF78E">
            <w:pPr>
              <w:pStyle w:val="179"/>
            </w:pPr>
            <w:r>
              <w:t>µ</w:t>
            </w:r>
            <w:r>
              <w:rPr>
                <w:rFonts w:hint="eastAsia"/>
              </w:rPr>
              <w:t>g/kg</w:t>
            </w:r>
          </w:p>
        </w:tc>
      </w:tr>
      <w:tr w14:paraId="04C1769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654" w:type="pct"/>
            <w:shd w:val="clear" w:color="auto" w:fill="auto"/>
            <w:noWrap/>
            <w:vAlign w:val="center"/>
          </w:tcPr>
          <w:p w14:paraId="74E7E342">
            <w:pPr>
              <w:pStyle w:val="179"/>
            </w:pPr>
            <w:r>
              <w:rPr>
                <w:rFonts w:hint="eastAsia"/>
              </w:rPr>
              <w:t>氯苯*</w:t>
            </w:r>
          </w:p>
        </w:tc>
        <w:tc>
          <w:tcPr>
            <w:tcW w:w="892" w:type="pct"/>
            <w:noWrap/>
            <w:vAlign w:val="center"/>
          </w:tcPr>
          <w:p w14:paraId="33DC76A9">
            <w:pPr>
              <w:pStyle w:val="179"/>
            </w:pPr>
            <w:r>
              <w:rPr>
                <w:rFonts w:hint="eastAsia"/>
              </w:rPr>
              <w:t>ND</w:t>
            </w:r>
          </w:p>
        </w:tc>
        <w:tc>
          <w:tcPr>
            <w:tcW w:w="892" w:type="pct"/>
          </w:tcPr>
          <w:p w14:paraId="11276441">
            <w:pPr>
              <w:pStyle w:val="179"/>
            </w:pPr>
            <w:r>
              <w:rPr>
                <w:rFonts w:hint="eastAsia"/>
              </w:rPr>
              <w:t>-</w:t>
            </w:r>
          </w:p>
        </w:tc>
        <w:tc>
          <w:tcPr>
            <w:tcW w:w="892" w:type="pct"/>
          </w:tcPr>
          <w:p w14:paraId="2B84CBA3">
            <w:pPr>
              <w:pStyle w:val="179"/>
            </w:pPr>
            <w:r>
              <w:rPr>
                <w:rFonts w:hint="eastAsia"/>
              </w:rPr>
              <w:t>-</w:t>
            </w:r>
          </w:p>
        </w:tc>
        <w:tc>
          <w:tcPr>
            <w:tcW w:w="669" w:type="pct"/>
            <w:vAlign w:val="center"/>
          </w:tcPr>
          <w:p w14:paraId="18D5D104">
            <w:pPr>
              <w:pStyle w:val="179"/>
            </w:pPr>
            <w:r>
              <w:t>µ</w:t>
            </w:r>
            <w:r>
              <w:rPr>
                <w:rFonts w:hint="eastAsia"/>
              </w:rPr>
              <w:t>g/kg</w:t>
            </w:r>
          </w:p>
        </w:tc>
      </w:tr>
      <w:tr w14:paraId="5A41BF3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654" w:type="pct"/>
            <w:shd w:val="clear" w:color="auto" w:fill="auto"/>
            <w:noWrap/>
            <w:vAlign w:val="center"/>
          </w:tcPr>
          <w:p w14:paraId="6BFEDB9A">
            <w:pPr>
              <w:pStyle w:val="179"/>
            </w:pPr>
            <w:r>
              <w:rPr>
                <w:rFonts w:hint="eastAsia"/>
              </w:rPr>
              <w:t>1,2-二氯苯*</w:t>
            </w:r>
          </w:p>
        </w:tc>
        <w:tc>
          <w:tcPr>
            <w:tcW w:w="892" w:type="pct"/>
            <w:noWrap/>
            <w:vAlign w:val="center"/>
          </w:tcPr>
          <w:p w14:paraId="64C55E1B">
            <w:pPr>
              <w:pStyle w:val="179"/>
            </w:pPr>
            <w:r>
              <w:rPr>
                <w:rFonts w:hint="eastAsia"/>
              </w:rPr>
              <w:t>ND</w:t>
            </w:r>
          </w:p>
        </w:tc>
        <w:tc>
          <w:tcPr>
            <w:tcW w:w="892" w:type="pct"/>
          </w:tcPr>
          <w:p w14:paraId="3CE4A0CD">
            <w:pPr>
              <w:pStyle w:val="179"/>
            </w:pPr>
            <w:r>
              <w:rPr>
                <w:rFonts w:hint="eastAsia"/>
              </w:rPr>
              <w:t>-</w:t>
            </w:r>
          </w:p>
        </w:tc>
        <w:tc>
          <w:tcPr>
            <w:tcW w:w="892" w:type="pct"/>
          </w:tcPr>
          <w:p w14:paraId="172D57F2">
            <w:pPr>
              <w:pStyle w:val="179"/>
            </w:pPr>
            <w:r>
              <w:rPr>
                <w:rFonts w:hint="eastAsia"/>
              </w:rPr>
              <w:t>-</w:t>
            </w:r>
          </w:p>
        </w:tc>
        <w:tc>
          <w:tcPr>
            <w:tcW w:w="669" w:type="pct"/>
            <w:vAlign w:val="center"/>
          </w:tcPr>
          <w:p w14:paraId="74CFD447">
            <w:pPr>
              <w:pStyle w:val="179"/>
            </w:pPr>
            <w:r>
              <w:t>µ</w:t>
            </w:r>
            <w:r>
              <w:rPr>
                <w:rFonts w:hint="eastAsia"/>
              </w:rPr>
              <w:t>g/kg</w:t>
            </w:r>
          </w:p>
        </w:tc>
      </w:tr>
      <w:tr w14:paraId="757EAD0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654" w:type="pct"/>
            <w:shd w:val="clear" w:color="auto" w:fill="auto"/>
            <w:noWrap/>
            <w:vAlign w:val="center"/>
          </w:tcPr>
          <w:p w14:paraId="778B5241">
            <w:pPr>
              <w:pStyle w:val="179"/>
            </w:pPr>
            <w:r>
              <w:rPr>
                <w:rFonts w:hint="eastAsia"/>
              </w:rPr>
              <w:t>1,4-二氯苯*</w:t>
            </w:r>
          </w:p>
        </w:tc>
        <w:tc>
          <w:tcPr>
            <w:tcW w:w="892" w:type="pct"/>
            <w:noWrap/>
            <w:vAlign w:val="center"/>
          </w:tcPr>
          <w:p w14:paraId="59DCDBE2">
            <w:pPr>
              <w:pStyle w:val="179"/>
            </w:pPr>
            <w:r>
              <w:rPr>
                <w:rFonts w:hint="eastAsia"/>
              </w:rPr>
              <w:t>ND</w:t>
            </w:r>
          </w:p>
        </w:tc>
        <w:tc>
          <w:tcPr>
            <w:tcW w:w="892" w:type="pct"/>
          </w:tcPr>
          <w:p w14:paraId="3B8D5AA9">
            <w:pPr>
              <w:pStyle w:val="179"/>
            </w:pPr>
            <w:r>
              <w:rPr>
                <w:rFonts w:hint="eastAsia"/>
              </w:rPr>
              <w:t>-</w:t>
            </w:r>
          </w:p>
        </w:tc>
        <w:tc>
          <w:tcPr>
            <w:tcW w:w="892" w:type="pct"/>
          </w:tcPr>
          <w:p w14:paraId="27CD5A07">
            <w:pPr>
              <w:pStyle w:val="179"/>
            </w:pPr>
            <w:r>
              <w:rPr>
                <w:rFonts w:hint="eastAsia"/>
              </w:rPr>
              <w:t>-</w:t>
            </w:r>
          </w:p>
        </w:tc>
        <w:tc>
          <w:tcPr>
            <w:tcW w:w="669" w:type="pct"/>
            <w:vAlign w:val="center"/>
          </w:tcPr>
          <w:p w14:paraId="6F5D1CF5">
            <w:pPr>
              <w:pStyle w:val="179"/>
            </w:pPr>
            <w:r>
              <w:t>µ</w:t>
            </w:r>
            <w:r>
              <w:rPr>
                <w:rFonts w:hint="eastAsia"/>
              </w:rPr>
              <w:t>g/kg</w:t>
            </w:r>
          </w:p>
        </w:tc>
      </w:tr>
      <w:tr w14:paraId="492744D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654" w:type="pct"/>
            <w:shd w:val="clear" w:color="auto" w:fill="auto"/>
            <w:noWrap/>
            <w:vAlign w:val="center"/>
          </w:tcPr>
          <w:p w14:paraId="6884081B">
            <w:pPr>
              <w:pStyle w:val="179"/>
            </w:pPr>
            <w:r>
              <w:rPr>
                <w:rFonts w:hint="eastAsia"/>
              </w:rPr>
              <w:t>乙苯*</w:t>
            </w:r>
          </w:p>
        </w:tc>
        <w:tc>
          <w:tcPr>
            <w:tcW w:w="892" w:type="pct"/>
            <w:noWrap/>
            <w:vAlign w:val="center"/>
          </w:tcPr>
          <w:p w14:paraId="58358702">
            <w:pPr>
              <w:pStyle w:val="179"/>
            </w:pPr>
            <w:r>
              <w:rPr>
                <w:rFonts w:hint="eastAsia"/>
              </w:rPr>
              <w:t>ND</w:t>
            </w:r>
          </w:p>
        </w:tc>
        <w:tc>
          <w:tcPr>
            <w:tcW w:w="892" w:type="pct"/>
          </w:tcPr>
          <w:p w14:paraId="708DBBAC">
            <w:pPr>
              <w:pStyle w:val="179"/>
            </w:pPr>
            <w:r>
              <w:rPr>
                <w:rFonts w:hint="eastAsia"/>
              </w:rPr>
              <w:t>-</w:t>
            </w:r>
          </w:p>
        </w:tc>
        <w:tc>
          <w:tcPr>
            <w:tcW w:w="892" w:type="pct"/>
          </w:tcPr>
          <w:p w14:paraId="33C71F96">
            <w:pPr>
              <w:pStyle w:val="179"/>
            </w:pPr>
            <w:r>
              <w:rPr>
                <w:rFonts w:hint="eastAsia"/>
              </w:rPr>
              <w:t>-</w:t>
            </w:r>
          </w:p>
        </w:tc>
        <w:tc>
          <w:tcPr>
            <w:tcW w:w="669" w:type="pct"/>
            <w:vAlign w:val="center"/>
          </w:tcPr>
          <w:p w14:paraId="57B65147">
            <w:pPr>
              <w:pStyle w:val="179"/>
            </w:pPr>
            <w:r>
              <w:t>µ</w:t>
            </w:r>
            <w:r>
              <w:rPr>
                <w:rFonts w:hint="eastAsia"/>
              </w:rPr>
              <w:t>g/kg</w:t>
            </w:r>
          </w:p>
        </w:tc>
      </w:tr>
      <w:tr w14:paraId="12D25A1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654" w:type="pct"/>
            <w:shd w:val="clear" w:color="auto" w:fill="auto"/>
            <w:noWrap/>
            <w:vAlign w:val="center"/>
          </w:tcPr>
          <w:p w14:paraId="73C2FDC7">
            <w:pPr>
              <w:pStyle w:val="179"/>
            </w:pPr>
            <w:r>
              <w:rPr>
                <w:rFonts w:hint="eastAsia"/>
              </w:rPr>
              <w:t>苯乙烯*</w:t>
            </w:r>
          </w:p>
        </w:tc>
        <w:tc>
          <w:tcPr>
            <w:tcW w:w="892" w:type="pct"/>
            <w:noWrap/>
            <w:vAlign w:val="center"/>
          </w:tcPr>
          <w:p w14:paraId="67A5CBA4">
            <w:pPr>
              <w:pStyle w:val="179"/>
            </w:pPr>
            <w:r>
              <w:rPr>
                <w:rFonts w:hint="eastAsia"/>
              </w:rPr>
              <w:t>ND</w:t>
            </w:r>
          </w:p>
        </w:tc>
        <w:tc>
          <w:tcPr>
            <w:tcW w:w="892" w:type="pct"/>
          </w:tcPr>
          <w:p w14:paraId="6E9B2F8A">
            <w:pPr>
              <w:pStyle w:val="179"/>
            </w:pPr>
            <w:r>
              <w:rPr>
                <w:rFonts w:hint="eastAsia"/>
              </w:rPr>
              <w:t>-</w:t>
            </w:r>
          </w:p>
        </w:tc>
        <w:tc>
          <w:tcPr>
            <w:tcW w:w="892" w:type="pct"/>
          </w:tcPr>
          <w:p w14:paraId="6B60259E">
            <w:pPr>
              <w:pStyle w:val="179"/>
            </w:pPr>
            <w:r>
              <w:rPr>
                <w:rFonts w:hint="eastAsia"/>
              </w:rPr>
              <w:t>-</w:t>
            </w:r>
          </w:p>
        </w:tc>
        <w:tc>
          <w:tcPr>
            <w:tcW w:w="669" w:type="pct"/>
            <w:vAlign w:val="center"/>
          </w:tcPr>
          <w:p w14:paraId="2B831101">
            <w:pPr>
              <w:pStyle w:val="179"/>
            </w:pPr>
            <w:r>
              <w:t>µ</w:t>
            </w:r>
            <w:r>
              <w:rPr>
                <w:rFonts w:hint="eastAsia"/>
              </w:rPr>
              <w:t>g/kg</w:t>
            </w:r>
          </w:p>
        </w:tc>
      </w:tr>
      <w:tr w14:paraId="621FE08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654" w:type="pct"/>
            <w:shd w:val="clear" w:color="auto" w:fill="auto"/>
            <w:noWrap/>
            <w:vAlign w:val="center"/>
          </w:tcPr>
          <w:p w14:paraId="223A9546">
            <w:pPr>
              <w:pStyle w:val="179"/>
            </w:pPr>
            <w:r>
              <w:rPr>
                <w:rFonts w:hint="eastAsia"/>
              </w:rPr>
              <w:t>甲苯*</w:t>
            </w:r>
          </w:p>
        </w:tc>
        <w:tc>
          <w:tcPr>
            <w:tcW w:w="892" w:type="pct"/>
            <w:noWrap/>
            <w:vAlign w:val="center"/>
          </w:tcPr>
          <w:p w14:paraId="7D2C9990">
            <w:pPr>
              <w:pStyle w:val="179"/>
            </w:pPr>
            <w:r>
              <w:rPr>
                <w:rFonts w:hint="eastAsia"/>
              </w:rPr>
              <w:t>ND</w:t>
            </w:r>
          </w:p>
        </w:tc>
        <w:tc>
          <w:tcPr>
            <w:tcW w:w="892" w:type="pct"/>
          </w:tcPr>
          <w:p w14:paraId="7798BD5C">
            <w:pPr>
              <w:pStyle w:val="179"/>
            </w:pPr>
            <w:r>
              <w:rPr>
                <w:rFonts w:hint="eastAsia"/>
              </w:rPr>
              <w:t>-</w:t>
            </w:r>
          </w:p>
        </w:tc>
        <w:tc>
          <w:tcPr>
            <w:tcW w:w="892" w:type="pct"/>
          </w:tcPr>
          <w:p w14:paraId="51B2E9FE">
            <w:pPr>
              <w:pStyle w:val="179"/>
            </w:pPr>
            <w:r>
              <w:rPr>
                <w:rFonts w:hint="eastAsia"/>
              </w:rPr>
              <w:t>-</w:t>
            </w:r>
          </w:p>
        </w:tc>
        <w:tc>
          <w:tcPr>
            <w:tcW w:w="669" w:type="pct"/>
            <w:vAlign w:val="center"/>
          </w:tcPr>
          <w:p w14:paraId="5AC8E074">
            <w:pPr>
              <w:pStyle w:val="179"/>
            </w:pPr>
            <w:r>
              <w:t>µ</w:t>
            </w:r>
            <w:r>
              <w:rPr>
                <w:rFonts w:hint="eastAsia"/>
              </w:rPr>
              <w:t>g/kg</w:t>
            </w:r>
          </w:p>
        </w:tc>
      </w:tr>
      <w:tr w14:paraId="0985C4D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654" w:type="pct"/>
            <w:shd w:val="clear" w:color="auto" w:fill="auto"/>
            <w:noWrap/>
            <w:vAlign w:val="center"/>
          </w:tcPr>
          <w:p w14:paraId="4D26DAB8">
            <w:pPr>
              <w:pStyle w:val="179"/>
            </w:pPr>
            <w:r>
              <w:rPr>
                <w:rFonts w:hint="eastAsia"/>
              </w:rPr>
              <w:t>间,对二甲苯*</w:t>
            </w:r>
          </w:p>
        </w:tc>
        <w:tc>
          <w:tcPr>
            <w:tcW w:w="892" w:type="pct"/>
            <w:noWrap/>
            <w:vAlign w:val="center"/>
          </w:tcPr>
          <w:p w14:paraId="60C91E7C">
            <w:pPr>
              <w:pStyle w:val="179"/>
            </w:pPr>
            <w:r>
              <w:rPr>
                <w:rFonts w:hint="eastAsia"/>
              </w:rPr>
              <w:t>ND</w:t>
            </w:r>
          </w:p>
        </w:tc>
        <w:tc>
          <w:tcPr>
            <w:tcW w:w="892" w:type="pct"/>
          </w:tcPr>
          <w:p w14:paraId="3616BDB3">
            <w:pPr>
              <w:pStyle w:val="179"/>
            </w:pPr>
            <w:r>
              <w:rPr>
                <w:rFonts w:hint="eastAsia"/>
              </w:rPr>
              <w:t>-</w:t>
            </w:r>
          </w:p>
        </w:tc>
        <w:tc>
          <w:tcPr>
            <w:tcW w:w="892" w:type="pct"/>
          </w:tcPr>
          <w:p w14:paraId="49D3FBEB">
            <w:pPr>
              <w:pStyle w:val="179"/>
            </w:pPr>
            <w:r>
              <w:rPr>
                <w:rFonts w:hint="eastAsia"/>
              </w:rPr>
              <w:t>-</w:t>
            </w:r>
          </w:p>
        </w:tc>
        <w:tc>
          <w:tcPr>
            <w:tcW w:w="669" w:type="pct"/>
            <w:vAlign w:val="center"/>
          </w:tcPr>
          <w:p w14:paraId="5F166AFA">
            <w:pPr>
              <w:pStyle w:val="179"/>
            </w:pPr>
            <w:r>
              <w:t>µ</w:t>
            </w:r>
            <w:r>
              <w:rPr>
                <w:rFonts w:hint="eastAsia"/>
              </w:rPr>
              <w:t>g/kg</w:t>
            </w:r>
          </w:p>
        </w:tc>
      </w:tr>
      <w:tr w14:paraId="021C2DF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654" w:type="pct"/>
            <w:shd w:val="clear" w:color="auto" w:fill="auto"/>
            <w:noWrap/>
            <w:vAlign w:val="center"/>
          </w:tcPr>
          <w:p w14:paraId="3144847B">
            <w:pPr>
              <w:pStyle w:val="179"/>
            </w:pPr>
            <w:r>
              <w:rPr>
                <w:rFonts w:hint="eastAsia"/>
              </w:rPr>
              <w:t>邻二甲苯*</w:t>
            </w:r>
          </w:p>
        </w:tc>
        <w:tc>
          <w:tcPr>
            <w:tcW w:w="892" w:type="pct"/>
            <w:noWrap/>
            <w:vAlign w:val="center"/>
          </w:tcPr>
          <w:p w14:paraId="73B44F01">
            <w:pPr>
              <w:pStyle w:val="179"/>
            </w:pPr>
            <w:r>
              <w:rPr>
                <w:rFonts w:hint="eastAsia"/>
              </w:rPr>
              <w:t>ND</w:t>
            </w:r>
          </w:p>
        </w:tc>
        <w:tc>
          <w:tcPr>
            <w:tcW w:w="892" w:type="pct"/>
          </w:tcPr>
          <w:p w14:paraId="1188153A">
            <w:pPr>
              <w:pStyle w:val="179"/>
            </w:pPr>
            <w:r>
              <w:rPr>
                <w:rFonts w:hint="eastAsia"/>
              </w:rPr>
              <w:t>-</w:t>
            </w:r>
          </w:p>
        </w:tc>
        <w:tc>
          <w:tcPr>
            <w:tcW w:w="892" w:type="pct"/>
          </w:tcPr>
          <w:p w14:paraId="690B5769">
            <w:pPr>
              <w:pStyle w:val="179"/>
            </w:pPr>
            <w:r>
              <w:rPr>
                <w:rFonts w:hint="eastAsia"/>
              </w:rPr>
              <w:t>-</w:t>
            </w:r>
          </w:p>
        </w:tc>
        <w:tc>
          <w:tcPr>
            <w:tcW w:w="669" w:type="pct"/>
            <w:vAlign w:val="center"/>
          </w:tcPr>
          <w:p w14:paraId="5C4B3EC6">
            <w:pPr>
              <w:pStyle w:val="179"/>
            </w:pPr>
            <w:r>
              <w:t>µ</w:t>
            </w:r>
            <w:r>
              <w:rPr>
                <w:rFonts w:hint="eastAsia"/>
              </w:rPr>
              <w:t>g/kg</w:t>
            </w:r>
          </w:p>
        </w:tc>
      </w:tr>
      <w:tr w14:paraId="5CB56F7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654" w:type="pct"/>
            <w:shd w:val="clear" w:color="auto" w:fill="auto"/>
            <w:noWrap/>
            <w:vAlign w:val="center"/>
          </w:tcPr>
          <w:p w14:paraId="409F10DF">
            <w:pPr>
              <w:pStyle w:val="179"/>
            </w:pPr>
            <w:r>
              <w:rPr>
                <w:rFonts w:hint="eastAsia"/>
              </w:rPr>
              <w:t>硝基苯*</w:t>
            </w:r>
          </w:p>
        </w:tc>
        <w:tc>
          <w:tcPr>
            <w:tcW w:w="892" w:type="pct"/>
            <w:noWrap/>
            <w:vAlign w:val="center"/>
          </w:tcPr>
          <w:p w14:paraId="4C6F9F14">
            <w:pPr>
              <w:pStyle w:val="179"/>
            </w:pPr>
            <w:r>
              <w:rPr>
                <w:rFonts w:hint="eastAsia"/>
              </w:rPr>
              <w:t>ND</w:t>
            </w:r>
          </w:p>
        </w:tc>
        <w:tc>
          <w:tcPr>
            <w:tcW w:w="892" w:type="pct"/>
          </w:tcPr>
          <w:p w14:paraId="395A4F8A">
            <w:pPr>
              <w:pStyle w:val="179"/>
            </w:pPr>
            <w:r>
              <w:rPr>
                <w:rFonts w:hint="eastAsia"/>
              </w:rPr>
              <w:t>-</w:t>
            </w:r>
          </w:p>
        </w:tc>
        <w:tc>
          <w:tcPr>
            <w:tcW w:w="892" w:type="pct"/>
          </w:tcPr>
          <w:p w14:paraId="5F0A77A3">
            <w:pPr>
              <w:pStyle w:val="179"/>
            </w:pPr>
            <w:r>
              <w:rPr>
                <w:rFonts w:hint="eastAsia"/>
              </w:rPr>
              <w:t>-</w:t>
            </w:r>
          </w:p>
        </w:tc>
        <w:tc>
          <w:tcPr>
            <w:tcW w:w="669" w:type="pct"/>
            <w:vAlign w:val="center"/>
          </w:tcPr>
          <w:p w14:paraId="1EB89B5C">
            <w:pPr>
              <w:pStyle w:val="179"/>
            </w:pPr>
            <w:r>
              <w:t>µ</w:t>
            </w:r>
            <w:r>
              <w:rPr>
                <w:rFonts w:hint="eastAsia"/>
              </w:rPr>
              <w:t>g/kg</w:t>
            </w:r>
          </w:p>
        </w:tc>
      </w:tr>
      <w:tr w14:paraId="537169C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654" w:type="pct"/>
            <w:shd w:val="clear" w:color="auto" w:fill="auto"/>
            <w:noWrap/>
            <w:vAlign w:val="center"/>
          </w:tcPr>
          <w:p w14:paraId="19158314">
            <w:pPr>
              <w:pStyle w:val="179"/>
            </w:pPr>
            <w:r>
              <w:rPr>
                <w:rFonts w:hint="eastAsia"/>
              </w:rPr>
              <w:t>苯胺*</w:t>
            </w:r>
          </w:p>
        </w:tc>
        <w:tc>
          <w:tcPr>
            <w:tcW w:w="892" w:type="pct"/>
            <w:noWrap/>
            <w:vAlign w:val="center"/>
          </w:tcPr>
          <w:p w14:paraId="6FD4F7F2">
            <w:pPr>
              <w:pStyle w:val="179"/>
            </w:pPr>
            <w:r>
              <w:rPr>
                <w:rFonts w:hint="eastAsia"/>
              </w:rPr>
              <w:t>ND</w:t>
            </w:r>
          </w:p>
        </w:tc>
        <w:tc>
          <w:tcPr>
            <w:tcW w:w="892" w:type="pct"/>
          </w:tcPr>
          <w:p w14:paraId="163C16E2">
            <w:pPr>
              <w:pStyle w:val="179"/>
            </w:pPr>
            <w:r>
              <w:rPr>
                <w:rFonts w:hint="eastAsia"/>
              </w:rPr>
              <w:t>-</w:t>
            </w:r>
          </w:p>
        </w:tc>
        <w:tc>
          <w:tcPr>
            <w:tcW w:w="892" w:type="pct"/>
          </w:tcPr>
          <w:p w14:paraId="1501640D">
            <w:pPr>
              <w:pStyle w:val="179"/>
            </w:pPr>
            <w:r>
              <w:rPr>
                <w:rFonts w:hint="eastAsia"/>
              </w:rPr>
              <w:t>-</w:t>
            </w:r>
          </w:p>
        </w:tc>
        <w:tc>
          <w:tcPr>
            <w:tcW w:w="669" w:type="pct"/>
            <w:vAlign w:val="center"/>
          </w:tcPr>
          <w:p w14:paraId="7407D4F0">
            <w:pPr>
              <w:pStyle w:val="179"/>
            </w:pPr>
            <w:r>
              <w:t>µ</w:t>
            </w:r>
            <w:r>
              <w:rPr>
                <w:rFonts w:hint="eastAsia"/>
              </w:rPr>
              <w:t>g/kg</w:t>
            </w:r>
          </w:p>
        </w:tc>
      </w:tr>
      <w:tr w14:paraId="47B6722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654" w:type="pct"/>
            <w:shd w:val="clear" w:color="auto" w:fill="auto"/>
            <w:noWrap/>
            <w:vAlign w:val="center"/>
          </w:tcPr>
          <w:p w14:paraId="5C11658B">
            <w:pPr>
              <w:pStyle w:val="179"/>
            </w:pPr>
            <w:r>
              <w:rPr>
                <w:rFonts w:hint="eastAsia"/>
              </w:rPr>
              <w:t>2-氯酚*</w:t>
            </w:r>
          </w:p>
        </w:tc>
        <w:tc>
          <w:tcPr>
            <w:tcW w:w="892" w:type="pct"/>
            <w:noWrap/>
            <w:vAlign w:val="center"/>
          </w:tcPr>
          <w:p w14:paraId="41C522E9">
            <w:pPr>
              <w:pStyle w:val="179"/>
            </w:pPr>
            <w:r>
              <w:rPr>
                <w:rFonts w:hint="eastAsia"/>
              </w:rPr>
              <w:t>ND</w:t>
            </w:r>
          </w:p>
        </w:tc>
        <w:tc>
          <w:tcPr>
            <w:tcW w:w="892" w:type="pct"/>
          </w:tcPr>
          <w:p w14:paraId="0BB2F899">
            <w:pPr>
              <w:pStyle w:val="179"/>
            </w:pPr>
            <w:r>
              <w:rPr>
                <w:rFonts w:hint="eastAsia"/>
              </w:rPr>
              <w:t>-</w:t>
            </w:r>
          </w:p>
        </w:tc>
        <w:tc>
          <w:tcPr>
            <w:tcW w:w="892" w:type="pct"/>
          </w:tcPr>
          <w:p w14:paraId="49E76A03">
            <w:pPr>
              <w:pStyle w:val="179"/>
            </w:pPr>
            <w:r>
              <w:rPr>
                <w:rFonts w:hint="eastAsia"/>
              </w:rPr>
              <w:t>-</w:t>
            </w:r>
          </w:p>
        </w:tc>
        <w:tc>
          <w:tcPr>
            <w:tcW w:w="669" w:type="pct"/>
            <w:vAlign w:val="center"/>
          </w:tcPr>
          <w:p w14:paraId="6E90F227">
            <w:pPr>
              <w:pStyle w:val="179"/>
            </w:pPr>
            <w:r>
              <w:t>µ</w:t>
            </w:r>
            <w:r>
              <w:rPr>
                <w:rFonts w:hint="eastAsia"/>
              </w:rPr>
              <w:t>g/kg</w:t>
            </w:r>
          </w:p>
        </w:tc>
      </w:tr>
      <w:tr w14:paraId="2C8D4C2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654" w:type="pct"/>
            <w:shd w:val="clear" w:color="auto" w:fill="auto"/>
            <w:noWrap/>
            <w:vAlign w:val="center"/>
          </w:tcPr>
          <w:p w14:paraId="7E73CA6F">
            <w:pPr>
              <w:pStyle w:val="179"/>
            </w:pPr>
            <w:r>
              <w:rPr>
                <w:rFonts w:hint="eastAsia"/>
              </w:rPr>
              <w:t>苯并（a）蒽*</w:t>
            </w:r>
          </w:p>
        </w:tc>
        <w:tc>
          <w:tcPr>
            <w:tcW w:w="892" w:type="pct"/>
            <w:noWrap/>
            <w:vAlign w:val="center"/>
          </w:tcPr>
          <w:p w14:paraId="43662BB6">
            <w:pPr>
              <w:pStyle w:val="179"/>
            </w:pPr>
            <w:r>
              <w:rPr>
                <w:rFonts w:hint="eastAsia"/>
              </w:rPr>
              <w:t>ND</w:t>
            </w:r>
          </w:p>
        </w:tc>
        <w:tc>
          <w:tcPr>
            <w:tcW w:w="892" w:type="pct"/>
          </w:tcPr>
          <w:p w14:paraId="2B302819">
            <w:pPr>
              <w:pStyle w:val="179"/>
            </w:pPr>
            <w:r>
              <w:rPr>
                <w:rFonts w:hint="eastAsia"/>
              </w:rPr>
              <w:t>-</w:t>
            </w:r>
          </w:p>
        </w:tc>
        <w:tc>
          <w:tcPr>
            <w:tcW w:w="892" w:type="pct"/>
          </w:tcPr>
          <w:p w14:paraId="7D76812D">
            <w:pPr>
              <w:pStyle w:val="179"/>
            </w:pPr>
            <w:r>
              <w:rPr>
                <w:rFonts w:hint="eastAsia"/>
              </w:rPr>
              <w:t>-</w:t>
            </w:r>
          </w:p>
        </w:tc>
        <w:tc>
          <w:tcPr>
            <w:tcW w:w="669" w:type="pct"/>
            <w:vAlign w:val="center"/>
          </w:tcPr>
          <w:p w14:paraId="3504F745">
            <w:pPr>
              <w:pStyle w:val="179"/>
            </w:pPr>
            <w:r>
              <w:t>µ</w:t>
            </w:r>
            <w:r>
              <w:rPr>
                <w:rFonts w:hint="eastAsia"/>
              </w:rPr>
              <w:t>g/kg</w:t>
            </w:r>
          </w:p>
        </w:tc>
      </w:tr>
      <w:tr w14:paraId="1927564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654" w:type="pct"/>
            <w:shd w:val="clear" w:color="auto" w:fill="auto"/>
            <w:noWrap/>
            <w:vAlign w:val="center"/>
          </w:tcPr>
          <w:p w14:paraId="1D8ECA7D">
            <w:pPr>
              <w:pStyle w:val="179"/>
            </w:pPr>
            <w:r>
              <w:rPr>
                <w:rFonts w:hint="eastAsia"/>
              </w:rPr>
              <w:t>苯并（a）芘*</w:t>
            </w:r>
          </w:p>
        </w:tc>
        <w:tc>
          <w:tcPr>
            <w:tcW w:w="892" w:type="pct"/>
            <w:noWrap/>
            <w:vAlign w:val="center"/>
          </w:tcPr>
          <w:p w14:paraId="79DCE01F">
            <w:pPr>
              <w:pStyle w:val="179"/>
            </w:pPr>
            <w:r>
              <w:rPr>
                <w:rFonts w:hint="eastAsia"/>
              </w:rPr>
              <w:t>ND</w:t>
            </w:r>
          </w:p>
        </w:tc>
        <w:tc>
          <w:tcPr>
            <w:tcW w:w="892" w:type="pct"/>
          </w:tcPr>
          <w:p w14:paraId="0ACA3A3F">
            <w:pPr>
              <w:pStyle w:val="179"/>
            </w:pPr>
            <w:r>
              <w:rPr>
                <w:rFonts w:hint="eastAsia"/>
              </w:rPr>
              <w:t>-</w:t>
            </w:r>
          </w:p>
        </w:tc>
        <w:tc>
          <w:tcPr>
            <w:tcW w:w="892" w:type="pct"/>
          </w:tcPr>
          <w:p w14:paraId="41146CFE">
            <w:pPr>
              <w:pStyle w:val="179"/>
            </w:pPr>
            <w:r>
              <w:rPr>
                <w:rFonts w:hint="eastAsia"/>
              </w:rPr>
              <w:t>-</w:t>
            </w:r>
          </w:p>
        </w:tc>
        <w:tc>
          <w:tcPr>
            <w:tcW w:w="669" w:type="pct"/>
            <w:vAlign w:val="center"/>
          </w:tcPr>
          <w:p w14:paraId="5EAAF945">
            <w:pPr>
              <w:pStyle w:val="179"/>
            </w:pPr>
            <w:r>
              <w:t>µ</w:t>
            </w:r>
            <w:r>
              <w:rPr>
                <w:rFonts w:hint="eastAsia"/>
              </w:rPr>
              <w:t>g/kg</w:t>
            </w:r>
          </w:p>
        </w:tc>
      </w:tr>
      <w:tr w14:paraId="455FBCD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654" w:type="pct"/>
            <w:shd w:val="clear" w:color="auto" w:fill="auto"/>
            <w:noWrap/>
            <w:vAlign w:val="center"/>
          </w:tcPr>
          <w:p w14:paraId="2C499258">
            <w:pPr>
              <w:pStyle w:val="179"/>
            </w:pPr>
            <w:r>
              <w:rPr>
                <w:rFonts w:hint="eastAsia"/>
              </w:rPr>
              <w:t>苯并（b）荧蒽*</w:t>
            </w:r>
          </w:p>
        </w:tc>
        <w:tc>
          <w:tcPr>
            <w:tcW w:w="892" w:type="pct"/>
            <w:noWrap/>
            <w:vAlign w:val="center"/>
          </w:tcPr>
          <w:p w14:paraId="2AD9D11F">
            <w:pPr>
              <w:pStyle w:val="179"/>
            </w:pPr>
            <w:r>
              <w:rPr>
                <w:rFonts w:hint="eastAsia"/>
              </w:rPr>
              <w:t>ND</w:t>
            </w:r>
          </w:p>
        </w:tc>
        <w:tc>
          <w:tcPr>
            <w:tcW w:w="892" w:type="pct"/>
          </w:tcPr>
          <w:p w14:paraId="2DCC6AEE">
            <w:pPr>
              <w:pStyle w:val="179"/>
            </w:pPr>
            <w:r>
              <w:rPr>
                <w:rFonts w:hint="eastAsia"/>
              </w:rPr>
              <w:t>-</w:t>
            </w:r>
          </w:p>
        </w:tc>
        <w:tc>
          <w:tcPr>
            <w:tcW w:w="892" w:type="pct"/>
          </w:tcPr>
          <w:p w14:paraId="4D3B23B5">
            <w:pPr>
              <w:pStyle w:val="179"/>
            </w:pPr>
            <w:r>
              <w:rPr>
                <w:rFonts w:hint="eastAsia"/>
              </w:rPr>
              <w:t>-</w:t>
            </w:r>
          </w:p>
        </w:tc>
        <w:tc>
          <w:tcPr>
            <w:tcW w:w="669" w:type="pct"/>
            <w:vAlign w:val="center"/>
          </w:tcPr>
          <w:p w14:paraId="001C70E8">
            <w:pPr>
              <w:pStyle w:val="179"/>
            </w:pPr>
            <w:r>
              <w:t>µ</w:t>
            </w:r>
            <w:r>
              <w:rPr>
                <w:rFonts w:hint="eastAsia"/>
              </w:rPr>
              <w:t>g/kg</w:t>
            </w:r>
          </w:p>
        </w:tc>
      </w:tr>
      <w:tr w14:paraId="38285CA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654" w:type="pct"/>
            <w:shd w:val="clear" w:color="auto" w:fill="auto"/>
            <w:noWrap/>
            <w:vAlign w:val="center"/>
          </w:tcPr>
          <w:p w14:paraId="43D20A6F">
            <w:pPr>
              <w:pStyle w:val="179"/>
            </w:pPr>
            <w:r>
              <w:rPr>
                <w:rFonts w:hint="eastAsia"/>
              </w:rPr>
              <w:t>苯并（k）荧蒽*</w:t>
            </w:r>
          </w:p>
        </w:tc>
        <w:tc>
          <w:tcPr>
            <w:tcW w:w="892" w:type="pct"/>
            <w:noWrap/>
            <w:vAlign w:val="center"/>
          </w:tcPr>
          <w:p w14:paraId="34C6C3D2">
            <w:pPr>
              <w:pStyle w:val="179"/>
            </w:pPr>
            <w:r>
              <w:rPr>
                <w:rFonts w:hint="eastAsia"/>
              </w:rPr>
              <w:t>ND</w:t>
            </w:r>
          </w:p>
        </w:tc>
        <w:tc>
          <w:tcPr>
            <w:tcW w:w="892" w:type="pct"/>
          </w:tcPr>
          <w:p w14:paraId="484C4114">
            <w:pPr>
              <w:pStyle w:val="179"/>
            </w:pPr>
            <w:r>
              <w:rPr>
                <w:rFonts w:hint="eastAsia"/>
              </w:rPr>
              <w:t>-</w:t>
            </w:r>
          </w:p>
        </w:tc>
        <w:tc>
          <w:tcPr>
            <w:tcW w:w="892" w:type="pct"/>
          </w:tcPr>
          <w:p w14:paraId="32228F3F">
            <w:pPr>
              <w:pStyle w:val="179"/>
            </w:pPr>
            <w:r>
              <w:rPr>
                <w:rFonts w:hint="eastAsia"/>
              </w:rPr>
              <w:t>-</w:t>
            </w:r>
          </w:p>
        </w:tc>
        <w:tc>
          <w:tcPr>
            <w:tcW w:w="669" w:type="pct"/>
            <w:vAlign w:val="center"/>
          </w:tcPr>
          <w:p w14:paraId="2EAA8182">
            <w:pPr>
              <w:pStyle w:val="179"/>
            </w:pPr>
            <w:r>
              <w:t>µ</w:t>
            </w:r>
            <w:r>
              <w:rPr>
                <w:rFonts w:hint="eastAsia"/>
              </w:rPr>
              <w:t>g/kg</w:t>
            </w:r>
          </w:p>
        </w:tc>
      </w:tr>
      <w:tr w14:paraId="6B93F5B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654" w:type="pct"/>
            <w:shd w:val="clear" w:color="auto" w:fill="auto"/>
            <w:noWrap/>
            <w:vAlign w:val="center"/>
          </w:tcPr>
          <w:p w14:paraId="46EFD8A4">
            <w:pPr>
              <w:pStyle w:val="179"/>
            </w:pPr>
            <w:r>
              <w:rPr>
                <w:rFonts w:hint="eastAsia" w:ascii="宋体" w:hAnsi="宋体"/>
              </w:rPr>
              <w:t>䓛</w:t>
            </w:r>
            <w:r>
              <w:rPr>
                <w:rFonts w:hint="eastAsia"/>
              </w:rPr>
              <w:t>*</w:t>
            </w:r>
          </w:p>
        </w:tc>
        <w:tc>
          <w:tcPr>
            <w:tcW w:w="892" w:type="pct"/>
            <w:noWrap/>
            <w:vAlign w:val="center"/>
          </w:tcPr>
          <w:p w14:paraId="4564BE7F">
            <w:pPr>
              <w:pStyle w:val="179"/>
            </w:pPr>
            <w:r>
              <w:rPr>
                <w:rFonts w:hint="eastAsia"/>
              </w:rPr>
              <w:t>ND</w:t>
            </w:r>
          </w:p>
        </w:tc>
        <w:tc>
          <w:tcPr>
            <w:tcW w:w="892" w:type="pct"/>
          </w:tcPr>
          <w:p w14:paraId="6D7E4B8D">
            <w:pPr>
              <w:pStyle w:val="179"/>
            </w:pPr>
            <w:r>
              <w:rPr>
                <w:rFonts w:hint="eastAsia"/>
              </w:rPr>
              <w:t>-</w:t>
            </w:r>
          </w:p>
        </w:tc>
        <w:tc>
          <w:tcPr>
            <w:tcW w:w="892" w:type="pct"/>
          </w:tcPr>
          <w:p w14:paraId="4BAE0F01">
            <w:pPr>
              <w:pStyle w:val="179"/>
            </w:pPr>
            <w:r>
              <w:rPr>
                <w:rFonts w:hint="eastAsia"/>
              </w:rPr>
              <w:t>-</w:t>
            </w:r>
          </w:p>
        </w:tc>
        <w:tc>
          <w:tcPr>
            <w:tcW w:w="669" w:type="pct"/>
            <w:vAlign w:val="center"/>
          </w:tcPr>
          <w:p w14:paraId="5599FD1F">
            <w:pPr>
              <w:pStyle w:val="179"/>
            </w:pPr>
            <w:r>
              <w:t>µ</w:t>
            </w:r>
            <w:r>
              <w:rPr>
                <w:rFonts w:hint="eastAsia"/>
              </w:rPr>
              <w:t>g/kg</w:t>
            </w:r>
          </w:p>
        </w:tc>
      </w:tr>
      <w:tr w14:paraId="34D1A93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654" w:type="pct"/>
            <w:shd w:val="clear" w:color="auto" w:fill="auto"/>
            <w:noWrap/>
            <w:vAlign w:val="center"/>
          </w:tcPr>
          <w:p w14:paraId="66EF38A4">
            <w:pPr>
              <w:pStyle w:val="179"/>
            </w:pPr>
            <w:r>
              <w:rPr>
                <w:rFonts w:hint="eastAsia"/>
              </w:rPr>
              <w:t>二苯并（a，h）蒽*</w:t>
            </w:r>
          </w:p>
        </w:tc>
        <w:tc>
          <w:tcPr>
            <w:tcW w:w="892" w:type="pct"/>
            <w:noWrap/>
            <w:vAlign w:val="center"/>
          </w:tcPr>
          <w:p w14:paraId="38277AA9">
            <w:pPr>
              <w:pStyle w:val="179"/>
            </w:pPr>
            <w:r>
              <w:rPr>
                <w:rFonts w:hint="eastAsia"/>
              </w:rPr>
              <w:t>ND</w:t>
            </w:r>
          </w:p>
        </w:tc>
        <w:tc>
          <w:tcPr>
            <w:tcW w:w="892" w:type="pct"/>
          </w:tcPr>
          <w:p w14:paraId="7C486CEE">
            <w:pPr>
              <w:pStyle w:val="179"/>
            </w:pPr>
            <w:r>
              <w:rPr>
                <w:rFonts w:hint="eastAsia"/>
              </w:rPr>
              <w:t>-</w:t>
            </w:r>
          </w:p>
        </w:tc>
        <w:tc>
          <w:tcPr>
            <w:tcW w:w="892" w:type="pct"/>
          </w:tcPr>
          <w:p w14:paraId="599026C6">
            <w:pPr>
              <w:pStyle w:val="179"/>
            </w:pPr>
            <w:r>
              <w:rPr>
                <w:rFonts w:hint="eastAsia"/>
              </w:rPr>
              <w:t>-</w:t>
            </w:r>
          </w:p>
        </w:tc>
        <w:tc>
          <w:tcPr>
            <w:tcW w:w="669" w:type="pct"/>
            <w:vAlign w:val="center"/>
          </w:tcPr>
          <w:p w14:paraId="0B17CB0C">
            <w:pPr>
              <w:pStyle w:val="179"/>
            </w:pPr>
            <w:r>
              <w:t>µ</w:t>
            </w:r>
            <w:r>
              <w:rPr>
                <w:rFonts w:hint="eastAsia"/>
              </w:rPr>
              <w:t>g/kg</w:t>
            </w:r>
          </w:p>
        </w:tc>
      </w:tr>
      <w:tr w14:paraId="2ADD236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654" w:type="pct"/>
            <w:shd w:val="clear" w:color="auto" w:fill="auto"/>
            <w:noWrap/>
            <w:vAlign w:val="center"/>
          </w:tcPr>
          <w:p w14:paraId="62364D86">
            <w:pPr>
              <w:pStyle w:val="179"/>
            </w:pPr>
            <w:r>
              <w:rPr>
                <w:rFonts w:hint="eastAsia"/>
              </w:rPr>
              <w:t>茚并（1，2，3-cd）芘*</w:t>
            </w:r>
          </w:p>
        </w:tc>
        <w:tc>
          <w:tcPr>
            <w:tcW w:w="892" w:type="pct"/>
            <w:noWrap/>
            <w:vAlign w:val="center"/>
          </w:tcPr>
          <w:p w14:paraId="3B9C33D6">
            <w:pPr>
              <w:pStyle w:val="179"/>
            </w:pPr>
            <w:r>
              <w:rPr>
                <w:rFonts w:hint="eastAsia"/>
              </w:rPr>
              <w:t>ND</w:t>
            </w:r>
          </w:p>
        </w:tc>
        <w:tc>
          <w:tcPr>
            <w:tcW w:w="892" w:type="pct"/>
          </w:tcPr>
          <w:p w14:paraId="79656C59">
            <w:pPr>
              <w:pStyle w:val="179"/>
            </w:pPr>
            <w:r>
              <w:rPr>
                <w:rFonts w:hint="eastAsia"/>
              </w:rPr>
              <w:t>-</w:t>
            </w:r>
          </w:p>
        </w:tc>
        <w:tc>
          <w:tcPr>
            <w:tcW w:w="892" w:type="pct"/>
          </w:tcPr>
          <w:p w14:paraId="0BFA915D">
            <w:pPr>
              <w:pStyle w:val="179"/>
            </w:pPr>
            <w:r>
              <w:rPr>
                <w:rFonts w:hint="eastAsia"/>
              </w:rPr>
              <w:t>-</w:t>
            </w:r>
          </w:p>
        </w:tc>
        <w:tc>
          <w:tcPr>
            <w:tcW w:w="669" w:type="pct"/>
            <w:vAlign w:val="center"/>
          </w:tcPr>
          <w:p w14:paraId="738D3429">
            <w:pPr>
              <w:pStyle w:val="179"/>
            </w:pPr>
            <w:r>
              <w:t>µ</w:t>
            </w:r>
            <w:r>
              <w:rPr>
                <w:rFonts w:hint="eastAsia"/>
              </w:rPr>
              <w:t>g/kg</w:t>
            </w:r>
          </w:p>
        </w:tc>
      </w:tr>
      <w:tr w14:paraId="7454FF2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654" w:type="pct"/>
            <w:shd w:val="clear" w:color="auto" w:fill="auto"/>
            <w:noWrap/>
            <w:vAlign w:val="center"/>
          </w:tcPr>
          <w:p w14:paraId="496CA365">
            <w:pPr>
              <w:pStyle w:val="179"/>
            </w:pPr>
            <w:r>
              <w:rPr>
                <w:rFonts w:hint="eastAsia"/>
              </w:rPr>
              <w:t>萘*</w:t>
            </w:r>
          </w:p>
        </w:tc>
        <w:tc>
          <w:tcPr>
            <w:tcW w:w="892" w:type="pct"/>
            <w:noWrap/>
            <w:vAlign w:val="center"/>
          </w:tcPr>
          <w:p w14:paraId="53EF768B">
            <w:pPr>
              <w:pStyle w:val="179"/>
            </w:pPr>
            <w:r>
              <w:rPr>
                <w:rFonts w:hint="eastAsia"/>
              </w:rPr>
              <w:t>ND</w:t>
            </w:r>
          </w:p>
        </w:tc>
        <w:tc>
          <w:tcPr>
            <w:tcW w:w="892" w:type="pct"/>
          </w:tcPr>
          <w:p w14:paraId="6E711324">
            <w:pPr>
              <w:pStyle w:val="179"/>
            </w:pPr>
            <w:r>
              <w:rPr>
                <w:rFonts w:hint="eastAsia"/>
              </w:rPr>
              <w:t>-</w:t>
            </w:r>
          </w:p>
        </w:tc>
        <w:tc>
          <w:tcPr>
            <w:tcW w:w="892" w:type="pct"/>
          </w:tcPr>
          <w:p w14:paraId="78673D2C">
            <w:pPr>
              <w:pStyle w:val="179"/>
            </w:pPr>
            <w:r>
              <w:rPr>
                <w:rFonts w:hint="eastAsia"/>
              </w:rPr>
              <w:t>-</w:t>
            </w:r>
          </w:p>
        </w:tc>
        <w:tc>
          <w:tcPr>
            <w:tcW w:w="669" w:type="pct"/>
            <w:vAlign w:val="center"/>
          </w:tcPr>
          <w:p w14:paraId="54DAC1B9">
            <w:pPr>
              <w:pStyle w:val="179"/>
            </w:pPr>
            <w:r>
              <w:t>µ</w:t>
            </w:r>
            <w:r>
              <w:rPr>
                <w:rFonts w:hint="eastAsia"/>
              </w:rPr>
              <w:t>g/kg</w:t>
            </w:r>
          </w:p>
        </w:tc>
      </w:tr>
      <w:tr w14:paraId="381E0B8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654" w:type="pct"/>
            <w:shd w:val="clear" w:color="auto" w:fill="auto"/>
            <w:noWrap/>
            <w:vAlign w:val="center"/>
          </w:tcPr>
          <w:p w14:paraId="3702EDE8">
            <w:pPr>
              <w:pStyle w:val="179"/>
            </w:pPr>
            <w:r>
              <w:rPr>
                <w:rFonts w:hint="eastAsia"/>
              </w:rPr>
              <w:t>pH值*</w:t>
            </w:r>
          </w:p>
        </w:tc>
        <w:tc>
          <w:tcPr>
            <w:tcW w:w="892" w:type="pct"/>
            <w:noWrap/>
            <w:vAlign w:val="center"/>
          </w:tcPr>
          <w:p w14:paraId="621C654E">
            <w:pPr>
              <w:pStyle w:val="179"/>
            </w:pPr>
            <w:r>
              <w:rPr>
                <w:rFonts w:hint="eastAsia"/>
              </w:rPr>
              <w:t>7.54</w:t>
            </w:r>
          </w:p>
        </w:tc>
        <w:tc>
          <w:tcPr>
            <w:tcW w:w="892" w:type="pct"/>
            <w:vAlign w:val="center"/>
          </w:tcPr>
          <w:p w14:paraId="22D9E934">
            <w:pPr>
              <w:pStyle w:val="179"/>
            </w:pPr>
            <w:r>
              <w:rPr>
                <w:rFonts w:hint="eastAsia"/>
              </w:rPr>
              <w:t>7.48</w:t>
            </w:r>
          </w:p>
        </w:tc>
        <w:tc>
          <w:tcPr>
            <w:tcW w:w="892" w:type="pct"/>
            <w:vAlign w:val="center"/>
          </w:tcPr>
          <w:p w14:paraId="2835D1E7">
            <w:pPr>
              <w:pStyle w:val="179"/>
            </w:pPr>
            <w:r>
              <w:rPr>
                <w:rFonts w:hint="eastAsia"/>
              </w:rPr>
              <w:t>7.51</w:t>
            </w:r>
          </w:p>
        </w:tc>
        <w:tc>
          <w:tcPr>
            <w:tcW w:w="669" w:type="pct"/>
          </w:tcPr>
          <w:p w14:paraId="45049FCB">
            <w:pPr>
              <w:pStyle w:val="179"/>
            </w:pPr>
            <w:r>
              <w:rPr>
                <w:rFonts w:hint="eastAsia"/>
              </w:rPr>
              <w:t>无量纲</w:t>
            </w:r>
          </w:p>
        </w:tc>
      </w:tr>
      <w:tr w14:paraId="5615129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654" w:type="pct"/>
            <w:noWrap/>
            <w:vAlign w:val="center"/>
          </w:tcPr>
          <w:p w14:paraId="4A46F494">
            <w:pPr>
              <w:pStyle w:val="179"/>
            </w:pPr>
            <w:r>
              <w:rPr>
                <w:rFonts w:hint="eastAsia"/>
              </w:rPr>
              <w:t>锌*</w:t>
            </w:r>
          </w:p>
        </w:tc>
        <w:tc>
          <w:tcPr>
            <w:tcW w:w="892" w:type="pct"/>
            <w:noWrap/>
          </w:tcPr>
          <w:p w14:paraId="586918B7">
            <w:pPr>
              <w:pStyle w:val="179"/>
            </w:pPr>
            <w:r>
              <w:rPr>
                <w:rFonts w:hint="eastAsia"/>
              </w:rPr>
              <w:t>-</w:t>
            </w:r>
          </w:p>
        </w:tc>
        <w:tc>
          <w:tcPr>
            <w:tcW w:w="892" w:type="pct"/>
            <w:vAlign w:val="center"/>
          </w:tcPr>
          <w:p w14:paraId="0FB358FD">
            <w:pPr>
              <w:pStyle w:val="179"/>
            </w:pPr>
            <w:r>
              <w:rPr>
                <w:rFonts w:hint="eastAsia"/>
              </w:rPr>
              <w:t>25</w:t>
            </w:r>
          </w:p>
        </w:tc>
        <w:tc>
          <w:tcPr>
            <w:tcW w:w="892" w:type="pct"/>
            <w:vAlign w:val="center"/>
          </w:tcPr>
          <w:p w14:paraId="048F6721">
            <w:pPr>
              <w:pStyle w:val="179"/>
            </w:pPr>
            <w:r>
              <w:rPr>
                <w:rFonts w:hint="eastAsia"/>
              </w:rPr>
              <w:t>31</w:t>
            </w:r>
          </w:p>
        </w:tc>
        <w:tc>
          <w:tcPr>
            <w:tcW w:w="669" w:type="pct"/>
            <w:vAlign w:val="center"/>
          </w:tcPr>
          <w:p w14:paraId="3B0FD617">
            <w:pPr>
              <w:pStyle w:val="179"/>
            </w:pPr>
            <w:r>
              <w:t>mg/kg</w:t>
            </w:r>
          </w:p>
        </w:tc>
      </w:tr>
      <w:tr w14:paraId="0DE33FF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654" w:type="pct"/>
            <w:noWrap/>
            <w:vAlign w:val="center"/>
          </w:tcPr>
          <w:p w14:paraId="38EC0CD2">
            <w:pPr>
              <w:pStyle w:val="179"/>
            </w:pPr>
            <w:r>
              <w:t>水溶性盐总量（全盐量）</w:t>
            </w:r>
            <w:r>
              <w:rPr>
                <w:rFonts w:hint="eastAsia"/>
              </w:rPr>
              <w:t>*</w:t>
            </w:r>
          </w:p>
        </w:tc>
        <w:tc>
          <w:tcPr>
            <w:tcW w:w="892" w:type="pct"/>
            <w:noWrap/>
          </w:tcPr>
          <w:p w14:paraId="46FA3DF0">
            <w:pPr>
              <w:pStyle w:val="179"/>
            </w:pPr>
            <w:r>
              <w:rPr>
                <w:rFonts w:hint="eastAsia"/>
              </w:rPr>
              <w:t>-</w:t>
            </w:r>
          </w:p>
        </w:tc>
        <w:tc>
          <w:tcPr>
            <w:tcW w:w="892" w:type="pct"/>
            <w:vAlign w:val="center"/>
          </w:tcPr>
          <w:p w14:paraId="7C05CFB9">
            <w:pPr>
              <w:pStyle w:val="179"/>
            </w:pPr>
            <w:r>
              <w:rPr>
                <w:rFonts w:hint="eastAsia"/>
              </w:rPr>
              <w:t>3.8</w:t>
            </w:r>
          </w:p>
        </w:tc>
        <w:tc>
          <w:tcPr>
            <w:tcW w:w="892" w:type="pct"/>
            <w:vAlign w:val="center"/>
          </w:tcPr>
          <w:p w14:paraId="504A31E8">
            <w:pPr>
              <w:pStyle w:val="179"/>
            </w:pPr>
            <w:r>
              <w:rPr>
                <w:rFonts w:hint="eastAsia"/>
              </w:rPr>
              <w:t>3.7</w:t>
            </w:r>
          </w:p>
        </w:tc>
        <w:tc>
          <w:tcPr>
            <w:tcW w:w="669" w:type="pct"/>
            <w:vAlign w:val="center"/>
          </w:tcPr>
          <w:p w14:paraId="176AA629">
            <w:pPr>
              <w:pStyle w:val="179"/>
            </w:pPr>
            <w:r>
              <w:rPr>
                <w:rFonts w:hint="eastAsia"/>
              </w:rPr>
              <w:t>g/kg</w:t>
            </w:r>
          </w:p>
        </w:tc>
      </w:tr>
    </w:tbl>
    <w:p w14:paraId="6B4AD291">
      <w:pPr>
        <w:pStyle w:val="4"/>
        <w:spacing w:before="180" w:after="120"/>
        <w:rPr>
          <w:rFonts w:hAnsi="Times New Roman" w:cs="Times New Roman"/>
        </w:rPr>
      </w:pPr>
      <w:r>
        <w:rPr>
          <w:rFonts w:hAnsi="Times New Roman" w:cs="Times New Roman"/>
        </w:rPr>
        <w:t>土壤环境质量现状评价结论</w:t>
      </w:r>
    </w:p>
    <w:p w14:paraId="3A46D7FD">
      <w:pPr>
        <w:ind w:firstLine="480"/>
      </w:pPr>
      <w:r>
        <w:t>根据监测结果可知，本项目土壤环境监测各点位监测值满足《土壤环境质量建设用地土壤污染风险管控标准》（GB36600-2018）中第二类用地筛选值标准。</w:t>
      </w:r>
    </w:p>
    <w:p w14:paraId="306D267D">
      <w:pPr>
        <w:pStyle w:val="3"/>
        <w:spacing w:before="180" w:after="120"/>
        <w:rPr>
          <w:rFonts w:cs="Times New Roman"/>
          <w:bCs/>
        </w:rPr>
      </w:pPr>
      <w:bookmarkStart w:id="354" w:name="_Toc234927701"/>
      <w:r>
        <w:rPr>
          <w:rFonts w:cs="Times New Roman"/>
        </w:rPr>
        <w:t>区域污染源调查</w:t>
      </w:r>
      <w:bookmarkEnd w:id="354"/>
    </w:p>
    <w:p w14:paraId="3E835BC8">
      <w:pPr>
        <w:ind w:firstLine="480"/>
      </w:pPr>
      <w:r>
        <w:t>本项目位于黑龙江省嫩江市塔溪乡马厂河北东50m处，距塔溪乡乡直约</w:t>
      </w:r>
      <w:r>
        <w:rPr>
          <w:rFonts w:hint="eastAsia"/>
        </w:rPr>
        <w:t>5.0k</w:t>
      </w:r>
      <w:r>
        <w:t>m。根据现状调查，项目周边无其他工矿企业，周边环境简单。除本矿山企业外，无其他区域污染源。</w:t>
      </w:r>
    </w:p>
    <w:p w14:paraId="455B8B0A">
      <w:pPr>
        <w:ind w:firstLine="480"/>
        <w:rPr>
          <w:rFonts w:hAnsi="Times New Roman" w:cs="Times New Roman"/>
        </w:rPr>
      </w:pPr>
      <w:r>
        <w:rPr>
          <w:rFonts w:hAnsi="Times New Roman" w:cs="Times New Roman"/>
        </w:rPr>
        <w:br w:type="page"/>
      </w:r>
    </w:p>
    <w:p w14:paraId="08056D48">
      <w:pPr>
        <w:pStyle w:val="2"/>
        <w:spacing w:before="120" w:after="180"/>
        <w:rPr>
          <w:rFonts w:cs="Times New Roman"/>
        </w:rPr>
      </w:pPr>
      <w:bookmarkStart w:id="355" w:name="_Toc61013096"/>
      <w:bookmarkStart w:id="356" w:name="_Toc61013916"/>
      <w:bookmarkStart w:id="357" w:name="_Toc521678723"/>
      <w:bookmarkStart w:id="358" w:name="_Toc61013711"/>
      <w:bookmarkStart w:id="359" w:name="_Toc76395501"/>
      <w:bookmarkStart w:id="360" w:name="_Toc61013301"/>
      <w:bookmarkStart w:id="361" w:name="_Toc234927702"/>
      <w:bookmarkStart w:id="362" w:name="_Toc12649360"/>
      <w:bookmarkStart w:id="363" w:name="_Toc61012957"/>
      <w:bookmarkStart w:id="364" w:name="_Toc61013506"/>
      <w:bookmarkStart w:id="365" w:name="_Toc61012620"/>
      <w:bookmarkStart w:id="366" w:name="_Toc488312014"/>
      <w:r>
        <w:rPr>
          <w:rFonts w:cs="Times New Roman"/>
        </w:rPr>
        <w:t>环境影响预测与评价</w:t>
      </w:r>
      <w:bookmarkEnd w:id="355"/>
      <w:bookmarkEnd w:id="356"/>
      <w:bookmarkEnd w:id="357"/>
      <w:bookmarkEnd w:id="358"/>
      <w:bookmarkEnd w:id="359"/>
      <w:bookmarkEnd w:id="360"/>
      <w:bookmarkEnd w:id="361"/>
      <w:bookmarkEnd w:id="362"/>
      <w:bookmarkEnd w:id="363"/>
      <w:bookmarkEnd w:id="364"/>
      <w:bookmarkEnd w:id="365"/>
      <w:bookmarkEnd w:id="366"/>
    </w:p>
    <w:p w14:paraId="6B0F5ADF">
      <w:pPr>
        <w:pStyle w:val="3"/>
        <w:spacing w:before="180" w:after="120"/>
        <w:rPr>
          <w:rFonts w:cs="Times New Roman"/>
          <w:bCs/>
        </w:rPr>
      </w:pPr>
      <w:bookmarkStart w:id="367" w:name="_Toc61012621"/>
      <w:bookmarkStart w:id="368" w:name="_Toc521678724"/>
      <w:bookmarkStart w:id="369" w:name="_Toc61013097"/>
      <w:bookmarkStart w:id="370" w:name="_Toc12649361"/>
      <w:bookmarkStart w:id="371" w:name="_Toc61013507"/>
      <w:bookmarkStart w:id="372" w:name="_Toc61013917"/>
      <w:bookmarkStart w:id="373" w:name="_Toc61013712"/>
      <w:bookmarkStart w:id="374" w:name="_Toc61013302"/>
      <w:bookmarkStart w:id="375" w:name="_Toc76395502"/>
      <w:bookmarkStart w:id="376" w:name="_Toc488312015"/>
      <w:bookmarkStart w:id="377" w:name="_Toc234927703"/>
      <w:bookmarkStart w:id="378" w:name="_Toc61012958"/>
      <w:r>
        <w:rPr>
          <w:rFonts w:cs="Times New Roman"/>
        </w:rPr>
        <w:t>施工期环境影响分析</w:t>
      </w:r>
      <w:bookmarkEnd w:id="367"/>
      <w:bookmarkEnd w:id="368"/>
      <w:bookmarkEnd w:id="369"/>
      <w:bookmarkEnd w:id="370"/>
      <w:bookmarkEnd w:id="371"/>
      <w:bookmarkEnd w:id="372"/>
      <w:bookmarkEnd w:id="373"/>
      <w:bookmarkEnd w:id="374"/>
      <w:bookmarkEnd w:id="375"/>
      <w:bookmarkEnd w:id="376"/>
      <w:bookmarkEnd w:id="377"/>
      <w:bookmarkEnd w:id="378"/>
    </w:p>
    <w:p w14:paraId="1A9F9004">
      <w:pPr>
        <w:pStyle w:val="4"/>
        <w:spacing w:before="180" w:after="120"/>
        <w:rPr>
          <w:rFonts w:hAnsi="Times New Roman" w:cs="Times New Roman"/>
        </w:rPr>
      </w:pPr>
      <w:bookmarkStart w:id="379" w:name="_Toc12649363"/>
      <w:bookmarkStart w:id="380" w:name="_Toc61013714"/>
      <w:bookmarkStart w:id="381" w:name="_Toc61013509"/>
      <w:bookmarkStart w:id="382" w:name="_Toc61013099"/>
      <w:bookmarkStart w:id="383" w:name="_Toc61012623"/>
      <w:bookmarkStart w:id="384" w:name="_Toc61013304"/>
      <w:bookmarkStart w:id="385" w:name="_Toc61013919"/>
      <w:r>
        <w:rPr>
          <w:rFonts w:hAnsi="Times New Roman" w:cs="Times New Roman"/>
        </w:rPr>
        <w:t>施工期环境空气影响分析</w:t>
      </w:r>
      <w:bookmarkEnd w:id="379"/>
      <w:bookmarkEnd w:id="380"/>
      <w:bookmarkEnd w:id="381"/>
      <w:bookmarkEnd w:id="382"/>
      <w:bookmarkEnd w:id="383"/>
      <w:bookmarkEnd w:id="384"/>
      <w:bookmarkEnd w:id="385"/>
    </w:p>
    <w:p w14:paraId="7ED97810">
      <w:pPr>
        <w:ind w:firstLine="480"/>
      </w:pPr>
      <w:r>
        <w:t>本项目施工期对环境空气的主要影响为</w:t>
      </w:r>
      <w:r>
        <w:rPr>
          <w:rFonts w:hint="eastAsia"/>
        </w:rPr>
        <w:t>土方运输装卸堆放、</w:t>
      </w:r>
      <w:r>
        <w:t>行驶运输车辆产生的扬尘等，为无组织排放。</w:t>
      </w:r>
    </w:p>
    <w:p w14:paraId="4303E866">
      <w:pPr>
        <w:ind w:firstLine="480"/>
      </w:pPr>
      <w:r>
        <w:t>本项目施工现场车辆来往较少，产生扬尘量较小。根据类比相关资料，行车道路两侧扬尘浓度约8～10mg/m</w:t>
      </w:r>
      <w:r>
        <w:rPr>
          <w:vertAlign w:val="superscript"/>
        </w:rPr>
        <w:t>3</w:t>
      </w:r>
      <w:r>
        <w:t>，扬尘浓度随距离增加而迅速下降，影响范围一般为道路两侧各约50m内，矿区内施工运输车辆行驶速度限制在15km/h以下，对运输道路洒水抑尘。</w:t>
      </w:r>
    </w:p>
    <w:p w14:paraId="4C13CB42">
      <w:pPr>
        <w:ind w:firstLine="480"/>
      </w:pPr>
      <w:r>
        <w:t>通过采取上述措施后本项目施工期扬尘对周围环境的影响会大大降低，施工期对大气环境的影响暂时的，随着施工活动结束，影响消除，不会遗留环境问题。施工期间应严格落实上述环保措施，减少施工行为对大气环境的影响。</w:t>
      </w:r>
    </w:p>
    <w:p w14:paraId="4C424634">
      <w:pPr>
        <w:pStyle w:val="4"/>
        <w:spacing w:before="180" w:after="120"/>
        <w:rPr>
          <w:rFonts w:hAnsi="Times New Roman" w:cs="Times New Roman"/>
        </w:rPr>
      </w:pPr>
      <w:bookmarkStart w:id="386" w:name="_Toc61013920"/>
      <w:bookmarkStart w:id="387" w:name="_Toc12649364"/>
      <w:bookmarkStart w:id="388" w:name="_Toc61013715"/>
      <w:bookmarkStart w:id="389" w:name="_Toc61013510"/>
      <w:bookmarkStart w:id="390" w:name="_Toc61012624"/>
      <w:bookmarkStart w:id="391" w:name="_Toc61013100"/>
      <w:bookmarkStart w:id="392" w:name="_Toc61013305"/>
      <w:r>
        <w:rPr>
          <w:rFonts w:hAnsi="Times New Roman" w:cs="Times New Roman"/>
        </w:rPr>
        <w:t>施工期地表水污染影响分析</w:t>
      </w:r>
      <w:bookmarkEnd w:id="386"/>
      <w:bookmarkEnd w:id="387"/>
      <w:bookmarkEnd w:id="388"/>
      <w:bookmarkEnd w:id="389"/>
      <w:bookmarkEnd w:id="390"/>
      <w:bookmarkEnd w:id="391"/>
      <w:bookmarkEnd w:id="392"/>
    </w:p>
    <w:p w14:paraId="0164C330">
      <w:pPr>
        <w:ind w:firstLine="480"/>
      </w:pPr>
      <w:r>
        <w:t>本项目施工期主要为施工人员生活污水，排入防渗旱厕，定期清掏外运堆肥，不外排。施工场地设置沉淀池和隔油池，将收集的废水排入沉淀池和隔油池处理后用于周围场地的降尘循环使用，生产废水不外排，以减轻含油废水排放对地表水环境的影响。</w:t>
      </w:r>
    </w:p>
    <w:p w14:paraId="13C2DA45">
      <w:pPr>
        <w:ind w:firstLine="480"/>
        <w:rPr>
          <w:rFonts w:cs="Times New Roman"/>
          <w:szCs w:val="28"/>
        </w:rPr>
      </w:pPr>
      <w:r>
        <w:rPr>
          <w:rFonts w:cs="Times New Roman"/>
          <w:szCs w:val="28"/>
        </w:rPr>
        <w:t>施工期间施工生活污水是暂时性的，随着工程的建成其污染源也将消失，并且废水水量较小，污染程度相对较低，对周围环境影响较小。</w:t>
      </w:r>
    </w:p>
    <w:p w14:paraId="06CCB81F">
      <w:pPr>
        <w:pStyle w:val="4"/>
        <w:spacing w:before="180" w:after="120"/>
        <w:rPr>
          <w:rFonts w:hAnsi="Times New Roman" w:cs="Times New Roman"/>
        </w:rPr>
      </w:pPr>
      <w:bookmarkStart w:id="393" w:name="_Toc61013306"/>
      <w:bookmarkStart w:id="394" w:name="_Toc61013511"/>
      <w:bookmarkStart w:id="395" w:name="_Toc61013101"/>
      <w:bookmarkStart w:id="396" w:name="_Toc61013716"/>
      <w:bookmarkStart w:id="397" w:name="_Toc61012625"/>
      <w:bookmarkStart w:id="398" w:name="_Toc12649365"/>
      <w:bookmarkStart w:id="399" w:name="_Toc61013921"/>
      <w:r>
        <w:rPr>
          <w:rFonts w:hAnsi="Times New Roman" w:cs="Times New Roman"/>
        </w:rPr>
        <w:t>施工期声环境影响评价</w:t>
      </w:r>
      <w:bookmarkEnd w:id="393"/>
      <w:bookmarkEnd w:id="394"/>
      <w:bookmarkEnd w:id="395"/>
      <w:bookmarkEnd w:id="396"/>
      <w:bookmarkEnd w:id="397"/>
      <w:bookmarkEnd w:id="398"/>
      <w:bookmarkEnd w:id="399"/>
    </w:p>
    <w:p w14:paraId="2FACE4EA">
      <w:pPr>
        <w:ind w:firstLine="480"/>
      </w:pPr>
      <w:r>
        <w:t>施工期噪声主要来源于施工机械和运输车辆。本项目施工过程中，施工单位必须选择符合国家有关标准的施工机械及运输车辆，尽量选用低噪音、低振动的各类施工机械设备，注意维修养护及正确使用，使之保持较好工作状态和低声级水平，在保证施工进度的前提下，合理安排作业时间，禁止夜间施工。本项目厂界周边200m范围内无声敏感目标。施工厂界噪声排放满足《建筑施工噪声排放标准》（GB12523-2025），对环境影响可被环境接受。所以本项目施工期对声环境影响较小。</w:t>
      </w:r>
    </w:p>
    <w:p w14:paraId="666B2C2D">
      <w:pPr>
        <w:pStyle w:val="4"/>
        <w:spacing w:before="180" w:after="120"/>
        <w:rPr>
          <w:rFonts w:hAnsi="Times New Roman" w:cs="Times New Roman"/>
        </w:rPr>
      </w:pPr>
      <w:bookmarkStart w:id="400" w:name="_Toc61013718"/>
      <w:bookmarkStart w:id="401" w:name="_Toc61013103"/>
      <w:bookmarkStart w:id="402" w:name="_Toc61013308"/>
      <w:bookmarkStart w:id="403" w:name="_Toc12649367"/>
      <w:bookmarkStart w:id="404" w:name="_Toc61012627"/>
      <w:bookmarkStart w:id="405" w:name="_Toc61013513"/>
      <w:bookmarkStart w:id="406" w:name="_Toc61013923"/>
      <w:r>
        <w:rPr>
          <w:rFonts w:hAnsi="Times New Roman" w:cs="Times New Roman"/>
        </w:rPr>
        <w:t>施工期固体废物影响分析</w:t>
      </w:r>
      <w:bookmarkEnd w:id="400"/>
      <w:bookmarkEnd w:id="401"/>
      <w:bookmarkEnd w:id="402"/>
      <w:bookmarkEnd w:id="403"/>
      <w:bookmarkEnd w:id="404"/>
      <w:bookmarkEnd w:id="405"/>
      <w:bookmarkEnd w:id="406"/>
    </w:p>
    <w:p w14:paraId="6A951F14">
      <w:pPr>
        <w:ind w:firstLine="480"/>
      </w:pPr>
      <w:r>
        <w:rPr>
          <w:rFonts w:hint="eastAsia"/>
        </w:rPr>
        <w:t>矿区</w:t>
      </w:r>
      <w:r>
        <w:t>道路工程建设等会产生大量的土石方和表土。剥离的表土堆存至表土临时堆场，表土单独堆存，后期用于绿化覆土。本项目施工高峰期施工人员约</w:t>
      </w:r>
      <w:r>
        <w:rPr>
          <w:rFonts w:hint="eastAsia"/>
        </w:rPr>
        <w:t>20</w:t>
      </w:r>
      <w:r>
        <w:t>人，生活垃圾产生量按每人每天0.</w:t>
      </w:r>
      <w:r>
        <w:rPr>
          <w:rFonts w:hint="eastAsia"/>
        </w:rPr>
        <w:t>5</w:t>
      </w:r>
      <w:r>
        <w:t>kg计，则施工期生活垃圾产生量为</w:t>
      </w:r>
      <w:r>
        <w:rPr>
          <w:rFonts w:hint="eastAsia"/>
        </w:rPr>
        <w:t>10</w:t>
      </w:r>
      <w:r>
        <w:t>kg/d。生活垃圾定点收集后，送往市政指定地点，由市政环卫部门统一处置。沉积泥砂</w:t>
      </w:r>
      <w:r>
        <w:rPr>
          <w:rFonts w:hint="eastAsia"/>
        </w:rPr>
        <w:t>产生量约0.5t/a，用于矿坑土地平整；废油脂产生量约0.1t/a，交由有资质单位回收处置。</w:t>
      </w:r>
      <w:r>
        <w:t>本项目施工期固体废弃物均得到妥善处置，不会产生二次污染，对周围环境影响较小。</w:t>
      </w:r>
    </w:p>
    <w:p w14:paraId="2668B73F">
      <w:pPr>
        <w:pStyle w:val="3"/>
        <w:spacing w:before="180" w:after="120"/>
        <w:rPr>
          <w:rFonts w:cs="Times New Roman"/>
          <w:bCs/>
        </w:rPr>
      </w:pPr>
      <w:bookmarkStart w:id="407" w:name="_Toc61012959"/>
      <w:bookmarkStart w:id="408" w:name="_Toc61013309"/>
      <w:bookmarkStart w:id="409" w:name="_Toc488312411"/>
      <w:bookmarkStart w:id="410" w:name="_Toc61012628"/>
      <w:bookmarkStart w:id="411" w:name="_Toc61013924"/>
      <w:bookmarkStart w:id="412" w:name="_Toc61013719"/>
      <w:bookmarkStart w:id="413" w:name="_Toc12649368"/>
      <w:bookmarkStart w:id="414" w:name="_Toc61013104"/>
      <w:bookmarkStart w:id="415" w:name="_Toc61013514"/>
      <w:bookmarkStart w:id="416" w:name="_Toc76395503"/>
      <w:bookmarkStart w:id="417" w:name="_Toc234927704"/>
      <w:r>
        <w:rPr>
          <w:rFonts w:cs="Times New Roman"/>
        </w:rPr>
        <w:t>运行期环境影响</w:t>
      </w:r>
      <w:bookmarkEnd w:id="407"/>
      <w:bookmarkEnd w:id="408"/>
      <w:bookmarkEnd w:id="409"/>
      <w:bookmarkEnd w:id="410"/>
      <w:bookmarkEnd w:id="411"/>
      <w:bookmarkEnd w:id="412"/>
      <w:bookmarkEnd w:id="413"/>
      <w:bookmarkEnd w:id="414"/>
      <w:bookmarkEnd w:id="415"/>
      <w:bookmarkEnd w:id="416"/>
      <w:r>
        <w:rPr>
          <w:rFonts w:cs="Times New Roman"/>
        </w:rPr>
        <w:t>评价</w:t>
      </w:r>
      <w:bookmarkEnd w:id="417"/>
    </w:p>
    <w:p w14:paraId="32D9556B">
      <w:pPr>
        <w:pStyle w:val="4"/>
        <w:spacing w:before="180" w:after="120"/>
        <w:rPr>
          <w:rFonts w:hAnsi="Times New Roman" w:cs="Times New Roman"/>
        </w:rPr>
      </w:pPr>
      <w:r>
        <w:rPr>
          <w:rFonts w:cs="Times New Roman"/>
        </w:rPr>
        <w:t>运行期</w:t>
      </w:r>
      <w:r>
        <w:rPr>
          <w:rFonts w:hAnsi="Times New Roman" w:cs="Times New Roman"/>
        </w:rPr>
        <w:t>环境空气影响预测与评价</w:t>
      </w:r>
    </w:p>
    <w:p w14:paraId="5EA913E5">
      <w:pPr>
        <w:ind w:firstLine="480"/>
      </w:pPr>
      <w:r>
        <w:t>根据《环境影响评价技术导则 大气环境》（HJ2.2-2018），二级评价项目不进行进一步预测与评价，只对污染物排放量进行核算。</w:t>
      </w:r>
    </w:p>
    <w:p w14:paraId="6B714116">
      <w:pPr>
        <w:pStyle w:val="5"/>
        <w:spacing w:before="120" w:after="120"/>
      </w:pPr>
      <w:r>
        <w:t>污染物排放量核实</w:t>
      </w:r>
    </w:p>
    <w:p w14:paraId="5166775D">
      <w:pPr>
        <w:ind w:firstLine="482"/>
        <w:rPr>
          <w:b/>
        </w:rPr>
      </w:pPr>
      <w:r>
        <w:rPr>
          <w:b/>
        </w:rPr>
        <w:t>1、正常排放量核算</w:t>
      </w:r>
    </w:p>
    <w:p w14:paraId="6C00998F">
      <w:pPr>
        <w:ind w:firstLine="480"/>
      </w:pPr>
      <w:r>
        <w:t>（1）无组织排放量核算</w:t>
      </w:r>
    </w:p>
    <w:p w14:paraId="385BEA1B">
      <w:pPr>
        <w:pStyle w:val="178"/>
      </w:pPr>
      <w:r>
        <w:t>表5.2-</w:t>
      </w:r>
      <w:r>
        <w:rPr>
          <w:rFonts w:hint="eastAsia"/>
        </w:rPr>
        <w:t>1</w:t>
      </w:r>
      <w:r>
        <w:t xml:space="preserve">  大气污染物无组织排放量核算表</w:t>
      </w:r>
    </w:p>
    <w:tbl>
      <w:tblPr>
        <w:tblStyle w:val="36"/>
        <w:tblW w:w="8505" w:type="dxa"/>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551"/>
        <w:gridCol w:w="1434"/>
        <w:gridCol w:w="806"/>
        <w:gridCol w:w="1287"/>
        <w:gridCol w:w="2284"/>
        <w:gridCol w:w="1134"/>
        <w:gridCol w:w="1009"/>
      </w:tblGrid>
      <w:tr w14:paraId="5FF22DD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551" w:type="dxa"/>
            <w:vMerge w:val="restart"/>
            <w:tcBorders>
              <w:top w:val="single" w:color="auto" w:sz="12" w:space="0"/>
              <w:left w:val="single" w:color="auto" w:sz="12" w:space="0"/>
            </w:tcBorders>
            <w:vAlign w:val="center"/>
          </w:tcPr>
          <w:p w14:paraId="3720277C">
            <w:pPr>
              <w:pStyle w:val="179"/>
              <w:rPr>
                <w:b/>
              </w:rPr>
            </w:pPr>
            <w:r>
              <w:rPr>
                <w:b/>
              </w:rPr>
              <w:t>序号</w:t>
            </w:r>
          </w:p>
        </w:tc>
        <w:tc>
          <w:tcPr>
            <w:tcW w:w="1434" w:type="dxa"/>
            <w:vMerge w:val="restart"/>
            <w:tcBorders>
              <w:top w:val="single" w:color="auto" w:sz="12" w:space="0"/>
            </w:tcBorders>
            <w:vAlign w:val="center"/>
          </w:tcPr>
          <w:p w14:paraId="0284BBE2">
            <w:pPr>
              <w:pStyle w:val="179"/>
              <w:rPr>
                <w:b/>
              </w:rPr>
            </w:pPr>
            <w:r>
              <w:rPr>
                <w:b/>
              </w:rPr>
              <w:t>产污环节</w:t>
            </w:r>
          </w:p>
        </w:tc>
        <w:tc>
          <w:tcPr>
            <w:tcW w:w="806" w:type="dxa"/>
            <w:vMerge w:val="restart"/>
            <w:tcBorders>
              <w:top w:val="single" w:color="auto" w:sz="12" w:space="0"/>
            </w:tcBorders>
            <w:vAlign w:val="center"/>
          </w:tcPr>
          <w:p w14:paraId="2219DD42">
            <w:pPr>
              <w:pStyle w:val="179"/>
              <w:rPr>
                <w:b/>
              </w:rPr>
            </w:pPr>
            <w:r>
              <w:rPr>
                <w:b/>
              </w:rPr>
              <w:t>污染物</w:t>
            </w:r>
          </w:p>
        </w:tc>
        <w:tc>
          <w:tcPr>
            <w:tcW w:w="1287" w:type="dxa"/>
            <w:vMerge w:val="restart"/>
            <w:tcBorders>
              <w:top w:val="single" w:color="auto" w:sz="12" w:space="0"/>
            </w:tcBorders>
            <w:vAlign w:val="center"/>
          </w:tcPr>
          <w:p w14:paraId="64D6382D">
            <w:pPr>
              <w:pStyle w:val="179"/>
              <w:rPr>
                <w:b/>
              </w:rPr>
            </w:pPr>
            <w:r>
              <w:rPr>
                <w:b/>
              </w:rPr>
              <w:t>主要污染防治措施</w:t>
            </w:r>
          </w:p>
        </w:tc>
        <w:tc>
          <w:tcPr>
            <w:tcW w:w="3418" w:type="dxa"/>
            <w:gridSpan w:val="2"/>
            <w:tcBorders>
              <w:top w:val="single" w:color="auto" w:sz="12" w:space="0"/>
            </w:tcBorders>
            <w:vAlign w:val="center"/>
          </w:tcPr>
          <w:p w14:paraId="2B3815BF">
            <w:pPr>
              <w:pStyle w:val="179"/>
              <w:rPr>
                <w:b/>
              </w:rPr>
            </w:pPr>
            <w:r>
              <w:rPr>
                <w:b/>
              </w:rPr>
              <w:t>污染物排放标准</w:t>
            </w:r>
          </w:p>
        </w:tc>
        <w:tc>
          <w:tcPr>
            <w:tcW w:w="1009" w:type="dxa"/>
            <w:vMerge w:val="restart"/>
            <w:tcBorders>
              <w:top w:val="single" w:color="auto" w:sz="12" w:space="0"/>
              <w:right w:val="single" w:color="auto" w:sz="12" w:space="0"/>
            </w:tcBorders>
            <w:vAlign w:val="center"/>
          </w:tcPr>
          <w:p w14:paraId="40E7E89A">
            <w:pPr>
              <w:pStyle w:val="179"/>
              <w:rPr>
                <w:b/>
              </w:rPr>
            </w:pPr>
            <w:r>
              <w:rPr>
                <w:b/>
              </w:rPr>
              <w:t>年排放量</w:t>
            </w:r>
          </w:p>
          <w:p w14:paraId="15149A64">
            <w:pPr>
              <w:pStyle w:val="179"/>
              <w:rPr>
                <w:b/>
              </w:rPr>
            </w:pPr>
            <w:r>
              <w:rPr>
                <w:b/>
              </w:rPr>
              <w:t>（t/a）</w:t>
            </w:r>
          </w:p>
        </w:tc>
      </w:tr>
      <w:tr w14:paraId="552D689D">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551" w:type="dxa"/>
            <w:vMerge w:val="continue"/>
            <w:tcBorders>
              <w:left w:val="single" w:color="auto" w:sz="12" w:space="0"/>
            </w:tcBorders>
            <w:vAlign w:val="center"/>
          </w:tcPr>
          <w:p w14:paraId="4C3C70A4">
            <w:pPr>
              <w:pStyle w:val="179"/>
              <w:rPr>
                <w:b/>
              </w:rPr>
            </w:pPr>
          </w:p>
        </w:tc>
        <w:tc>
          <w:tcPr>
            <w:tcW w:w="1434" w:type="dxa"/>
            <w:vMerge w:val="continue"/>
            <w:vAlign w:val="center"/>
          </w:tcPr>
          <w:p w14:paraId="30AB019E">
            <w:pPr>
              <w:pStyle w:val="179"/>
              <w:rPr>
                <w:b/>
              </w:rPr>
            </w:pPr>
          </w:p>
        </w:tc>
        <w:tc>
          <w:tcPr>
            <w:tcW w:w="806" w:type="dxa"/>
            <w:vMerge w:val="continue"/>
            <w:vAlign w:val="center"/>
          </w:tcPr>
          <w:p w14:paraId="54D9AAF5">
            <w:pPr>
              <w:pStyle w:val="179"/>
              <w:rPr>
                <w:b/>
              </w:rPr>
            </w:pPr>
          </w:p>
        </w:tc>
        <w:tc>
          <w:tcPr>
            <w:tcW w:w="1287" w:type="dxa"/>
            <w:vMerge w:val="continue"/>
            <w:vAlign w:val="center"/>
          </w:tcPr>
          <w:p w14:paraId="22E38EEF">
            <w:pPr>
              <w:pStyle w:val="179"/>
              <w:rPr>
                <w:b/>
              </w:rPr>
            </w:pPr>
          </w:p>
        </w:tc>
        <w:tc>
          <w:tcPr>
            <w:tcW w:w="2284" w:type="dxa"/>
            <w:vAlign w:val="center"/>
          </w:tcPr>
          <w:p w14:paraId="5D417151">
            <w:pPr>
              <w:pStyle w:val="179"/>
              <w:rPr>
                <w:b/>
              </w:rPr>
            </w:pPr>
            <w:r>
              <w:rPr>
                <w:b/>
              </w:rPr>
              <w:t>标准名称</w:t>
            </w:r>
          </w:p>
        </w:tc>
        <w:tc>
          <w:tcPr>
            <w:tcW w:w="1134" w:type="dxa"/>
            <w:vAlign w:val="center"/>
          </w:tcPr>
          <w:p w14:paraId="478F6F3B">
            <w:pPr>
              <w:pStyle w:val="179"/>
              <w:rPr>
                <w:b/>
              </w:rPr>
            </w:pPr>
            <w:r>
              <w:rPr>
                <w:b/>
              </w:rPr>
              <w:t>浓度限值/</w:t>
            </w:r>
          </w:p>
          <w:p w14:paraId="49B39804">
            <w:pPr>
              <w:pStyle w:val="179"/>
              <w:rPr>
                <w:b/>
              </w:rPr>
            </w:pPr>
            <w:r>
              <w:rPr>
                <w:b/>
              </w:rPr>
              <w:t>（μg/m</w:t>
            </w:r>
            <w:r>
              <w:rPr>
                <w:b/>
                <w:vertAlign w:val="superscript"/>
              </w:rPr>
              <w:t>3</w:t>
            </w:r>
            <w:r>
              <w:rPr>
                <w:b/>
              </w:rPr>
              <w:t>）</w:t>
            </w:r>
          </w:p>
        </w:tc>
        <w:tc>
          <w:tcPr>
            <w:tcW w:w="1009" w:type="dxa"/>
            <w:vMerge w:val="continue"/>
            <w:tcBorders>
              <w:right w:val="single" w:color="auto" w:sz="12" w:space="0"/>
            </w:tcBorders>
            <w:vAlign w:val="center"/>
          </w:tcPr>
          <w:p w14:paraId="3EB55ECA">
            <w:pPr>
              <w:pStyle w:val="179"/>
              <w:rPr>
                <w:b/>
              </w:rPr>
            </w:pPr>
          </w:p>
        </w:tc>
      </w:tr>
      <w:tr w14:paraId="32C39E4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551" w:type="dxa"/>
            <w:tcBorders>
              <w:left w:val="single" w:color="auto" w:sz="12" w:space="0"/>
              <w:bottom w:val="single" w:color="000000" w:sz="4" w:space="0"/>
            </w:tcBorders>
            <w:vAlign w:val="center"/>
          </w:tcPr>
          <w:p w14:paraId="050842C1">
            <w:pPr>
              <w:pStyle w:val="179"/>
            </w:pPr>
            <w:r>
              <w:t>1</w:t>
            </w:r>
          </w:p>
        </w:tc>
        <w:tc>
          <w:tcPr>
            <w:tcW w:w="1434" w:type="dxa"/>
            <w:tcBorders>
              <w:bottom w:val="single" w:color="000000" w:sz="4" w:space="0"/>
            </w:tcBorders>
            <w:vAlign w:val="center"/>
          </w:tcPr>
          <w:p w14:paraId="06F00015">
            <w:pPr>
              <w:pStyle w:val="179"/>
            </w:pPr>
            <w:r>
              <w:t>集堆</w:t>
            </w:r>
            <w:r>
              <w:rPr>
                <w:rFonts w:hint="eastAsia"/>
              </w:rPr>
              <w:t>、铲装</w:t>
            </w:r>
          </w:p>
        </w:tc>
        <w:tc>
          <w:tcPr>
            <w:tcW w:w="806" w:type="dxa"/>
            <w:tcBorders>
              <w:bottom w:val="single" w:color="000000" w:sz="4" w:space="0"/>
            </w:tcBorders>
            <w:vAlign w:val="center"/>
          </w:tcPr>
          <w:p w14:paraId="3BD92737">
            <w:pPr>
              <w:pStyle w:val="179"/>
            </w:pPr>
            <w:r>
              <w:t>TSP</w:t>
            </w:r>
          </w:p>
        </w:tc>
        <w:tc>
          <w:tcPr>
            <w:tcW w:w="1287" w:type="dxa"/>
            <w:vAlign w:val="center"/>
          </w:tcPr>
          <w:p w14:paraId="1833DFC0">
            <w:pPr>
              <w:pStyle w:val="179"/>
            </w:pPr>
            <w:r>
              <w:t>洒水降尘</w:t>
            </w:r>
          </w:p>
        </w:tc>
        <w:tc>
          <w:tcPr>
            <w:tcW w:w="2284" w:type="dxa"/>
            <w:vMerge w:val="restart"/>
            <w:vAlign w:val="center"/>
          </w:tcPr>
          <w:p w14:paraId="07C4F8A3">
            <w:pPr>
              <w:pStyle w:val="179"/>
            </w:pPr>
            <w:r>
              <w:t>《大气污染物综合排放标准》（GB16297-1996）表2无组织排放监控限值</w:t>
            </w:r>
          </w:p>
        </w:tc>
        <w:tc>
          <w:tcPr>
            <w:tcW w:w="1134" w:type="dxa"/>
            <w:vAlign w:val="center"/>
          </w:tcPr>
          <w:p w14:paraId="2B1A05D7">
            <w:pPr>
              <w:pStyle w:val="179"/>
            </w:pPr>
            <w:r>
              <w:t>/</w:t>
            </w:r>
          </w:p>
        </w:tc>
        <w:tc>
          <w:tcPr>
            <w:tcW w:w="1009" w:type="dxa"/>
            <w:tcBorders>
              <w:right w:val="single" w:color="auto" w:sz="12" w:space="0"/>
            </w:tcBorders>
            <w:vAlign w:val="center"/>
          </w:tcPr>
          <w:p w14:paraId="7D22499B">
            <w:pPr>
              <w:pStyle w:val="179"/>
            </w:pPr>
            <w:r>
              <w:rPr>
                <w:rFonts w:hint="eastAsia"/>
              </w:rPr>
              <w:t>0.203</w:t>
            </w:r>
          </w:p>
        </w:tc>
      </w:tr>
      <w:tr w14:paraId="7F1A1F3D">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551" w:type="dxa"/>
            <w:tcBorders>
              <w:left w:val="single" w:color="auto" w:sz="12" w:space="0"/>
            </w:tcBorders>
            <w:vAlign w:val="center"/>
          </w:tcPr>
          <w:p w14:paraId="483BD3A8">
            <w:pPr>
              <w:pStyle w:val="179"/>
            </w:pPr>
            <w:r>
              <w:rPr>
                <w:rFonts w:hint="eastAsia"/>
              </w:rPr>
              <w:t>2</w:t>
            </w:r>
          </w:p>
        </w:tc>
        <w:tc>
          <w:tcPr>
            <w:tcW w:w="1434" w:type="dxa"/>
            <w:vAlign w:val="center"/>
          </w:tcPr>
          <w:p w14:paraId="706C28EB">
            <w:pPr>
              <w:pStyle w:val="179"/>
            </w:pPr>
            <w:r>
              <w:t>运输</w:t>
            </w:r>
          </w:p>
        </w:tc>
        <w:tc>
          <w:tcPr>
            <w:tcW w:w="806" w:type="dxa"/>
            <w:vAlign w:val="center"/>
          </w:tcPr>
          <w:p w14:paraId="52B1695A">
            <w:pPr>
              <w:pStyle w:val="179"/>
            </w:pPr>
            <w:r>
              <w:t>TSP</w:t>
            </w:r>
          </w:p>
        </w:tc>
        <w:tc>
          <w:tcPr>
            <w:tcW w:w="1287" w:type="dxa"/>
            <w:vAlign w:val="center"/>
          </w:tcPr>
          <w:p w14:paraId="08C775C6">
            <w:pPr>
              <w:pStyle w:val="179"/>
            </w:pPr>
            <w:r>
              <w:t>洒水降尘</w:t>
            </w:r>
          </w:p>
        </w:tc>
        <w:tc>
          <w:tcPr>
            <w:tcW w:w="2284" w:type="dxa"/>
            <w:vMerge w:val="continue"/>
            <w:vAlign w:val="center"/>
          </w:tcPr>
          <w:p w14:paraId="1AA613E0">
            <w:pPr>
              <w:pStyle w:val="179"/>
            </w:pPr>
          </w:p>
        </w:tc>
        <w:tc>
          <w:tcPr>
            <w:tcW w:w="1134" w:type="dxa"/>
            <w:vAlign w:val="center"/>
          </w:tcPr>
          <w:p w14:paraId="300BE0F5">
            <w:pPr>
              <w:pStyle w:val="179"/>
            </w:pPr>
            <w:r>
              <w:t>/</w:t>
            </w:r>
          </w:p>
        </w:tc>
        <w:tc>
          <w:tcPr>
            <w:tcW w:w="1009" w:type="dxa"/>
            <w:tcBorders>
              <w:right w:val="single" w:color="auto" w:sz="12" w:space="0"/>
            </w:tcBorders>
            <w:vAlign w:val="center"/>
          </w:tcPr>
          <w:p w14:paraId="5B71128B">
            <w:pPr>
              <w:pStyle w:val="179"/>
            </w:pPr>
            <w:r>
              <w:rPr>
                <w:rFonts w:hint="eastAsia"/>
              </w:rPr>
              <w:t>0.213</w:t>
            </w:r>
          </w:p>
        </w:tc>
      </w:tr>
      <w:tr w14:paraId="224B6929">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551" w:type="dxa"/>
            <w:tcBorders>
              <w:left w:val="single" w:color="auto" w:sz="12" w:space="0"/>
            </w:tcBorders>
            <w:vAlign w:val="center"/>
          </w:tcPr>
          <w:p w14:paraId="25F695BC">
            <w:pPr>
              <w:pStyle w:val="179"/>
            </w:pPr>
            <w:r>
              <w:rPr>
                <w:rFonts w:hint="eastAsia"/>
              </w:rPr>
              <w:t>3</w:t>
            </w:r>
          </w:p>
        </w:tc>
        <w:tc>
          <w:tcPr>
            <w:tcW w:w="1434" w:type="dxa"/>
            <w:vAlign w:val="center"/>
          </w:tcPr>
          <w:p w14:paraId="174A1441">
            <w:pPr>
              <w:pStyle w:val="179"/>
            </w:pPr>
            <w:r>
              <w:rPr>
                <w:rFonts w:hint="eastAsia"/>
              </w:rPr>
              <w:t>剥采粉尘</w:t>
            </w:r>
          </w:p>
        </w:tc>
        <w:tc>
          <w:tcPr>
            <w:tcW w:w="806" w:type="dxa"/>
            <w:vAlign w:val="center"/>
          </w:tcPr>
          <w:p w14:paraId="2A8FF6C7">
            <w:pPr>
              <w:pStyle w:val="179"/>
            </w:pPr>
            <w:r>
              <w:rPr>
                <w:rFonts w:hint="eastAsia"/>
              </w:rPr>
              <w:t>TSP</w:t>
            </w:r>
          </w:p>
        </w:tc>
        <w:tc>
          <w:tcPr>
            <w:tcW w:w="1287" w:type="dxa"/>
            <w:vAlign w:val="center"/>
          </w:tcPr>
          <w:p w14:paraId="03AF0A90">
            <w:pPr>
              <w:pStyle w:val="179"/>
            </w:pPr>
            <w:r>
              <w:t>洒水降尘</w:t>
            </w:r>
          </w:p>
        </w:tc>
        <w:tc>
          <w:tcPr>
            <w:tcW w:w="2284" w:type="dxa"/>
            <w:vMerge w:val="continue"/>
            <w:vAlign w:val="center"/>
          </w:tcPr>
          <w:p w14:paraId="347F4B17">
            <w:pPr>
              <w:pStyle w:val="179"/>
            </w:pPr>
          </w:p>
        </w:tc>
        <w:tc>
          <w:tcPr>
            <w:tcW w:w="1134" w:type="dxa"/>
            <w:vAlign w:val="center"/>
          </w:tcPr>
          <w:p w14:paraId="2DE46189">
            <w:pPr>
              <w:pStyle w:val="179"/>
            </w:pPr>
            <w:r>
              <w:rPr>
                <w:rFonts w:hint="eastAsia"/>
              </w:rPr>
              <w:t>/</w:t>
            </w:r>
          </w:p>
        </w:tc>
        <w:tc>
          <w:tcPr>
            <w:tcW w:w="1009" w:type="dxa"/>
            <w:tcBorders>
              <w:right w:val="single" w:color="auto" w:sz="12" w:space="0"/>
            </w:tcBorders>
            <w:vAlign w:val="center"/>
          </w:tcPr>
          <w:p w14:paraId="358F7A98">
            <w:pPr>
              <w:pStyle w:val="179"/>
            </w:pPr>
            <w:r>
              <w:rPr>
                <w:rFonts w:hint="eastAsia"/>
              </w:rPr>
              <w:t>0.045</w:t>
            </w:r>
          </w:p>
        </w:tc>
      </w:tr>
      <w:tr w14:paraId="2CDDF0C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551" w:type="dxa"/>
            <w:tcBorders>
              <w:left w:val="single" w:color="auto" w:sz="12" w:space="0"/>
            </w:tcBorders>
            <w:vAlign w:val="center"/>
          </w:tcPr>
          <w:p w14:paraId="127295B2">
            <w:pPr>
              <w:pStyle w:val="179"/>
            </w:pPr>
            <w:r>
              <w:rPr>
                <w:rFonts w:hint="eastAsia"/>
              </w:rPr>
              <w:t>4</w:t>
            </w:r>
          </w:p>
        </w:tc>
        <w:tc>
          <w:tcPr>
            <w:tcW w:w="1434" w:type="dxa"/>
            <w:vAlign w:val="center"/>
          </w:tcPr>
          <w:p w14:paraId="6CC61E46">
            <w:pPr>
              <w:pStyle w:val="179"/>
            </w:pPr>
            <w:r>
              <w:rPr>
                <w:rFonts w:hint="eastAsia"/>
              </w:rPr>
              <w:t>堆土场粉尘</w:t>
            </w:r>
          </w:p>
        </w:tc>
        <w:tc>
          <w:tcPr>
            <w:tcW w:w="806" w:type="dxa"/>
            <w:vAlign w:val="center"/>
          </w:tcPr>
          <w:p w14:paraId="10B2D082">
            <w:pPr>
              <w:pStyle w:val="179"/>
            </w:pPr>
            <w:r>
              <w:rPr>
                <w:rFonts w:hint="eastAsia"/>
              </w:rPr>
              <w:t>TSP</w:t>
            </w:r>
          </w:p>
        </w:tc>
        <w:tc>
          <w:tcPr>
            <w:tcW w:w="1287" w:type="dxa"/>
            <w:vAlign w:val="center"/>
          </w:tcPr>
          <w:p w14:paraId="4695A61E">
            <w:pPr>
              <w:pStyle w:val="179"/>
            </w:pPr>
            <w:r>
              <w:rPr>
                <w:rFonts w:hint="eastAsia"/>
              </w:rPr>
              <w:t>洒水降尘</w:t>
            </w:r>
          </w:p>
        </w:tc>
        <w:tc>
          <w:tcPr>
            <w:tcW w:w="2284" w:type="dxa"/>
            <w:vMerge w:val="continue"/>
            <w:vAlign w:val="center"/>
          </w:tcPr>
          <w:p w14:paraId="43FC530E">
            <w:pPr>
              <w:pStyle w:val="179"/>
            </w:pPr>
          </w:p>
        </w:tc>
        <w:tc>
          <w:tcPr>
            <w:tcW w:w="1134" w:type="dxa"/>
            <w:vAlign w:val="center"/>
          </w:tcPr>
          <w:p w14:paraId="3A61612B">
            <w:pPr>
              <w:pStyle w:val="179"/>
            </w:pPr>
            <w:r>
              <w:rPr>
                <w:rFonts w:hint="eastAsia"/>
              </w:rPr>
              <w:t>/</w:t>
            </w:r>
          </w:p>
        </w:tc>
        <w:tc>
          <w:tcPr>
            <w:tcW w:w="1009" w:type="dxa"/>
            <w:tcBorders>
              <w:right w:val="single" w:color="auto" w:sz="12" w:space="0"/>
            </w:tcBorders>
            <w:vAlign w:val="center"/>
          </w:tcPr>
          <w:p w14:paraId="32D04E7F">
            <w:pPr>
              <w:pStyle w:val="179"/>
            </w:pPr>
            <w:r>
              <w:rPr>
                <w:rFonts w:hint="eastAsia"/>
              </w:rPr>
              <w:t>0.206</w:t>
            </w:r>
          </w:p>
        </w:tc>
      </w:tr>
      <w:tr w14:paraId="31CC700E">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8505" w:type="dxa"/>
            <w:gridSpan w:val="7"/>
            <w:tcBorders>
              <w:left w:val="single" w:color="auto" w:sz="12" w:space="0"/>
              <w:right w:val="single" w:color="auto" w:sz="12" w:space="0"/>
            </w:tcBorders>
            <w:vAlign w:val="center"/>
          </w:tcPr>
          <w:p w14:paraId="0B72B19C">
            <w:pPr>
              <w:pStyle w:val="179"/>
            </w:pPr>
            <w:r>
              <w:t>无组织排放总计</w:t>
            </w:r>
          </w:p>
        </w:tc>
      </w:tr>
      <w:tr w14:paraId="2A75CDA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2791" w:type="dxa"/>
            <w:gridSpan w:val="3"/>
            <w:tcBorders>
              <w:left w:val="single" w:color="auto" w:sz="12" w:space="0"/>
              <w:bottom w:val="single" w:color="auto" w:sz="12" w:space="0"/>
            </w:tcBorders>
            <w:vAlign w:val="center"/>
          </w:tcPr>
          <w:p w14:paraId="04320239">
            <w:pPr>
              <w:pStyle w:val="179"/>
            </w:pPr>
            <w:r>
              <w:t>无组织排放总计</w:t>
            </w:r>
          </w:p>
        </w:tc>
        <w:tc>
          <w:tcPr>
            <w:tcW w:w="4705" w:type="dxa"/>
            <w:gridSpan w:val="3"/>
            <w:tcBorders>
              <w:bottom w:val="single" w:color="auto" w:sz="12" w:space="0"/>
            </w:tcBorders>
            <w:vAlign w:val="center"/>
          </w:tcPr>
          <w:p w14:paraId="2CB334B2">
            <w:pPr>
              <w:pStyle w:val="179"/>
            </w:pPr>
            <w:r>
              <w:t>TSP</w:t>
            </w:r>
          </w:p>
        </w:tc>
        <w:tc>
          <w:tcPr>
            <w:tcW w:w="1009" w:type="dxa"/>
            <w:tcBorders>
              <w:bottom w:val="single" w:color="auto" w:sz="12" w:space="0"/>
              <w:right w:val="single" w:color="auto" w:sz="12" w:space="0"/>
            </w:tcBorders>
            <w:vAlign w:val="center"/>
          </w:tcPr>
          <w:p w14:paraId="0ACB3F71">
            <w:pPr>
              <w:pStyle w:val="179"/>
            </w:pPr>
            <w:r>
              <w:rPr>
                <w:rFonts w:hint="eastAsia"/>
              </w:rPr>
              <w:t>0.892</w:t>
            </w:r>
          </w:p>
        </w:tc>
      </w:tr>
    </w:tbl>
    <w:p w14:paraId="4AE48225">
      <w:pPr>
        <w:ind w:firstLine="480"/>
      </w:pPr>
      <w:r>
        <w:t>（</w:t>
      </w:r>
      <w:r>
        <w:rPr>
          <w:rFonts w:hint="eastAsia"/>
        </w:rPr>
        <w:t>2</w:t>
      </w:r>
      <w:r>
        <w:t>）项目大气污染物年排放量核算</w:t>
      </w:r>
    </w:p>
    <w:p w14:paraId="64902CC7">
      <w:pPr>
        <w:pStyle w:val="178"/>
      </w:pPr>
      <w:r>
        <w:t>表5.2-</w:t>
      </w:r>
      <w:r>
        <w:rPr>
          <w:rFonts w:hint="eastAsia"/>
        </w:rPr>
        <w:t>2</w:t>
      </w:r>
      <w:r>
        <w:t xml:space="preserve">  大气污染物年排放量核算表</w:t>
      </w:r>
    </w:p>
    <w:tbl>
      <w:tblPr>
        <w:tblStyle w:val="36"/>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899"/>
        <w:gridCol w:w="4165"/>
        <w:gridCol w:w="2408"/>
      </w:tblGrid>
      <w:tr w14:paraId="59CCECF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121" w:type="pct"/>
            <w:shd w:val="clear" w:color="auto" w:fill="auto"/>
            <w:noWrap/>
            <w:vAlign w:val="center"/>
          </w:tcPr>
          <w:p w14:paraId="1A6663D4">
            <w:pPr>
              <w:pStyle w:val="179"/>
              <w:rPr>
                <w:b/>
              </w:rPr>
            </w:pPr>
            <w:r>
              <w:rPr>
                <w:b/>
              </w:rPr>
              <w:t>序号</w:t>
            </w:r>
          </w:p>
        </w:tc>
        <w:tc>
          <w:tcPr>
            <w:tcW w:w="2458" w:type="pct"/>
            <w:shd w:val="clear" w:color="auto" w:fill="auto"/>
            <w:noWrap/>
            <w:vAlign w:val="center"/>
          </w:tcPr>
          <w:p w14:paraId="025E40A0">
            <w:pPr>
              <w:pStyle w:val="179"/>
              <w:rPr>
                <w:b/>
              </w:rPr>
            </w:pPr>
            <w:r>
              <w:rPr>
                <w:b/>
              </w:rPr>
              <w:t>污染物</w:t>
            </w:r>
          </w:p>
        </w:tc>
        <w:tc>
          <w:tcPr>
            <w:tcW w:w="1421" w:type="pct"/>
            <w:shd w:val="clear" w:color="auto" w:fill="auto"/>
            <w:noWrap/>
            <w:vAlign w:val="center"/>
          </w:tcPr>
          <w:p w14:paraId="6F9E43CB">
            <w:pPr>
              <w:pStyle w:val="179"/>
              <w:rPr>
                <w:b/>
              </w:rPr>
            </w:pPr>
            <w:r>
              <w:rPr>
                <w:b/>
              </w:rPr>
              <w:t>年排放量（t/a）</w:t>
            </w:r>
          </w:p>
        </w:tc>
      </w:tr>
      <w:tr w14:paraId="351BA5C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121" w:type="pct"/>
            <w:shd w:val="clear" w:color="auto" w:fill="auto"/>
            <w:noWrap/>
            <w:vAlign w:val="center"/>
          </w:tcPr>
          <w:p w14:paraId="7073ACB7">
            <w:pPr>
              <w:pStyle w:val="179"/>
            </w:pPr>
            <w:r>
              <w:t>1</w:t>
            </w:r>
          </w:p>
        </w:tc>
        <w:tc>
          <w:tcPr>
            <w:tcW w:w="2458" w:type="pct"/>
            <w:shd w:val="clear" w:color="auto" w:fill="auto"/>
            <w:noWrap/>
            <w:vAlign w:val="center"/>
          </w:tcPr>
          <w:p w14:paraId="02347DF3">
            <w:pPr>
              <w:pStyle w:val="179"/>
            </w:pPr>
            <w:r>
              <w:t>颗粒物</w:t>
            </w:r>
          </w:p>
        </w:tc>
        <w:tc>
          <w:tcPr>
            <w:tcW w:w="1421" w:type="pct"/>
            <w:shd w:val="clear" w:color="auto" w:fill="auto"/>
            <w:noWrap/>
            <w:vAlign w:val="center"/>
          </w:tcPr>
          <w:p w14:paraId="19FDCAA1">
            <w:pPr>
              <w:pStyle w:val="179"/>
            </w:pPr>
            <w:r>
              <w:rPr>
                <w:rFonts w:hint="eastAsia"/>
              </w:rPr>
              <w:t>0.892</w:t>
            </w:r>
          </w:p>
        </w:tc>
      </w:tr>
    </w:tbl>
    <w:p w14:paraId="626404C2">
      <w:pPr>
        <w:pStyle w:val="5"/>
        <w:spacing w:before="120" w:after="120"/>
      </w:pPr>
      <w:r>
        <w:t>环境防护距离</w:t>
      </w:r>
    </w:p>
    <w:p w14:paraId="1921265F">
      <w:pPr>
        <w:ind w:firstLine="480"/>
      </w:pPr>
      <w:r>
        <w:rPr>
          <w:rFonts w:hint="eastAsia"/>
        </w:rPr>
        <w:t>根据《环境影响评价技术导则 大气环境》（HJ2.2-2018）“8.7.5.1对于项目厂界浓度满足大气污染物厂界浓度限值，但厂界外大气污染物短期贡献浓度超过环境质量浓度限值的，可以自厂界向外设置一定范围的大气环境防护区域，以确保大气环境防护区域外的污染物贡献浓度满足环境质量标准”。本项目为二级评价，因此本项目不需要设置大气环境防护距离</w:t>
      </w:r>
      <w:r>
        <w:t>。</w:t>
      </w:r>
    </w:p>
    <w:p w14:paraId="094DFABA">
      <w:pPr>
        <w:pStyle w:val="5"/>
        <w:spacing w:before="120" w:after="120"/>
      </w:pPr>
      <w:r>
        <w:t>大气环境影响评价</w:t>
      </w:r>
    </w:p>
    <w:p w14:paraId="77F896E5">
      <w:pPr>
        <w:ind w:firstLine="480"/>
      </w:pPr>
      <w:r>
        <w:t>运输车辆加盖篷布，装卸过程采用湿式作业；集堆铲装过程产生的粉尘采取洒水降尘，以上粉尘采取措施后均以无组织形式排放。根据估算模式预测结果，无组织排放污染物经过自然风稀释扩散后，开采区下风向颗粒物浓度均能够满足《大气污染物综合排放标准》（GB16297-1996）表2无组织排放监控限值因此，本项目建成后，大气环境影响可接受，大气污染物排放方案可行。</w:t>
      </w:r>
    </w:p>
    <w:p w14:paraId="426F0102">
      <w:pPr>
        <w:pStyle w:val="4"/>
        <w:spacing w:before="180" w:after="120"/>
        <w:rPr>
          <w:rFonts w:hAnsi="Times New Roman" w:cs="Times New Roman"/>
        </w:rPr>
      </w:pPr>
      <w:bookmarkStart w:id="418" w:name="_Toc61013927"/>
      <w:bookmarkStart w:id="419" w:name="_Toc61013312"/>
      <w:bookmarkStart w:id="420" w:name="_Toc61013517"/>
      <w:bookmarkStart w:id="421" w:name="_Toc61012631"/>
      <w:bookmarkStart w:id="422" w:name="_Toc61013107"/>
      <w:bookmarkStart w:id="423" w:name="_Toc12649371"/>
      <w:bookmarkStart w:id="424" w:name="_Toc61013722"/>
      <w:bookmarkStart w:id="425" w:name="_Toc61013108"/>
      <w:bookmarkStart w:id="426" w:name="_Toc61013928"/>
      <w:bookmarkStart w:id="427" w:name="_Toc12649372"/>
      <w:bookmarkStart w:id="428" w:name="_Toc61013313"/>
      <w:bookmarkStart w:id="429" w:name="_Toc61013723"/>
      <w:bookmarkStart w:id="430" w:name="_Toc61013518"/>
      <w:bookmarkStart w:id="431" w:name="_Toc61012632"/>
      <w:r>
        <w:rPr>
          <w:rFonts w:hAnsi="Times New Roman" w:cs="Times New Roman"/>
        </w:rPr>
        <w:t>声</w:t>
      </w:r>
      <w:bookmarkStart w:id="432" w:name="_Toc211910741"/>
      <w:r>
        <w:rPr>
          <w:rFonts w:hAnsi="Times New Roman" w:cs="Times New Roman"/>
        </w:rPr>
        <w:t>环境影响评价</w:t>
      </w:r>
      <w:bookmarkEnd w:id="418"/>
      <w:bookmarkEnd w:id="419"/>
      <w:bookmarkEnd w:id="420"/>
      <w:bookmarkEnd w:id="421"/>
      <w:bookmarkEnd w:id="422"/>
      <w:bookmarkEnd w:id="423"/>
      <w:bookmarkEnd w:id="424"/>
    </w:p>
    <w:bookmarkEnd w:id="432"/>
    <w:p w14:paraId="7D1D6792">
      <w:pPr>
        <w:pStyle w:val="5"/>
        <w:spacing w:before="120" w:after="120"/>
      </w:pPr>
      <w:r>
        <w:rPr>
          <w:rFonts w:hint="eastAsia"/>
        </w:rPr>
        <w:t>主要噪声源</w:t>
      </w:r>
    </w:p>
    <w:p w14:paraId="507ADA82">
      <w:pPr>
        <w:ind w:firstLine="480"/>
      </w:pPr>
      <w:r>
        <w:rPr>
          <w:rFonts w:hint="eastAsia"/>
        </w:rPr>
        <w:t>项目室外噪声源的源强调查清单见表5.2-3。</w:t>
      </w:r>
    </w:p>
    <w:p w14:paraId="47AD5542">
      <w:pPr>
        <w:pStyle w:val="178"/>
        <w:jc w:val="right"/>
      </w:pPr>
      <w:r>
        <w:t>表</w:t>
      </w:r>
      <w:r>
        <w:rPr>
          <w:rFonts w:hint="eastAsia"/>
        </w:rPr>
        <w:t>5</w:t>
      </w:r>
      <w:r>
        <w:t>.2-</w:t>
      </w:r>
      <w:r>
        <w:rPr>
          <w:rFonts w:hint="eastAsia"/>
        </w:rPr>
        <w:t xml:space="preserve">3  </w:t>
      </w:r>
      <w:r>
        <w:t>主要噪声源一览表</w:t>
      </w:r>
      <w:r>
        <w:rPr>
          <w:rFonts w:hint="eastAsia"/>
        </w:rPr>
        <w:t xml:space="preserve">           </w:t>
      </w:r>
      <w:r>
        <w:t xml:space="preserve">  单位：dB(A)</w:t>
      </w:r>
    </w:p>
    <w:tbl>
      <w:tblPr>
        <w:tblStyle w:val="36"/>
        <w:tblW w:w="8505"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674"/>
        <w:gridCol w:w="1764"/>
        <w:gridCol w:w="2279"/>
        <w:gridCol w:w="1493"/>
        <w:gridCol w:w="1352"/>
        <w:gridCol w:w="943"/>
      </w:tblGrid>
      <w:tr w14:paraId="1167164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6" w:type="pct"/>
            <w:vAlign w:val="center"/>
          </w:tcPr>
          <w:p w14:paraId="626ECBAB">
            <w:pPr>
              <w:pStyle w:val="179"/>
              <w:rPr>
                <w:b/>
              </w:rPr>
            </w:pPr>
            <w:r>
              <w:rPr>
                <w:b/>
              </w:rPr>
              <w:t>序号</w:t>
            </w:r>
          </w:p>
        </w:tc>
        <w:tc>
          <w:tcPr>
            <w:tcW w:w="1037" w:type="pct"/>
            <w:vAlign w:val="center"/>
          </w:tcPr>
          <w:p w14:paraId="79E6B8E1">
            <w:pPr>
              <w:pStyle w:val="179"/>
              <w:rPr>
                <w:b/>
              </w:rPr>
            </w:pPr>
            <w:r>
              <w:rPr>
                <w:rFonts w:hint="eastAsia"/>
                <w:b/>
              </w:rPr>
              <w:t>声源名称</w:t>
            </w:r>
          </w:p>
        </w:tc>
        <w:tc>
          <w:tcPr>
            <w:tcW w:w="1340" w:type="pct"/>
            <w:vAlign w:val="center"/>
          </w:tcPr>
          <w:p w14:paraId="70CF5126">
            <w:pPr>
              <w:pStyle w:val="179"/>
              <w:rPr>
                <w:b/>
              </w:rPr>
            </w:pPr>
            <w:r>
              <w:rPr>
                <w:rFonts w:hint="eastAsia"/>
                <w:b/>
              </w:rPr>
              <w:t>型号</w:t>
            </w:r>
          </w:p>
        </w:tc>
        <w:tc>
          <w:tcPr>
            <w:tcW w:w="878" w:type="pct"/>
            <w:vAlign w:val="center"/>
          </w:tcPr>
          <w:p w14:paraId="3C8257F6">
            <w:pPr>
              <w:pStyle w:val="179"/>
              <w:rPr>
                <w:b/>
              </w:rPr>
            </w:pPr>
            <w:r>
              <w:rPr>
                <w:rFonts w:hint="eastAsia"/>
                <w:b/>
              </w:rPr>
              <w:t>声功率级/（dB/A）</w:t>
            </w:r>
          </w:p>
        </w:tc>
        <w:tc>
          <w:tcPr>
            <w:tcW w:w="795" w:type="pct"/>
            <w:vAlign w:val="center"/>
          </w:tcPr>
          <w:p w14:paraId="0AD6D8BA">
            <w:pPr>
              <w:pStyle w:val="179"/>
              <w:rPr>
                <w:b/>
              </w:rPr>
            </w:pPr>
            <w:r>
              <w:rPr>
                <w:rFonts w:hint="eastAsia"/>
                <w:b/>
              </w:rPr>
              <w:t>声源控制措施</w:t>
            </w:r>
          </w:p>
        </w:tc>
        <w:tc>
          <w:tcPr>
            <w:tcW w:w="554" w:type="pct"/>
            <w:vAlign w:val="center"/>
          </w:tcPr>
          <w:p w14:paraId="5D1624D2">
            <w:pPr>
              <w:pStyle w:val="179"/>
              <w:rPr>
                <w:b/>
              </w:rPr>
            </w:pPr>
            <w:r>
              <w:rPr>
                <w:rFonts w:hint="eastAsia"/>
                <w:b/>
              </w:rPr>
              <w:t>运行时段</w:t>
            </w:r>
          </w:p>
        </w:tc>
      </w:tr>
      <w:tr w14:paraId="296426C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6" w:type="pct"/>
            <w:vAlign w:val="center"/>
          </w:tcPr>
          <w:p w14:paraId="303F5BDC">
            <w:pPr>
              <w:pStyle w:val="179"/>
            </w:pPr>
            <w:r>
              <w:rPr>
                <w:rFonts w:hint="eastAsia"/>
              </w:rPr>
              <w:t>1</w:t>
            </w:r>
          </w:p>
        </w:tc>
        <w:tc>
          <w:tcPr>
            <w:tcW w:w="1037" w:type="pct"/>
            <w:vAlign w:val="center"/>
          </w:tcPr>
          <w:p w14:paraId="38BA8F51">
            <w:pPr>
              <w:pStyle w:val="179"/>
            </w:pPr>
            <w:r>
              <w:rPr>
                <w:rFonts w:hint="eastAsia"/>
              </w:rPr>
              <w:t>挖掘机</w:t>
            </w:r>
          </w:p>
        </w:tc>
        <w:tc>
          <w:tcPr>
            <w:tcW w:w="1340" w:type="pct"/>
            <w:vAlign w:val="center"/>
          </w:tcPr>
          <w:p w14:paraId="14C5BBFE">
            <w:pPr>
              <w:pStyle w:val="179"/>
            </w:pPr>
            <w:r>
              <w:t>CAT320C</w:t>
            </w:r>
          </w:p>
        </w:tc>
        <w:tc>
          <w:tcPr>
            <w:tcW w:w="878" w:type="pct"/>
            <w:vAlign w:val="center"/>
          </w:tcPr>
          <w:p w14:paraId="73DFD1BF">
            <w:pPr>
              <w:pStyle w:val="179"/>
            </w:pPr>
            <w:r>
              <w:t>9</w:t>
            </w:r>
            <w:r>
              <w:rPr>
                <w:rFonts w:hint="eastAsia"/>
              </w:rPr>
              <w:t>0</w:t>
            </w:r>
          </w:p>
        </w:tc>
        <w:tc>
          <w:tcPr>
            <w:tcW w:w="795" w:type="pct"/>
            <w:vMerge w:val="restart"/>
            <w:vAlign w:val="center"/>
          </w:tcPr>
          <w:p w14:paraId="29975BE4">
            <w:pPr>
              <w:pStyle w:val="179"/>
            </w:pPr>
            <w:r>
              <w:t>加强车辆维护及保养</w:t>
            </w:r>
          </w:p>
        </w:tc>
        <w:tc>
          <w:tcPr>
            <w:tcW w:w="554" w:type="pct"/>
            <w:vMerge w:val="restart"/>
            <w:vAlign w:val="center"/>
          </w:tcPr>
          <w:p w14:paraId="197ADD0C">
            <w:pPr>
              <w:pStyle w:val="179"/>
            </w:pPr>
            <w:r>
              <w:rPr>
                <w:rFonts w:hint="eastAsia"/>
              </w:rPr>
              <w:t>昼间</w:t>
            </w:r>
          </w:p>
        </w:tc>
      </w:tr>
      <w:tr w14:paraId="0E0BD3B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6" w:type="pct"/>
            <w:vAlign w:val="center"/>
          </w:tcPr>
          <w:p w14:paraId="2CA6D650">
            <w:pPr>
              <w:pStyle w:val="179"/>
            </w:pPr>
            <w:r>
              <w:rPr>
                <w:rFonts w:hint="eastAsia"/>
              </w:rPr>
              <w:t>2</w:t>
            </w:r>
          </w:p>
        </w:tc>
        <w:tc>
          <w:tcPr>
            <w:tcW w:w="1037" w:type="pct"/>
            <w:vAlign w:val="center"/>
          </w:tcPr>
          <w:p w14:paraId="58C0EB0D">
            <w:pPr>
              <w:pStyle w:val="179"/>
            </w:pPr>
            <w:r>
              <w:rPr>
                <w:rFonts w:hint="eastAsia"/>
              </w:rPr>
              <w:t>装载机</w:t>
            </w:r>
          </w:p>
        </w:tc>
        <w:tc>
          <w:tcPr>
            <w:tcW w:w="1340" w:type="pct"/>
            <w:vAlign w:val="center"/>
          </w:tcPr>
          <w:p w14:paraId="099E914F">
            <w:pPr>
              <w:pStyle w:val="179"/>
            </w:pPr>
            <w:r>
              <w:t>ZL-50</w:t>
            </w:r>
          </w:p>
        </w:tc>
        <w:tc>
          <w:tcPr>
            <w:tcW w:w="878" w:type="pct"/>
            <w:vAlign w:val="center"/>
          </w:tcPr>
          <w:p w14:paraId="4C1EBA54">
            <w:pPr>
              <w:pStyle w:val="179"/>
            </w:pPr>
            <w:r>
              <w:rPr>
                <w:rFonts w:hint="eastAsia"/>
              </w:rPr>
              <w:t>95</w:t>
            </w:r>
          </w:p>
        </w:tc>
        <w:tc>
          <w:tcPr>
            <w:tcW w:w="795" w:type="pct"/>
            <w:vMerge w:val="continue"/>
            <w:vAlign w:val="center"/>
          </w:tcPr>
          <w:p w14:paraId="7E8B6334">
            <w:pPr>
              <w:pStyle w:val="179"/>
            </w:pPr>
          </w:p>
        </w:tc>
        <w:tc>
          <w:tcPr>
            <w:tcW w:w="554" w:type="pct"/>
            <w:vMerge w:val="continue"/>
            <w:vAlign w:val="center"/>
          </w:tcPr>
          <w:p w14:paraId="51EBA5B0">
            <w:pPr>
              <w:pStyle w:val="179"/>
            </w:pPr>
          </w:p>
        </w:tc>
      </w:tr>
      <w:tr w14:paraId="5331C95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6" w:type="pct"/>
            <w:vAlign w:val="center"/>
          </w:tcPr>
          <w:p w14:paraId="2C260220">
            <w:pPr>
              <w:pStyle w:val="179"/>
            </w:pPr>
            <w:r>
              <w:rPr>
                <w:rFonts w:hint="eastAsia"/>
              </w:rPr>
              <w:t>3</w:t>
            </w:r>
          </w:p>
        </w:tc>
        <w:tc>
          <w:tcPr>
            <w:tcW w:w="1037" w:type="pct"/>
            <w:vAlign w:val="center"/>
          </w:tcPr>
          <w:p w14:paraId="1F3BFC80">
            <w:pPr>
              <w:pStyle w:val="179"/>
            </w:pPr>
            <w:r>
              <w:rPr>
                <w:rFonts w:hint="eastAsia"/>
              </w:rPr>
              <w:t>自卸汽车</w:t>
            </w:r>
          </w:p>
        </w:tc>
        <w:tc>
          <w:tcPr>
            <w:tcW w:w="1340" w:type="pct"/>
            <w:vAlign w:val="center"/>
          </w:tcPr>
          <w:p w14:paraId="668F5061">
            <w:pPr>
              <w:pStyle w:val="179"/>
            </w:pPr>
            <w:r>
              <w:t>中环BZKD32型32</w:t>
            </w:r>
          </w:p>
        </w:tc>
        <w:tc>
          <w:tcPr>
            <w:tcW w:w="878" w:type="pct"/>
            <w:vAlign w:val="center"/>
          </w:tcPr>
          <w:p w14:paraId="3F59AB51">
            <w:pPr>
              <w:pStyle w:val="179"/>
            </w:pPr>
            <w:r>
              <w:t>70</w:t>
            </w:r>
          </w:p>
        </w:tc>
        <w:tc>
          <w:tcPr>
            <w:tcW w:w="795" w:type="pct"/>
            <w:vMerge w:val="continue"/>
            <w:vAlign w:val="center"/>
          </w:tcPr>
          <w:p w14:paraId="39970973">
            <w:pPr>
              <w:pStyle w:val="179"/>
            </w:pPr>
          </w:p>
        </w:tc>
        <w:tc>
          <w:tcPr>
            <w:tcW w:w="554" w:type="pct"/>
            <w:vMerge w:val="continue"/>
            <w:vAlign w:val="center"/>
          </w:tcPr>
          <w:p w14:paraId="574FD709">
            <w:pPr>
              <w:pStyle w:val="179"/>
            </w:pPr>
          </w:p>
        </w:tc>
      </w:tr>
    </w:tbl>
    <w:p w14:paraId="07D912A6">
      <w:pPr>
        <w:widowControl/>
        <w:topLinePunct/>
        <w:autoSpaceDE w:val="0"/>
        <w:autoSpaceDN w:val="0"/>
        <w:adjustRightInd w:val="0"/>
        <w:snapToGrid w:val="0"/>
        <w:spacing w:line="480" w:lineRule="exact"/>
        <w:ind w:firstLine="480"/>
        <w:textAlignment w:val="baseline"/>
        <w:rPr>
          <w:rFonts w:hAnsi="Times New Roman" w:cs="Times New Roman"/>
        </w:rPr>
      </w:pPr>
      <w:r>
        <w:rPr>
          <w:rFonts w:hAnsi="Times New Roman" w:cs="Times New Roman"/>
        </w:rPr>
        <w:t>本项目噪声环境影响预测基础数据见表</w:t>
      </w:r>
      <w:r>
        <w:rPr>
          <w:rFonts w:hint="eastAsia" w:hAnsi="Times New Roman" w:cs="Times New Roman"/>
        </w:rPr>
        <w:t>5.2-4</w:t>
      </w:r>
      <w:r>
        <w:rPr>
          <w:rFonts w:hAnsi="Times New Roman" w:cs="Times New Roman"/>
        </w:rPr>
        <w:t>。</w:t>
      </w:r>
    </w:p>
    <w:p w14:paraId="72F3D70B">
      <w:pPr>
        <w:pStyle w:val="178"/>
      </w:pPr>
      <w:r>
        <w:t>表</w:t>
      </w:r>
      <w:r>
        <w:rPr>
          <w:rFonts w:hint="eastAsia"/>
        </w:rPr>
        <w:t xml:space="preserve">5.2-4  </w:t>
      </w:r>
      <w:r>
        <w:t>本项目噪声环境影响预测基础数据表</w:t>
      </w:r>
      <w:bookmarkStart w:id="433" w:name="PT_4"/>
    </w:p>
    <w:tbl>
      <w:tblPr>
        <w:tblStyle w:val="36"/>
        <w:tblW w:w="4997"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456"/>
        <w:gridCol w:w="2775"/>
        <w:gridCol w:w="2118"/>
        <w:gridCol w:w="2118"/>
      </w:tblGrid>
      <w:tr w14:paraId="545BBCE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60" w:type="pct"/>
            <w:vAlign w:val="center"/>
          </w:tcPr>
          <w:p w14:paraId="0AC832CD">
            <w:pPr>
              <w:pStyle w:val="179"/>
              <w:rPr>
                <w:b/>
              </w:rPr>
            </w:pPr>
            <w:r>
              <w:rPr>
                <w:b/>
              </w:rPr>
              <w:t>序号</w:t>
            </w:r>
          </w:p>
        </w:tc>
        <w:tc>
          <w:tcPr>
            <w:tcW w:w="1639" w:type="pct"/>
            <w:vAlign w:val="center"/>
          </w:tcPr>
          <w:p w14:paraId="454C267D">
            <w:pPr>
              <w:pStyle w:val="179"/>
              <w:rPr>
                <w:b/>
              </w:rPr>
            </w:pPr>
            <w:r>
              <w:rPr>
                <w:b/>
              </w:rPr>
              <w:t>名称</w:t>
            </w:r>
          </w:p>
        </w:tc>
        <w:tc>
          <w:tcPr>
            <w:tcW w:w="1251" w:type="pct"/>
            <w:vAlign w:val="center"/>
          </w:tcPr>
          <w:p w14:paraId="5F552387">
            <w:pPr>
              <w:pStyle w:val="179"/>
              <w:rPr>
                <w:b/>
              </w:rPr>
            </w:pPr>
            <w:r>
              <w:rPr>
                <w:b/>
              </w:rPr>
              <w:t>单位</w:t>
            </w:r>
          </w:p>
        </w:tc>
        <w:tc>
          <w:tcPr>
            <w:tcW w:w="1251" w:type="pct"/>
            <w:vAlign w:val="center"/>
          </w:tcPr>
          <w:p w14:paraId="3CA8557C">
            <w:pPr>
              <w:pStyle w:val="179"/>
              <w:rPr>
                <w:b/>
              </w:rPr>
            </w:pPr>
            <w:r>
              <w:rPr>
                <w:b/>
              </w:rPr>
              <w:t>数据</w:t>
            </w:r>
          </w:p>
        </w:tc>
      </w:tr>
      <w:tr w14:paraId="63E3D2F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60" w:type="pct"/>
            <w:shd w:val="clear" w:color="auto" w:fill="FFFFFF"/>
            <w:vAlign w:val="center"/>
          </w:tcPr>
          <w:p w14:paraId="6D508309">
            <w:pPr>
              <w:pStyle w:val="179"/>
            </w:pPr>
            <w:r>
              <w:t>1</w:t>
            </w:r>
          </w:p>
        </w:tc>
        <w:tc>
          <w:tcPr>
            <w:tcW w:w="1639" w:type="pct"/>
            <w:shd w:val="clear" w:color="auto" w:fill="FFFFFF"/>
            <w:vAlign w:val="center"/>
          </w:tcPr>
          <w:p w14:paraId="76A06C06">
            <w:pPr>
              <w:pStyle w:val="179"/>
            </w:pPr>
            <w:r>
              <w:t>年平均风速</w:t>
            </w:r>
          </w:p>
        </w:tc>
        <w:tc>
          <w:tcPr>
            <w:tcW w:w="1251" w:type="pct"/>
            <w:shd w:val="clear" w:color="auto" w:fill="FFFFFF"/>
            <w:vAlign w:val="center"/>
          </w:tcPr>
          <w:p w14:paraId="3CB1670A">
            <w:pPr>
              <w:pStyle w:val="179"/>
            </w:pPr>
            <w:r>
              <w:t>m/s</w:t>
            </w:r>
          </w:p>
        </w:tc>
        <w:tc>
          <w:tcPr>
            <w:tcW w:w="1251" w:type="pct"/>
            <w:shd w:val="clear" w:color="auto" w:fill="FFFFFF"/>
            <w:vAlign w:val="center"/>
          </w:tcPr>
          <w:p w14:paraId="5A38E9AB">
            <w:pPr>
              <w:pStyle w:val="179"/>
            </w:pPr>
            <w:r>
              <w:rPr>
                <w:rFonts w:hint="eastAsia"/>
              </w:rPr>
              <w:t>2.5</w:t>
            </w:r>
          </w:p>
        </w:tc>
      </w:tr>
      <w:tr w14:paraId="1DB7A5F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60" w:type="pct"/>
            <w:shd w:val="clear" w:color="auto" w:fill="FFFFFF"/>
            <w:vAlign w:val="center"/>
          </w:tcPr>
          <w:p w14:paraId="5170B161">
            <w:pPr>
              <w:pStyle w:val="179"/>
            </w:pPr>
            <w:r>
              <w:t>2</w:t>
            </w:r>
          </w:p>
        </w:tc>
        <w:tc>
          <w:tcPr>
            <w:tcW w:w="1639" w:type="pct"/>
            <w:shd w:val="clear" w:color="auto" w:fill="FFFFFF"/>
            <w:vAlign w:val="center"/>
          </w:tcPr>
          <w:p w14:paraId="4D108836">
            <w:pPr>
              <w:pStyle w:val="179"/>
            </w:pPr>
            <w:r>
              <w:t>主导风向</w:t>
            </w:r>
          </w:p>
        </w:tc>
        <w:tc>
          <w:tcPr>
            <w:tcW w:w="1251" w:type="pct"/>
            <w:shd w:val="clear" w:color="auto" w:fill="FFFFFF"/>
            <w:vAlign w:val="center"/>
          </w:tcPr>
          <w:p w14:paraId="2389314A">
            <w:pPr>
              <w:pStyle w:val="179"/>
            </w:pPr>
            <w:r>
              <w:t>/</w:t>
            </w:r>
          </w:p>
        </w:tc>
        <w:tc>
          <w:tcPr>
            <w:tcW w:w="1251" w:type="pct"/>
            <w:shd w:val="clear" w:color="auto" w:fill="FFFFFF"/>
            <w:vAlign w:val="center"/>
          </w:tcPr>
          <w:p w14:paraId="6F54A6B4">
            <w:pPr>
              <w:pStyle w:val="179"/>
            </w:pPr>
            <w:r>
              <w:rPr>
                <w:rFonts w:hint="eastAsia"/>
              </w:rPr>
              <w:t>NW</w:t>
            </w:r>
          </w:p>
        </w:tc>
      </w:tr>
      <w:tr w14:paraId="12E2C31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60" w:type="pct"/>
            <w:shd w:val="clear" w:color="auto" w:fill="FFFFFF"/>
            <w:vAlign w:val="center"/>
          </w:tcPr>
          <w:p w14:paraId="0F68B7A3">
            <w:pPr>
              <w:pStyle w:val="179"/>
            </w:pPr>
            <w:r>
              <w:t>3</w:t>
            </w:r>
          </w:p>
        </w:tc>
        <w:tc>
          <w:tcPr>
            <w:tcW w:w="1639" w:type="pct"/>
            <w:shd w:val="clear" w:color="auto" w:fill="FFFFFF"/>
            <w:vAlign w:val="center"/>
          </w:tcPr>
          <w:p w14:paraId="1C4E1F48">
            <w:pPr>
              <w:pStyle w:val="179"/>
            </w:pPr>
            <w:r>
              <w:t>年平均气温</w:t>
            </w:r>
          </w:p>
        </w:tc>
        <w:tc>
          <w:tcPr>
            <w:tcW w:w="1251" w:type="pct"/>
            <w:shd w:val="clear" w:color="auto" w:fill="FFFFFF"/>
            <w:vAlign w:val="center"/>
          </w:tcPr>
          <w:p w14:paraId="02A71FA8">
            <w:pPr>
              <w:pStyle w:val="179"/>
            </w:pPr>
            <w:r>
              <w:t>℃</w:t>
            </w:r>
          </w:p>
        </w:tc>
        <w:tc>
          <w:tcPr>
            <w:tcW w:w="1251" w:type="pct"/>
            <w:shd w:val="clear" w:color="auto" w:fill="FFFFFF"/>
            <w:vAlign w:val="center"/>
          </w:tcPr>
          <w:p w14:paraId="37FDCD6A">
            <w:pPr>
              <w:pStyle w:val="179"/>
            </w:pPr>
            <w:r>
              <w:rPr>
                <w:rFonts w:hint="eastAsia"/>
              </w:rPr>
              <w:t>4.0</w:t>
            </w:r>
          </w:p>
        </w:tc>
      </w:tr>
      <w:tr w14:paraId="569AA08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60" w:type="pct"/>
            <w:shd w:val="clear" w:color="auto" w:fill="FFFFFF"/>
            <w:vAlign w:val="center"/>
          </w:tcPr>
          <w:p w14:paraId="1F2E0319">
            <w:pPr>
              <w:pStyle w:val="179"/>
            </w:pPr>
            <w:r>
              <w:t>4</w:t>
            </w:r>
          </w:p>
        </w:tc>
        <w:tc>
          <w:tcPr>
            <w:tcW w:w="1639" w:type="pct"/>
            <w:shd w:val="clear" w:color="auto" w:fill="FFFFFF"/>
            <w:vAlign w:val="center"/>
          </w:tcPr>
          <w:p w14:paraId="149CA074">
            <w:pPr>
              <w:pStyle w:val="179"/>
            </w:pPr>
            <w:r>
              <w:t>年平均相对湿度</w:t>
            </w:r>
          </w:p>
        </w:tc>
        <w:tc>
          <w:tcPr>
            <w:tcW w:w="1251" w:type="pct"/>
            <w:shd w:val="clear" w:color="auto" w:fill="FFFFFF"/>
            <w:vAlign w:val="center"/>
          </w:tcPr>
          <w:p w14:paraId="38DDA833">
            <w:pPr>
              <w:pStyle w:val="179"/>
            </w:pPr>
            <w:r>
              <w:t>%</w:t>
            </w:r>
          </w:p>
        </w:tc>
        <w:tc>
          <w:tcPr>
            <w:tcW w:w="1251" w:type="pct"/>
            <w:shd w:val="clear" w:color="auto" w:fill="FFFFFF"/>
            <w:vAlign w:val="center"/>
          </w:tcPr>
          <w:p w14:paraId="39F6C084">
            <w:pPr>
              <w:pStyle w:val="179"/>
            </w:pPr>
            <w:r>
              <w:rPr>
                <w:rFonts w:hint="eastAsia"/>
              </w:rPr>
              <w:t>71</w:t>
            </w:r>
          </w:p>
        </w:tc>
      </w:tr>
      <w:tr w14:paraId="5394ACE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60" w:type="pct"/>
            <w:shd w:val="clear" w:color="auto" w:fill="FFFFFF"/>
            <w:vAlign w:val="center"/>
          </w:tcPr>
          <w:p w14:paraId="6B54E128">
            <w:pPr>
              <w:pStyle w:val="179"/>
            </w:pPr>
            <w:r>
              <w:t>5</w:t>
            </w:r>
          </w:p>
        </w:tc>
        <w:tc>
          <w:tcPr>
            <w:tcW w:w="1639" w:type="pct"/>
            <w:shd w:val="clear" w:color="auto" w:fill="FFFFFF"/>
            <w:vAlign w:val="center"/>
          </w:tcPr>
          <w:p w14:paraId="64AA2526">
            <w:pPr>
              <w:pStyle w:val="179"/>
            </w:pPr>
            <w:r>
              <w:t>大气压强</w:t>
            </w:r>
          </w:p>
        </w:tc>
        <w:tc>
          <w:tcPr>
            <w:tcW w:w="1251" w:type="pct"/>
            <w:shd w:val="clear" w:color="auto" w:fill="FFFFFF"/>
            <w:vAlign w:val="center"/>
          </w:tcPr>
          <w:p w14:paraId="258C68DB">
            <w:pPr>
              <w:pStyle w:val="179"/>
            </w:pPr>
            <w:r>
              <w:t>hPa</w:t>
            </w:r>
          </w:p>
        </w:tc>
        <w:tc>
          <w:tcPr>
            <w:tcW w:w="1251" w:type="pct"/>
            <w:shd w:val="clear" w:color="auto" w:fill="FFFFFF"/>
            <w:vAlign w:val="center"/>
          </w:tcPr>
          <w:p w14:paraId="4C1C4836">
            <w:pPr>
              <w:pStyle w:val="179"/>
            </w:pPr>
            <w:r>
              <w:rPr>
                <w:rFonts w:hint="eastAsia"/>
              </w:rPr>
              <w:t>989.0</w:t>
            </w:r>
          </w:p>
        </w:tc>
      </w:tr>
      <w:bookmarkEnd w:id="433"/>
    </w:tbl>
    <w:p w14:paraId="1D5110CC">
      <w:pPr>
        <w:ind w:firstLine="480"/>
      </w:pPr>
      <w:r>
        <w:t>采用《工业企业厂界环境噪声排放标准》（GB12348-2008）中的</w:t>
      </w:r>
      <w:r>
        <w:rPr>
          <w:rFonts w:hint="eastAsia"/>
        </w:rPr>
        <w:t>1</w:t>
      </w:r>
      <w:r>
        <w:t>类区标准限值（昼间</w:t>
      </w:r>
      <w:r>
        <w:rPr>
          <w:rFonts w:hint="eastAsia"/>
        </w:rPr>
        <w:t>55</w:t>
      </w:r>
      <w:r>
        <w:t>dB(A)，</w:t>
      </w:r>
      <w:r>
        <w:rPr>
          <w:rFonts w:hint="eastAsia"/>
        </w:rPr>
        <w:t>45</w:t>
      </w:r>
      <w:r>
        <w:t>dB(A)）</w:t>
      </w:r>
    </w:p>
    <w:p w14:paraId="783BE94B">
      <w:pPr>
        <w:pStyle w:val="5"/>
        <w:spacing w:before="120" w:after="120"/>
      </w:pPr>
      <w:r>
        <w:t>噪声影响分析</w:t>
      </w:r>
    </w:p>
    <w:p w14:paraId="53871C9A">
      <w:pPr>
        <w:widowControl/>
        <w:topLinePunct/>
        <w:autoSpaceDE w:val="0"/>
        <w:autoSpaceDN w:val="0"/>
        <w:adjustRightInd w:val="0"/>
        <w:snapToGrid w:val="0"/>
        <w:spacing w:line="480" w:lineRule="exact"/>
        <w:ind w:firstLine="480"/>
        <w:textAlignment w:val="baseline"/>
        <w:rPr>
          <w:rFonts w:hAnsi="Times New Roman" w:cs="Times New Roman"/>
        </w:rPr>
      </w:pPr>
      <w:bookmarkStart w:id="434" w:name="_Toc1166"/>
      <w:bookmarkStart w:id="435" w:name="_Toc1797"/>
      <w:r>
        <w:rPr>
          <w:rFonts w:hAnsi="Times New Roman" w:cs="Times New Roman"/>
        </w:rPr>
        <w:t>根据《环境影响评价技术导则 声环境》（HJ2.4-2021）的要求，本项目声环境影响预测模型采用导则中附录A（规范性附录）户外声传播的衰减和附录B（规范性附录）中“B.1工业噪声预测计算模型”。</w:t>
      </w:r>
    </w:p>
    <w:bookmarkEnd w:id="434"/>
    <w:bookmarkEnd w:id="435"/>
    <w:p w14:paraId="525896B3">
      <w:pPr>
        <w:spacing w:line="480" w:lineRule="exact"/>
        <w:ind w:firstLine="482"/>
        <w:rPr>
          <w:rFonts w:hAnsi="Times New Roman" w:cs="Times New Roman"/>
          <w:b/>
        </w:rPr>
      </w:pPr>
      <w:bookmarkStart w:id="436" w:name="_Toc21277"/>
      <w:bookmarkStart w:id="437" w:name="_Toc6926"/>
      <w:r>
        <w:rPr>
          <w:rFonts w:hint="eastAsia" w:hAnsi="Times New Roman" w:cs="Times New Roman"/>
          <w:b/>
        </w:rPr>
        <w:t>1、</w:t>
      </w:r>
      <w:r>
        <w:rPr>
          <w:rFonts w:hAnsi="Times New Roman" w:cs="Times New Roman"/>
          <w:b/>
        </w:rPr>
        <w:t>几何发散衰减(A</w:t>
      </w:r>
      <w:r>
        <w:rPr>
          <w:rFonts w:hAnsi="Times New Roman" w:cs="Times New Roman"/>
          <w:b/>
          <w:vertAlign w:val="subscript"/>
        </w:rPr>
        <w:t>div</w:t>
      </w:r>
      <w:r>
        <w:rPr>
          <w:rFonts w:hAnsi="Times New Roman" w:cs="Times New Roman"/>
          <w:b/>
        </w:rPr>
        <w:t>)</w:t>
      </w:r>
      <w:bookmarkEnd w:id="436"/>
      <w:bookmarkEnd w:id="437"/>
    </w:p>
    <w:p w14:paraId="130DD9AD">
      <w:pPr>
        <w:spacing w:line="480" w:lineRule="exact"/>
        <w:ind w:firstLine="480"/>
        <w:rPr>
          <w:rFonts w:hAnsi="Times New Roman" w:cs="Times New Roman"/>
        </w:rPr>
      </w:pPr>
      <w:r>
        <w:rPr>
          <w:rFonts w:hAnsi="Times New Roman" w:cs="Times New Roman"/>
        </w:rPr>
        <w:t>无指向性点声源几何发散衰减的基本公式是</w:t>
      </w:r>
    </w:p>
    <w:p w14:paraId="266359AF">
      <w:pPr>
        <w:spacing w:line="240" w:lineRule="auto"/>
        <w:ind w:firstLine="480"/>
        <w:jc w:val="right"/>
        <w:textAlignment w:val="center"/>
        <w:rPr>
          <w:rFonts w:hAnsi="Times New Roman" w:cs="Times New Roman"/>
        </w:rPr>
      </w:pPr>
      <w:r>
        <w:object>
          <v:shape id="_x0000_i1026" o:spt="75" type="#_x0000_t75" style="height:36.85pt;width:130.7pt;" o:ole="t" filled="f" o:preferrelative="t" stroked="f" coordsize="21600,21600">
            <v:path/>
            <v:fill on="f" focussize="0,0"/>
            <v:stroke on="f" joinstyle="miter"/>
            <v:imagedata r:id="rId94" o:title=""/>
            <o:lock v:ext="edit" aspectratio="t"/>
            <w10:wrap type="none"/>
            <w10:anchorlock/>
          </v:shape>
          <o:OLEObject Type="Embed" ProgID="Equation.3" ShapeID="_x0000_i1026" DrawAspect="Content" ObjectID="_1468075726" r:id="rId93">
            <o:LockedField>false</o:LockedField>
          </o:OLEObject>
        </w:object>
      </w:r>
      <w:r>
        <w:rPr>
          <w:rFonts w:hAnsi="Times New Roman" w:cs="Times New Roman"/>
        </w:rPr>
        <w:t>……………………………（</w:t>
      </w:r>
      <w:r>
        <w:rPr>
          <w:rFonts w:hint="eastAsia" w:hAnsi="Times New Roman" w:cs="Times New Roman"/>
        </w:rPr>
        <w:t>1</w:t>
      </w:r>
      <w:r>
        <w:rPr>
          <w:rFonts w:hAnsi="Times New Roman" w:cs="Times New Roman"/>
        </w:rPr>
        <w:t>）</w:t>
      </w:r>
    </w:p>
    <w:p w14:paraId="4F68A51A">
      <w:pPr>
        <w:ind w:firstLine="480"/>
        <w:rPr>
          <w:rFonts w:hAnsi="Times New Roman" w:cs="Times New Roman"/>
        </w:rPr>
      </w:pPr>
      <w:r>
        <w:rPr>
          <w:rFonts w:hAnsi="Times New Roman" w:cs="Times New Roman"/>
        </w:rPr>
        <w:t>式中：</w:t>
      </w:r>
      <w:r>
        <w:rPr>
          <w:rFonts w:hAnsi="Times New Roman" w:cs="Times New Roman"/>
          <w:i/>
        </w:rPr>
        <w:t>L</w:t>
      </w:r>
      <w:r>
        <w:rPr>
          <w:rFonts w:hAnsi="Times New Roman" w:cs="Times New Roman"/>
          <w:vertAlign w:val="subscript"/>
        </w:rPr>
        <w:t>p</w:t>
      </w:r>
      <w:r>
        <w:rPr>
          <w:rFonts w:hAnsi="Times New Roman" w:cs="Times New Roman"/>
        </w:rPr>
        <w:t>(</w:t>
      </w:r>
      <w:r>
        <w:rPr>
          <w:rFonts w:hAnsi="Times New Roman" w:cs="Times New Roman"/>
          <w:i/>
        </w:rPr>
        <w:t>r</w:t>
      </w:r>
      <w:r>
        <w:rPr>
          <w:rFonts w:hAnsi="Times New Roman" w:cs="Times New Roman"/>
        </w:rPr>
        <w:t>)—预测点处声压级，dB；</w:t>
      </w:r>
    </w:p>
    <w:p w14:paraId="06EE25EA">
      <w:pPr>
        <w:ind w:left="1680" w:leftChars="500" w:hanging="480" w:hangingChars="200"/>
        <w:rPr>
          <w:rFonts w:hAnsi="Times New Roman" w:cs="Times New Roman"/>
        </w:rPr>
      </w:pPr>
      <w:r>
        <w:rPr>
          <w:rFonts w:hAnsi="Times New Roman" w:cs="Times New Roman"/>
          <w:i/>
        </w:rPr>
        <w:t>L</w:t>
      </w:r>
      <w:r>
        <w:rPr>
          <w:rFonts w:hAnsi="Times New Roman" w:cs="Times New Roman"/>
          <w:vertAlign w:val="subscript"/>
        </w:rPr>
        <w:t>p</w:t>
      </w:r>
      <w:r>
        <w:rPr>
          <w:rFonts w:hAnsi="Times New Roman" w:cs="Times New Roman"/>
        </w:rPr>
        <w:t>(</w:t>
      </w:r>
      <w:r>
        <w:rPr>
          <w:rFonts w:hAnsi="Times New Roman" w:cs="Times New Roman"/>
          <w:i/>
        </w:rPr>
        <w:t>r</w:t>
      </w:r>
      <w:r>
        <w:rPr>
          <w:rFonts w:hAnsi="Times New Roman" w:cs="Times New Roman"/>
          <w:i/>
          <w:vertAlign w:val="subscript"/>
        </w:rPr>
        <w:t>0</w:t>
      </w:r>
      <w:r>
        <w:rPr>
          <w:rFonts w:hAnsi="Times New Roman" w:cs="Times New Roman"/>
        </w:rPr>
        <w:t>)—参考位置</w:t>
      </w:r>
      <w:r>
        <w:rPr>
          <w:rFonts w:hAnsi="Times New Roman" w:cs="Times New Roman"/>
          <w:i/>
        </w:rPr>
        <w:t>r</w:t>
      </w:r>
      <w:r>
        <w:rPr>
          <w:rFonts w:hAnsi="Times New Roman" w:cs="Times New Roman"/>
          <w:vertAlign w:val="subscript"/>
        </w:rPr>
        <w:t>0</w:t>
      </w:r>
      <w:r>
        <w:rPr>
          <w:rFonts w:hAnsi="Times New Roman" w:cs="Times New Roman"/>
        </w:rPr>
        <w:t>处的声压级，dB；</w:t>
      </w:r>
    </w:p>
    <w:p w14:paraId="39AA77B4">
      <w:pPr>
        <w:ind w:left="1680" w:leftChars="500" w:hanging="480" w:hangingChars="200"/>
        <w:rPr>
          <w:rFonts w:hAnsi="Times New Roman" w:cs="Times New Roman"/>
        </w:rPr>
      </w:pPr>
      <w:r>
        <w:rPr>
          <w:rFonts w:hAnsi="Times New Roman" w:cs="Times New Roman"/>
          <w:i/>
        </w:rPr>
        <w:t>r</w:t>
      </w:r>
      <w:r>
        <w:rPr>
          <w:rFonts w:hAnsi="Times New Roman" w:cs="Times New Roman"/>
        </w:rPr>
        <w:t>—预测点距声源的距离；</w:t>
      </w:r>
    </w:p>
    <w:p w14:paraId="167173CD">
      <w:pPr>
        <w:spacing w:line="480" w:lineRule="exact"/>
        <w:ind w:left="1680" w:leftChars="500" w:hanging="480" w:hangingChars="200"/>
        <w:rPr>
          <w:rFonts w:hAnsi="Times New Roman" w:cs="Times New Roman"/>
        </w:rPr>
      </w:pPr>
      <w:r>
        <w:rPr>
          <w:rFonts w:hAnsi="Times New Roman" w:cs="Times New Roman"/>
          <w:i/>
        </w:rPr>
        <w:t>r</w:t>
      </w:r>
      <w:r>
        <w:rPr>
          <w:rFonts w:hAnsi="Times New Roman" w:cs="Times New Roman"/>
          <w:vertAlign w:val="subscript"/>
        </w:rPr>
        <w:t>0</w:t>
      </w:r>
      <w:r>
        <w:rPr>
          <w:rFonts w:hAnsi="Times New Roman" w:cs="Times New Roman"/>
        </w:rPr>
        <w:t>—参考位置距声源的距离，m。</w:t>
      </w:r>
    </w:p>
    <w:p w14:paraId="380EA06C">
      <w:pPr>
        <w:spacing w:line="480" w:lineRule="exact"/>
        <w:ind w:firstLine="480"/>
        <w:rPr>
          <w:rFonts w:hAnsi="Times New Roman" w:cs="Times New Roman"/>
        </w:rPr>
      </w:pPr>
      <w:r>
        <w:rPr>
          <w:rFonts w:hAnsi="Times New Roman" w:cs="Times New Roman"/>
        </w:rPr>
        <w:t>公示（</w:t>
      </w:r>
      <w:r>
        <w:rPr>
          <w:rFonts w:hint="eastAsia" w:hAnsi="Times New Roman" w:cs="Times New Roman"/>
        </w:rPr>
        <w:t>1</w:t>
      </w:r>
      <w:r>
        <w:rPr>
          <w:rFonts w:hAnsi="Times New Roman" w:cs="Times New Roman"/>
        </w:rPr>
        <w:t>）中第二项表示了点声源的几何发散衰减：</w:t>
      </w:r>
    </w:p>
    <w:p w14:paraId="0D802C32">
      <w:pPr>
        <w:ind w:firstLine="480"/>
        <w:jc w:val="right"/>
        <w:textAlignment w:val="center"/>
        <w:rPr>
          <w:rFonts w:hAnsi="Times New Roman" w:cs="Times New Roman"/>
        </w:rPr>
      </w:pPr>
      <m:oMath>
        <m:sSub>
          <m:sSubPr>
            <m:ctrlPr>
              <w:rPr>
                <w:rFonts w:ascii="Cambria Math" w:hAnsi="Cambria Math" w:cs="Times New Roman"/>
              </w:rPr>
            </m:ctrlPr>
          </m:sSubPr>
          <m:e>
            <m:r>
              <m:rPr/>
              <w:rPr>
                <w:rFonts w:ascii="Cambria Math" w:hAnsi="Cambria Math" w:cs="Times New Roman"/>
              </w:rPr>
              <m:t>A</m:t>
            </m:r>
            <m:ctrlPr>
              <w:rPr>
                <w:rFonts w:ascii="Cambria Math" w:hAnsi="Cambria Math" w:cs="Times New Roman"/>
              </w:rPr>
            </m:ctrlPr>
          </m:e>
          <m:sub>
            <m:r>
              <m:rPr>
                <m:nor/>
                <m:sty m:val="p"/>
              </m:rPr>
              <w:rPr>
                <w:rFonts w:ascii="Cambria Math" w:hAnsi="Cambria Math" w:cs="Times New Roman"/>
              </w:rPr>
              <m:t>div</m:t>
            </m:r>
            <m:ctrlPr>
              <w:rPr>
                <w:rFonts w:ascii="Cambria Math" w:hAnsi="Cambria Math" w:cs="Times New Roman"/>
              </w:rPr>
            </m:ctrlPr>
          </m:sub>
        </m:sSub>
        <m:r>
          <m:rPr/>
          <w:rPr>
            <w:rFonts w:ascii="Cambria Math" w:hAnsi="Cambria Math" w:cs="Times New Roman"/>
          </w:rPr>
          <m:t>=20</m:t>
        </m:r>
        <m:func>
          <m:funcPr>
            <m:ctrlPr>
              <w:rPr>
                <w:rFonts w:ascii="Cambria Math" w:hAnsi="Cambria Math" w:cs="Times New Roman"/>
              </w:rPr>
            </m:ctrlPr>
          </m:funcPr>
          <m:fName>
            <m:r>
              <m:rPr>
                <m:nor/>
                <m:sty m:val="p"/>
              </m:rPr>
              <w:rPr>
                <w:rFonts w:ascii="Cambria Math" w:hAnsi="Cambria Math" w:cs="Times New Roman"/>
                <w:bCs w:val="0"/>
              </w:rPr>
              <m:t>lg</m:t>
            </m:r>
            <m:ctrlPr>
              <w:rPr>
                <w:rFonts w:ascii="Cambria Math" w:hAnsi="Cambria Math" w:cs="Times New Roman"/>
              </w:rPr>
            </m:ctrlPr>
          </m:fName>
          <m:e>
            <m:r>
              <m:rPr/>
              <w:rPr>
                <w:rFonts w:ascii="Cambria Math" w:hAnsi="Cambria Math" w:cs="Times New Roman"/>
              </w:rPr>
              <m:t>(r/</m:t>
            </m:r>
            <m:sSub>
              <m:sSubPr>
                <m:ctrlPr>
                  <w:rPr>
                    <w:rFonts w:ascii="Cambria Math" w:hAnsi="Cambria Math" w:cs="Times New Roman"/>
                  </w:rPr>
                </m:ctrlPr>
              </m:sSubPr>
              <m:e>
                <m:r>
                  <m:rPr/>
                  <w:rPr>
                    <w:rFonts w:ascii="Cambria Math" w:hAnsi="Cambria Math" w:cs="Times New Roman"/>
                  </w:rPr>
                  <m:t>r</m:t>
                </m:r>
                <m:ctrlPr>
                  <w:rPr>
                    <w:rFonts w:ascii="Cambria Math" w:hAnsi="Cambria Math" w:cs="Times New Roman"/>
                  </w:rPr>
                </m:ctrlPr>
              </m:e>
              <m:sub>
                <m:r>
                  <m:rPr/>
                  <w:rPr>
                    <w:rFonts w:ascii="Cambria Math" w:hAnsi="Cambria Math" w:cs="Times New Roman"/>
                  </w:rPr>
                  <m:t>0</m:t>
                </m:r>
                <m:ctrlPr>
                  <w:rPr>
                    <w:rFonts w:ascii="Cambria Math" w:hAnsi="Cambria Math" w:cs="Times New Roman"/>
                  </w:rPr>
                </m:ctrlPr>
              </m:sub>
            </m:sSub>
            <m:r>
              <m:rPr/>
              <w:rPr>
                <w:rFonts w:ascii="Cambria Math" w:hAnsi="Cambria Math" w:cs="Times New Roman"/>
              </w:rPr>
              <m:t>)</m:t>
            </m:r>
            <m:ctrlPr>
              <w:rPr>
                <w:rFonts w:ascii="Cambria Math" w:hAnsi="Cambria Math" w:cs="Times New Roman"/>
              </w:rPr>
            </m:ctrlPr>
          </m:e>
        </m:func>
      </m:oMath>
      <w:r>
        <w:rPr>
          <w:rFonts w:hAnsi="Times New Roman" w:cs="Times New Roman"/>
        </w:rPr>
        <w:t>…………………………（</w:t>
      </w:r>
      <w:r>
        <w:rPr>
          <w:rFonts w:hint="eastAsia" w:hAnsi="Times New Roman" w:cs="Times New Roman"/>
        </w:rPr>
        <w:t>2</w:t>
      </w:r>
      <w:r>
        <w:rPr>
          <w:rFonts w:hAnsi="Times New Roman" w:cs="Times New Roman"/>
        </w:rPr>
        <w:t>）</w:t>
      </w:r>
    </w:p>
    <w:p w14:paraId="3F6FD353">
      <w:pPr>
        <w:spacing w:line="480" w:lineRule="exact"/>
        <w:ind w:firstLine="480"/>
        <w:rPr>
          <w:rFonts w:hAnsi="Times New Roman" w:cs="Times New Roman"/>
        </w:rPr>
      </w:pPr>
      <w:r>
        <w:rPr>
          <w:rFonts w:hint="eastAsia" w:hAnsi="Times New Roman" w:cs="Times New Roman"/>
        </w:rPr>
        <w:t>式中：</w:t>
      </w:r>
      <w:r>
        <w:rPr>
          <w:rFonts w:hAnsi="Times New Roman" w:cs="Times New Roman"/>
          <w:i/>
          <w:iCs/>
        </w:rPr>
        <w:t>A</w:t>
      </w:r>
      <w:r>
        <w:rPr>
          <w:rFonts w:hAnsi="Times New Roman" w:cs="Times New Roman"/>
          <w:vertAlign w:val="subscript"/>
        </w:rPr>
        <w:t>div</w:t>
      </w:r>
      <w:r>
        <w:rPr>
          <w:rFonts w:hAnsi="Times New Roman" w:cs="Times New Roman"/>
        </w:rPr>
        <w:t xml:space="preserve"> ——</w:t>
      </w:r>
      <w:r>
        <w:rPr>
          <w:rFonts w:hint="eastAsia" w:hAnsi="Times New Roman" w:cs="Times New Roman"/>
        </w:rPr>
        <w:t>几何发散引起的衰减，</w:t>
      </w:r>
      <w:r>
        <w:rPr>
          <w:rFonts w:hAnsi="Times New Roman" w:cs="Times New Roman"/>
        </w:rPr>
        <w:t>dB</w:t>
      </w:r>
      <w:r>
        <w:rPr>
          <w:rFonts w:hint="eastAsia" w:hAnsi="Times New Roman" w:cs="Times New Roman"/>
        </w:rPr>
        <w:t>；</w:t>
      </w:r>
    </w:p>
    <w:p w14:paraId="16646906">
      <w:pPr>
        <w:spacing w:line="480" w:lineRule="exact"/>
        <w:ind w:left="1680" w:leftChars="500" w:hanging="480" w:hangingChars="200"/>
        <w:rPr>
          <w:rFonts w:hAnsi="Times New Roman" w:cs="Times New Roman"/>
        </w:rPr>
      </w:pPr>
      <w:r>
        <w:rPr>
          <w:rFonts w:hAnsi="Times New Roman" w:cs="Times New Roman"/>
          <w:i/>
          <w:iCs/>
        </w:rPr>
        <w:t>r</w:t>
      </w:r>
      <w:r>
        <w:rPr>
          <w:rFonts w:hAnsi="Times New Roman" w:cs="Times New Roman"/>
        </w:rPr>
        <w:t>——</w:t>
      </w:r>
      <w:r>
        <w:rPr>
          <w:rFonts w:hint="eastAsia" w:hAnsi="Times New Roman" w:cs="Times New Roman"/>
        </w:rPr>
        <w:t>预测点距声源的距离；</w:t>
      </w:r>
    </w:p>
    <w:p w14:paraId="213C3AAE">
      <w:pPr>
        <w:spacing w:line="480" w:lineRule="exact"/>
        <w:ind w:left="1680" w:leftChars="500" w:hanging="480" w:hangingChars="200"/>
        <w:rPr>
          <w:rFonts w:hAnsi="Times New Roman" w:cs="Times New Roman"/>
        </w:rPr>
      </w:pPr>
      <w:r>
        <w:rPr>
          <w:rFonts w:hAnsi="Times New Roman" w:cs="Times New Roman"/>
          <w:i/>
        </w:rPr>
        <w:t>r</w:t>
      </w:r>
      <w:r>
        <w:rPr>
          <w:rFonts w:hAnsi="Times New Roman" w:cs="Times New Roman"/>
          <w:vertAlign w:val="subscript"/>
        </w:rPr>
        <w:t>0</w:t>
      </w:r>
      <w:r>
        <w:rPr>
          <w:rFonts w:hAnsi="Times New Roman" w:cs="Times New Roman"/>
        </w:rPr>
        <w:t>——</w:t>
      </w:r>
      <w:r>
        <w:rPr>
          <w:rFonts w:hint="eastAsia" w:hAnsi="Times New Roman" w:cs="Times New Roman"/>
        </w:rPr>
        <w:t>参考位置距声源的距离。</w:t>
      </w:r>
    </w:p>
    <w:p w14:paraId="28DA8556">
      <w:pPr>
        <w:spacing w:line="480" w:lineRule="exact"/>
        <w:ind w:firstLine="480"/>
        <w:rPr>
          <w:rFonts w:hAnsi="Times New Roman" w:cs="Times New Roman"/>
        </w:rPr>
      </w:pPr>
      <w:r>
        <w:rPr>
          <w:rFonts w:hAnsi="Times New Roman" w:cs="Times New Roman"/>
        </w:rPr>
        <w:t>如果已知点声源的倍频带声功率级或A计权声功率级（L</w:t>
      </w:r>
      <w:r>
        <w:rPr>
          <w:rFonts w:hAnsi="Times New Roman" w:cs="Times New Roman"/>
          <w:vertAlign w:val="subscript"/>
        </w:rPr>
        <w:t>AW</w:t>
      </w:r>
      <w:r>
        <w:rPr>
          <w:rFonts w:hAnsi="Times New Roman" w:cs="Times New Roman"/>
        </w:rPr>
        <w:t>），且声源处于自由声场，则公式（</w:t>
      </w:r>
      <w:r>
        <w:rPr>
          <w:rFonts w:hint="eastAsia" w:hAnsi="Times New Roman" w:cs="Times New Roman"/>
        </w:rPr>
        <w:t>1</w:t>
      </w:r>
      <w:r>
        <w:rPr>
          <w:rFonts w:hAnsi="Times New Roman" w:cs="Times New Roman"/>
        </w:rPr>
        <w:t>）等效为下列公式：</w:t>
      </w:r>
    </w:p>
    <w:p w14:paraId="633DF215">
      <w:pPr>
        <w:ind w:firstLine="480"/>
        <w:jc w:val="right"/>
        <w:textAlignment w:val="center"/>
        <w:rPr>
          <w:rFonts w:hAnsi="Times New Roman" w:cs="Times New Roman"/>
        </w:rPr>
      </w:pPr>
      <w:r>
        <w:rPr>
          <w:rFonts w:hAnsi="Times New Roman" w:cs="Times New Roman"/>
        </w:rPr>
        <w:drawing>
          <wp:inline distT="0" distB="0" distL="0" distR="0">
            <wp:extent cx="1480185" cy="287655"/>
            <wp:effectExtent l="19050" t="0" r="5103"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95"/>
                    <a:srcRect/>
                    <a:stretch>
                      <a:fillRect/>
                    </a:stretch>
                  </pic:blipFill>
                  <pic:spPr>
                    <a:xfrm>
                      <a:off x="0" y="0"/>
                      <a:ext cx="1480797" cy="288000"/>
                    </a:xfrm>
                    <a:prstGeom prst="rect">
                      <a:avLst/>
                    </a:prstGeom>
                    <a:noFill/>
                    <a:ln w="9525">
                      <a:noFill/>
                      <a:miter lim="800000"/>
                      <a:headEnd/>
                      <a:tailEnd/>
                    </a:ln>
                  </pic:spPr>
                </pic:pic>
              </a:graphicData>
            </a:graphic>
          </wp:inline>
        </w:drawing>
      </w:r>
      <w:r>
        <w:rPr>
          <w:rFonts w:hAnsi="Times New Roman" w:cs="Times New Roman"/>
        </w:rPr>
        <w:t>………………………（</w:t>
      </w:r>
      <w:r>
        <w:rPr>
          <w:rFonts w:hint="eastAsia" w:hAnsi="Times New Roman" w:cs="Times New Roman"/>
        </w:rPr>
        <w:t>3</w:t>
      </w:r>
      <w:r>
        <w:rPr>
          <w:rFonts w:hAnsi="Times New Roman" w:cs="Times New Roman"/>
        </w:rPr>
        <w:t>）</w:t>
      </w:r>
    </w:p>
    <w:p w14:paraId="677C4CCD">
      <w:pPr>
        <w:ind w:firstLine="480"/>
        <w:rPr>
          <w:rFonts w:hAnsi="Times New Roman" w:cs="Times New Roman"/>
        </w:rPr>
      </w:pPr>
      <w:r>
        <w:rPr>
          <w:rFonts w:hint="eastAsia" w:hAnsi="Times New Roman" w:cs="Times New Roman"/>
        </w:rPr>
        <w:t>式中：</w:t>
      </w:r>
      <w:r>
        <w:rPr>
          <w:rFonts w:hAnsi="Times New Roman" w:cs="Times New Roman"/>
          <w:i/>
          <w:iCs/>
        </w:rPr>
        <w:t>L</w:t>
      </w:r>
      <w:r>
        <w:rPr>
          <w:rFonts w:hAnsi="Times New Roman" w:cs="Times New Roman"/>
          <w:i/>
          <w:iCs/>
          <w:vertAlign w:val="subscript"/>
        </w:rPr>
        <w:t>p</w:t>
      </w:r>
      <w:r>
        <w:rPr>
          <w:rFonts w:hAnsi="Times New Roman" w:cs="Times New Roman"/>
        </w:rPr>
        <w:t>(</w:t>
      </w:r>
      <w:r>
        <w:rPr>
          <w:rFonts w:hAnsi="Times New Roman" w:cs="Times New Roman"/>
          <w:i/>
          <w:iCs/>
        </w:rPr>
        <w:t>r</w:t>
      </w:r>
      <w:r>
        <w:rPr>
          <w:rFonts w:hAnsi="Times New Roman" w:cs="Times New Roman"/>
        </w:rPr>
        <w:t>)——</w:t>
      </w:r>
      <w:r>
        <w:rPr>
          <w:rFonts w:hint="eastAsia" w:hAnsi="Times New Roman" w:cs="Times New Roman"/>
        </w:rPr>
        <w:t>预测点处声压级，</w:t>
      </w:r>
      <w:r>
        <w:rPr>
          <w:rFonts w:hAnsi="Times New Roman" w:cs="Times New Roman"/>
        </w:rPr>
        <w:t>dB</w:t>
      </w:r>
      <w:r>
        <w:rPr>
          <w:rFonts w:hint="eastAsia" w:hAnsi="Times New Roman" w:cs="Times New Roman"/>
        </w:rPr>
        <w:t>；</w:t>
      </w:r>
    </w:p>
    <w:p w14:paraId="068DBD10">
      <w:pPr>
        <w:ind w:left="1680" w:leftChars="500" w:hanging="480" w:hangingChars="200"/>
        <w:rPr>
          <w:rFonts w:hAnsi="Times New Roman" w:cs="Times New Roman"/>
        </w:rPr>
      </w:pPr>
      <w:r>
        <w:rPr>
          <w:rFonts w:hAnsi="Times New Roman" w:cs="Times New Roman"/>
          <w:i/>
          <w:iCs/>
        </w:rPr>
        <w:t>L</w:t>
      </w:r>
      <w:r>
        <w:rPr>
          <w:rFonts w:hAnsi="Times New Roman" w:cs="Times New Roman"/>
          <w:i/>
          <w:iCs/>
          <w:vertAlign w:val="subscript"/>
        </w:rPr>
        <w:t>w</w:t>
      </w:r>
      <w:r>
        <w:rPr>
          <w:rFonts w:hAnsi="Times New Roman" w:cs="Times New Roman"/>
        </w:rPr>
        <w:t>——</w:t>
      </w:r>
      <w:r>
        <w:rPr>
          <w:rFonts w:hint="eastAsia" w:hAnsi="Times New Roman" w:cs="Times New Roman"/>
        </w:rPr>
        <w:t>由点声源产生的倍频带声功率级，</w:t>
      </w:r>
      <w:r>
        <w:rPr>
          <w:rFonts w:hAnsi="Times New Roman" w:cs="Times New Roman"/>
        </w:rPr>
        <w:t>dB</w:t>
      </w:r>
      <w:r>
        <w:rPr>
          <w:rFonts w:hint="eastAsia" w:hAnsi="Times New Roman" w:cs="Times New Roman"/>
        </w:rPr>
        <w:t>；</w:t>
      </w:r>
    </w:p>
    <w:p w14:paraId="6728D653">
      <w:pPr>
        <w:ind w:left="1680" w:leftChars="500" w:hanging="480" w:hangingChars="200"/>
        <w:rPr>
          <w:rFonts w:hAnsi="Times New Roman" w:cs="Times New Roman"/>
        </w:rPr>
      </w:pPr>
      <w:r>
        <w:rPr>
          <w:rFonts w:hAnsi="Times New Roman" w:cs="Times New Roman"/>
          <w:i/>
          <w:iCs/>
        </w:rPr>
        <w:t>r</w:t>
      </w:r>
      <w:r>
        <w:rPr>
          <w:rFonts w:hAnsi="Times New Roman" w:cs="Times New Roman"/>
        </w:rPr>
        <w:t>——</w:t>
      </w:r>
      <w:r>
        <w:rPr>
          <w:rFonts w:hint="eastAsia" w:hAnsi="Times New Roman" w:cs="Times New Roman"/>
        </w:rPr>
        <w:t>预测点距声源的距离。</w:t>
      </w:r>
    </w:p>
    <w:p w14:paraId="41CFF803">
      <w:pPr>
        <w:ind w:firstLine="480"/>
        <w:jc w:val="right"/>
        <w:textAlignment w:val="center"/>
        <w:rPr>
          <w:rFonts w:hAnsi="Times New Roman" w:cs="Times New Roman"/>
        </w:rPr>
      </w:pPr>
      <m:oMath>
        <m:sSub>
          <m:sSubPr>
            <m:ctrlPr>
              <w:rPr>
                <w:rFonts w:ascii="Cambria Math" w:hAnsi="Cambria Math" w:cs="Times New Roman"/>
              </w:rPr>
            </m:ctrlPr>
          </m:sSubPr>
          <m:e>
            <m:r>
              <m:rPr/>
              <w:rPr>
                <w:rFonts w:ascii="Cambria Math" w:hAnsi="Cambria Math" w:cs="Times New Roman"/>
              </w:rPr>
              <m:t>L</m:t>
            </m:r>
            <m:ctrlPr>
              <w:rPr>
                <w:rFonts w:ascii="Cambria Math" w:hAnsi="Cambria Math" w:cs="Times New Roman"/>
              </w:rPr>
            </m:ctrlPr>
          </m:e>
          <m:sub>
            <m:r>
              <m:rPr>
                <m:sty m:val="p"/>
              </m:rPr>
              <w:rPr>
                <w:rFonts w:ascii="Cambria Math" w:hAnsi="Cambria Math" w:cs="Times New Roman"/>
              </w:rPr>
              <m:t>A</m:t>
            </m:r>
            <m:ctrlPr>
              <w:rPr>
                <w:rFonts w:ascii="Cambria Math" w:hAnsi="Cambria Math" w:cs="Times New Roman"/>
              </w:rPr>
            </m:ctrlPr>
          </m:sub>
        </m:sSub>
        <m:d>
          <m:dPr>
            <m:ctrlPr>
              <w:rPr>
                <w:rFonts w:ascii="Cambria Math" w:hAnsi="Cambria Math" w:cs="Times New Roman"/>
                <w:i/>
              </w:rPr>
            </m:ctrlPr>
          </m:dPr>
          <m:e>
            <m:r>
              <m:rPr/>
              <w:rPr>
                <w:rFonts w:ascii="Cambria Math" w:hAnsi="Cambria Math" w:cs="Times New Roman"/>
              </w:rPr>
              <m:t>r</m:t>
            </m:r>
            <m:ctrlPr>
              <w:rPr>
                <w:rFonts w:ascii="Cambria Math" w:hAnsi="Cambria Math" w:cs="Times New Roman"/>
                <w:i/>
              </w:rPr>
            </m:ctrlPr>
          </m:e>
        </m:d>
        <m:r>
          <m:rPr/>
          <w:rPr>
            <w:rFonts w:ascii="Cambria Math" w:hAnsi="Cambria Math" w:cs="Times New Roman"/>
          </w:rPr>
          <m:t>=</m:t>
        </m:r>
        <m:sSub>
          <m:sSubPr>
            <m:ctrlPr>
              <w:rPr>
                <w:rFonts w:ascii="Cambria Math" w:hAnsi="Cambria Math" w:cs="Times New Roman"/>
                <w:i/>
              </w:rPr>
            </m:ctrlPr>
          </m:sSubPr>
          <m:e>
            <m:r>
              <m:rPr/>
              <w:rPr>
                <w:rFonts w:ascii="Cambria Math" w:hAnsi="Cambria Math" w:cs="Times New Roman"/>
              </w:rPr>
              <m:t>L</m:t>
            </m:r>
            <m:ctrlPr>
              <w:rPr>
                <w:rFonts w:ascii="Cambria Math" w:hAnsi="Cambria Math" w:cs="Times New Roman"/>
                <w:i/>
              </w:rPr>
            </m:ctrlPr>
          </m:e>
          <m:sub>
            <m:r>
              <m:rPr/>
              <w:rPr>
                <w:rFonts w:ascii="Cambria Math" w:hAnsi="Cambria Math" w:cs="Times New Roman"/>
              </w:rPr>
              <m:t>AW</m:t>
            </m:r>
            <m:ctrlPr>
              <w:rPr>
                <w:rFonts w:ascii="Cambria Math" w:hAnsi="Cambria Math" w:cs="Times New Roman"/>
                <w:i/>
              </w:rPr>
            </m:ctrlPr>
          </m:sub>
        </m:sSub>
        <m:r>
          <m:rPr/>
          <w:rPr>
            <w:rFonts w:ascii="Cambria Math" w:hAnsi="Cambria Math" w:cs="Times New Roman"/>
          </w:rPr>
          <m:t>−20</m:t>
        </m:r>
        <m:func>
          <m:funcPr>
            <m:ctrlPr>
              <w:rPr>
                <w:rFonts w:ascii="Cambria Math" w:hAnsi="Cambria Math" w:cs="Times New Roman"/>
              </w:rPr>
            </m:ctrlPr>
          </m:funcPr>
          <m:fName>
            <m:r>
              <m:rPr>
                <m:nor/>
                <m:sty m:val="p"/>
              </m:rPr>
              <w:rPr>
                <w:rFonts w:ascii="Cambria Math" w:hAnsi="Cambria Math" w:cs="Times New Roman"/>
                <w:bCs w:val="0"/>
              </w:rPr>
              <m:t>lg</m:t>
            </m:r>
            <m:ctrlPr>
              <w:rPr>
                <w:rFonts w:ascii="Cambria Math" w:hAnsi="Cambria Math" w:cs="Times New Roman"/>
              </w:rPr>
            </m:ctrlPr>
          </m:fName>
          <m:e>
            <m:r>
              <m:rPr/>
              <w:rPr>
                <w:rFonts w:ascii="Cambria Math" w:hAnsi="Cambria Math" w:cs="Times New Roman"/>
              </w:rPr>
              <m:t>r</m:t>
            </m:r>
            <m:ctrlPr>
              <w:rPr>
                <w:rFonts w:ascii="Cambria Math" w:hAnsi="Cambria Math" w:cs="Times New Roman"/>
              </w:rPr>
            </m:ctrlPr>
          </m:e>
        </m:func>
        <m:r>
          <m:rPr>
            <m:sty m:val="p"/>
          </m:rPr>
          <w:rPr>
            <w:rFonts w:ascii="Cambria Math" w:hAnsi="Cambria Math" w:cs="Times New Roman"/>
          </w:rPr>
          <m:t>−11</m:t>
        </m:r>
      </m:oMath>
      <w:r>
        <w:rPr>
          <w:rFonts w:hAnsi="Times New Roman" w:cs="Times New Roman"/>
        </w:rPr>
        <w:t>……………………（</w:t>
      </w:r>
      <w:r>
        <w:rPr>
          <w:rFonts w:hint="eastAsia" w:hAnsi="Times New Roman" w:cs="Times New Roman"/>
        </w:rPr>
        <w:t>4</w:t>
      </w:r>
      <w:r>
        <w:rPr>
          <w:rFonts w:hAnsi="Times New Roman" w:cs="Times New Roman"/>
        </w:rPr>
        <w:t>）</w:t>
      </w:r>
    </w:p>
    <w:p w14:paraId="23AC95B9">
      <w:pPr>
        <w:ind w:firstLine="480"/>
        <w:rPr>
          <w:rFonts w:hAnsi="Times New Roman" w:cs="Times New Roman"/>
        </w:rPr>
      </w:pPr>
      <w:r>
        <w:rPr>
          <w:rFonts w:hint="eastAsia" w:hAnsi="Times New Roman" w:cs="Times New Roman"/>
        </w:rPr>
        <w:t>式中：</w:t>
      </w:r>
      <w:r>
        <w:rPr>
          <w:rFonts w:hAnsi="Times New Roman" w:cs="Times New Roman"/>
          <w:i/>
          <w:iCs/>
        </w:rPr>
        <w:t>L</w:t>
      </w:r>
      <w:r>
        <w:rPr>
          <w:rFonts w:hint="eastAsia" w:hAnsi="Times New Roman" w:cs="Times New Roman"/>
          <w:iCs/>
          <w:vertAlign w:val="subscript"/>
        </w:rPr>
        <w:t>A</w:t>
      </w:r>
      <w:r>
        <w:rPr>
          <w:rFonts w:hAnsi="Times New Roman" w:cs="Times New Roman"/>
        </w:rPr>
        <w:t>(</w:t>
      </w:r>
      <w:r>
        <w:rPr>
          <w:rFonts w:hAnsi="Times New Roman" w:cs="Times New Roman"/>
          <w:i/>
          <w:iCs/>
        </w:rPr>
        <w:t>r</w:t>
      </w:r>
      <w:r>
        <w:rPr>
          <w:rFonts w:hAnsi="Times New Roman" w:cs="Times New Roman"/>
        </w:rPr>
        <w:t>)——距声源</w:t>
      </w:r>
      <w:r>
        <w:rPr>
          <w:rFonts w:hAnsi="Times New Roman" w:cs="Times New Roman"/>
          <w:i/>
          <w:iCs/>
        </w:rPr>
        <w:t>r</w:t>
      </w:r>
      <w:r>
        <w:rPr>
          <w:rFonts w:hAnsi="Times New Roman" w:cs="Times New Roman"/>
        </w:rPr>
        <w:t>处的A声级，dB(A)</w:t>
      </w:r>
      <w:r>
        <w:rPr>
          <w:rFonts w:hint="eastAsia" w:hAnsi="Times New Roman" w:cs="Times New Roman"/>
        </w:rPr>
        <w:t>；</w:t>
      </w:r>
    </w:p>
    <w:p w14:paraId="3A891B2E">
      <w:pPr>
        <w:ind w:left="1680" w:leftChars="500" w:hanging="480" w:hangingChars="200"/>
        <w:rPr>
          <w:rFonts w:hAnsi="Times New Roman" w:cs="Times New Roman"/>
        </w:rPr>
      </w:pPr>
      <w:r>
        <w:rPr>
          <w:rFonts w:hAnsi="Times New Roman" w:cs="Times New Roman"/>
          <w:i/>
          <w:iCs/>
        </w:rPr>
        <w:t>L</w:t>
      </w:r>
      <w:r>
        <w:rPr>
          <w:rFonts w:hint="eastAsia" w:hAnsi="Times New Roman" w:cs="Times New Roman"/>
          <w:iCs/>
          <w:vertAlign w:val="subscript"/>
        </w:rPr>
        <w:t>A</w:t>
      </w:r>
      <w:r>
        <w:rPr>
          <w:rFonts w:hAnsi="Times New Roman" w:cs="Times New Roman"/>
          <w:i/>
          <w:iCs/>
          <w:vertAlign w:val="subscript"/>
        </w:rPr>
        <w:t>w</w:t>
      </w:r>
      <w:r>
        <w:rPr>
          <w:rFonts w:hAnsi="Times New Roman" w:cs="Times New Roman"/>
        </w:rPr>
        <w:t>——</w:t>
      </w:r>
      <w:r>
        <w:rPr>
          <w:rFonts w:hint="eastAsia" w:hAnsi="Times New Roman" w:cs="Times New Roman"/>
        </w:rPr>
        <w:t>点声源</w:t>
      </w:r>
      <w:r>
        <w:rPr>
          <w:rFonts w:hAnsi="Times New Roman" w:cs="Times New Roman"/>
        </w:rPr>
        <w:t>A</w:t>
      </w:r>
      <w:r>
        <w:rPr>
          <w:rFonts w:hint="eastAsia" w:hAnsi="Times New Roman" w:cs="Times New Roman"/>
        </w:rPr>
        <w:t>计权声功率级，</w:t>
      </w:r>
      <w:r>
        <w:rPr>
          <w:rFonts w:hAnsi="Times New Roman" w:cs="Times New Roman"/>
        </w:rPr>
        <w:t>dB</w:t>
      </w:r>
      <w:r>
        <w:rPr>
          <w:rFonts w:hint="eastAsia" w:hAnsi="Times New Roman" w:cs="Times New Roman"/>
        </w:rPr>
        <w:t>；</w:t>
      </w:r>
    </w:p>
    <w:p w14:paraId="0CBFC5AC">
      <w:pPr>
        <w:ind w:left="1680" w:leftChars="500" w:hanging="480" w:hangingChars="200"/>
        <w:rPr>
          <w:rFonts w:hAnsi="Times New Roman" w:cs="Times New Roman"/>
        </w:rPr>
      </w:pPr>
      <w:r>
        <w:rPr>
          <w:rFonts w:hAnsi="Times New Roman" w:cs="Times New Roman"/>
          <w:i/>
          <w:iCs/>
        </w:rPr>
        <w:t>r</w:t>
      </w:r>
      <w:r>
        <w:rPr>
          <w:rFonts w:hAnsi="Times New Roman" w:cs="Times New Roman"/>
        </w:rPr>
        <w:t>——</w:t>
      </w:r>
      <w:r>
        <w:rPr>
          <w:rFonts w:hint="eastAsia" w:hAnsi="Times New Roman" w:cs="Times New Roman"/>
        </w:rPr>
        <w:t>预测点距声源的距离。</w:t>
      </w:r>
    </w:p>
    <w:p w14:paraId="7C729A1B">
      <w:pPr>
        <w:ind w:firstLine="482"/>
        <w:rPr>
          <w:b/>
        </w:rPr>
      </w:pPr>
      <w:r>
        <w:rPr>
          <w:rFonts w:hint="eastAsia"/>
          <w:b/>
        </w:rPr>
        <w:t>2、</w:t>
      </w:r>
      <w:r>
        <w:rPr>
          <w:b/>
        </w:rPr>
        <w:t>建设项目声源在预测点产生的等效声级贡献值(</w:t>
      </w:r>
      <w:r>
        <w:rPr>
          <w:b/>
          <w:i/>
        </w:rPr>
        <w:t>L</w:t>
      </w:r>
      <w:r>
        <w:rPr>
          <w:b/>
          <w:vertAlign w:val="subscript"/>
        </w:rPr>
        <w:t>eqg</w:t>
      </w:r>
      <w:r>
        <w:rPr>
          <w:b/>
        </w:rPr>
        <w:t>)计算公式</w:t>
      </w:r>
    </w:p>
    <w:p w14:paraId="65F8C611">
      <w:pPr>
        <w:ind w:firstLine="480"/>
        <w:jc w:val="right"/>
        <w:textAlignment w:val="center"/>
        <w:rPr>
          <w:rFonts w:hAnsi="Times New Roman" w:cs="Times New Roman"/>
        </w:rPr>
      </w:pPr>
      <w:r>
        <w:rPr>
          <w:rFonts w:hAnsi="Times New Roman" w:cs="Times New Roman"/>
        </w:rPr>
        <w:object>
          <v:shape id="_x0000_i1027" o:spt="75" type="#_x0000_t75" style="height:39pt;width:143.55pt;" o:ole="t" filled="f" o:preferrelative="t" stroked="f" coordsize="21600,21600">
            <v:path/>
            <v:fill on="f" focussize="0,0"/>
            <v:stroke on="f" joinstyle="miter"/>
            <v:imagedata r:id="rId97" o:title=""/>
            <o:lock v:ext="edit" aspectratio="t"/>
            <w10:wrap type="none"/>
            <w10:anchorlock/>
          </v:shape>
          <o:OLEObject Type="Embed" ProgID="Equation.3" ShapeID="_x0000_i1027" DrawAspect="Content" ObjectID="_1468075727" r:id="rId96">
            <o:LockedField>false</o:LockedField>
          </o:OLEObject>
        </w:object>
      </w:r>
      <w:r>
        <w:rPr>
          <w:rFonts w:hAnsi="Times New Roman" w:cs="Times New Roman"/>
        </w:rPr>
        <w:t>………………………（</w:t>
      </w:r>
      <w:r>
        <w:rPr>
          <w:rFonts w:hint="eastAsia" w:hAnsi="Times New Roman" w:cs="Times New Roman"/>
        </w:rPr>
        <w:t>5</w:t>
      </w:r>
      <w:r>
        <w:rPr>
          <w:rFonts w:hAnsi="Times New Roman" w:cs="Times New Roman"/>
        </w:rPr>
        <w:t>）</w:t>
      </w:r>
    </w:p>
    <w:p w14:paraId="6958661B">
      <w:pPr>
        <w:ind w:firstLine="480"/>
        <w:rPr>
          <w:rFonts w:hAnsi="Times New Roman" w:cs="Times New Roman"/>
        </w:rPr>
      </w:pPr>
      <w:r>
        <w:rPr>
          <w:rFonts w:hAnsi="Times New Roman" w:cs="Times New Roman"/>
        </w:rPr>
        <w:t>式中：</w:t>
      </w:r>
      <w:r>
        <w:rPr>
          <w:rFonts w:hAnsi="Times New Roman" w:cs="Times New Roman"/>
          <w:i/>
        </w:rPr>
        <w:t>L</w:t>
      </w:r>
      <w:r>
        <w:rPr>
          <w:rFonts w:hAnsi="Times New Roman" w:cs="Times New Roman"/>
          <w:vertAlign w:val="subscript"/>
        </w:rPr>
        <w:t>eqg</w:t>
      </w:r>
      <w:r>
        <w:rPr>
          <w:rFonts w:hAnsi="Times New Roman" w:cs="Times New Roman"/>
        </w:rPr>
        <w:t>—建设项目声源在预测点的等效声级贡献值，dB(A)；</w:t>
      </w:r>
    </w:p>
    <w:p w14:paraId="6495400E">
      <w:pPr>
        <w:ind w:left="1680" w:leftChars="500" w:hanging="480" w:hangingChars="200"/>
        <w:rPr>
          <w:rFonts w:hAnsi="Times New Roman" w:cs="Times New Roman"/>
        </w:rPr>
      </w:pPr>
      <w:r>
        <w:rPr>
          <w:rFonts w:hAnsi="Times New Roman" w:cs="Times New Roman"/>
          <w:i/>
        </w:rPr>
        <w:t>L</w:t>
      </w:r>
      <w:r>
        <w:rPr>
          <w:rFonts w:hAnsi="Times New Roman" w:cs="Times New Roman"/>
          <w:vertAlign w:val="subscript"/>
        </w:rPr>
        <w:t>Ai</w:t>
      </w:r>
      <w:r>
        <w:rPr>
          <w:rFonts w:hAnsi="Times New Roman" w:cs="Times New Roman"/>
        </w:rPr>
        <w:t>—</w:t>
      </w:r>
      <w:r>
        <w:rPr>
          <w:rFonts w:hAnsi="Times New Roman" w:cs="Times New Roman"/>
          <w:i/>
        </w:rPr>
        <w:t>i</w:t>
      </w:r>
      <w:r>
        <w:rPr>
          <w:rFonts w:hAnsi="Times New Roman" w:cs="Times New Roman"/>
        </w:rPr>
        <w:t>声源在预测点产生的A声级，dB(A)；</w:t>
      </w:r>
    </w:p>
    <w:p w14:paraId="349809F5">
      <w:pPr>
        <w:ind w:left="1680" w:leftChars="500" w:hanging="480" w:hangingChars="200"/>
        <w:rPr>
          <w:rFonts w:hAnsi="Times New Roman" w:cs="Times New Roman"/>
        </w:rPr>
      </w:pPr>
      <w:r>
        <w:rPr>
          <w:rFonts w:hAnsi="Times New Roman" w:cs="Times New Roman"/>
          <w:i/>
        </w:rPr>
        <w:t>T</w:t>
      </w:r>
      <w:r>
        <w:rPr>
          <w:rFonts w:hAnsi="Times New Roman" w:cs="Times New Roman"/>
        </w:rPr>
        <w:t>—预测计算的时间段，s；</w:t>
      </w:r>
    </w:p>
    <w:p w14:paraId="42F56D13">
      <w:pPr>
        <w:ind w:left="1680" w:leftChars="500" w:hanging="480" w:hangingChars="200"/>
        <w:rPr>
          <w:rFonts w:hAnsi="Times New Roman" w:cs="Times New Roman"/>
        </w:rPr>
      </w:pPr>
      <w:r>
        <w:rPr>
          <w:rFonts w:hAnsi="Times New Roman" w:cs="Times New Roman"/>
          <w:i/>
        </w:rPr>
        <w:t>t</w:t>
      </w:r>
      <w:r>
        <w:rPr>
          <w:rFonts w:hAnsi="Times New Roman" w:cs="Times New Roman"/>
          <w:vertAlign w:val="subscript"/>
        </w:rPr>
        <w:t>i</w:t>
      </w:r>
      <w:r>
        <w:rPr>
          <w:rFonts w:hAnsi="Times New Roman" w:cs="Times New Roman"/>
        </w:rPr>
        <w:t>—</w:t>
      </w:r>
      <w:r>
        <w:rPr>
          <w:rFonts w:hAnsi="Times New Roman" w:cs="Times New Roman"/>
          <w:i/>
        </w:rPr>
        <w:t>i</w:t>
      </w:r>
      <w:r>
        <w:rPr>
          <w:rFonts w:hAnsi="Times New Roman" w:cs="Times New Roman"/>
        </w:rPr>
        <w:t>声源在T时段内的运行时间，s。</w:t>
      </w:r>
    </w:p>
    <w:p w14:paraId="1923B7CB">
      <w:pPr>
        <w:ind w:firstLine="480"/>
      </w:pPr>
      <w:r>
        <w:t>预测点的预测等效声级(L</w:t>
      </w:r>
      <w:r>
        <w:rPr>
          <w:vertAlign w:val="subscript"/>
        </w:rPr>
        <w:t>eq</w:t>
      </w:r>
      <w:r>
        <w:t xml:space="preserve">)计算公式： </w:t>
      </w:r>
    </w:p>
    <w:p w14:paraId="2A70DA88">
      <w:pPr>
        <w:ind w:firstLine="480"/>
        <w:jc w:val="right"/>
        <w:textAlignment w:val="center"/>
        <w:rPr>
          <w:rFonts w:hAnsi="Times New Roman" w:cs="Times New Roman"/>
        </w:rPr>
      </w:pPr>
      <w:r>
        <w:object>
          <v:shape id="_x0000_i1028" o:spt="75" type="#_x0000_t75" style="height:24.45pt;width:177.85pt;" o:ole="t" filled="f" o:preferrelative="t" stroked="f" coordsize="21600,21600">
            <v:path/>
            <v:fill on="f" focussize="0,0"/>
            <v:stroke on="f" joinstyle="miter"/>
            <v:imagedata r:id="rId99" o:title=""/>
            <o:lock v:ext="edit" aspectratio="t"/>
            <w10:wrap type="none"/>
            <w10:anchorlock/>
          </v:shape>
          <o:OLEObject Type="Embed" ProgID="Equation.3" ShapeID="_x0000_i1028" DrawAspect="Content" ObjectID="_1468075728" r:id="rId98">
            <o:LockedField>false</o:LockedField>
          </o:OLEObject>
        </w:object>
      </w:r>
      <w:r>
        <w:rPr>
          <w:rFonts w:hAnsi="Times New Roman" w:cs="Times New Roman"/>
        </w:rPr>
        <w:t>……………………（</w:t>
      </w:r>
      <w:r>
        <w:rPr>
          <w:rFonts w:hint="eastAsia" w:hAnsi="Times New Roman" w:cs="Times New Roman"/>
        </w:rPr>
        <w:t>6</w:t>
      </w:r>
      <w:r>
        <w:rPr>
          <w:rFonts w:hAnsi="Times New Roman" w:cs="Times New Roman"/>
        </w:rPr>
        <w:t>）</w:t>
      </w:r>
    </w:p>
    <w:p w14:paraId="4879A6EF">
      <w:pPr>
        <w:ind w:firstLine="480"/>
        <w:rPr>
          <w:rFonts w:hAnsi="Times New Roman" w:cs="Times New Roman"/>
        </w:rPr>
      </w:pPr>
      <w:r>
        <w:rPr>
          <w:rFonts w:hAnsi="Times New Roman" w:cs="Times New Roman"/>
        </w:rPr>
        <w:t>式中：</w:t>
      </w:r>
      <w:r>
        <w:rPr>
          <w:rFonts w:hAnsi="Times New Roman" w:cs="Times New Roman"/>
          <w:i/>
        </w:rPr>
        <w:t>L</w:t>
      </w:r>
      <w:r>
        <w:rPr>
          <w:rFonts w:hAnsi="Times New Roman" w:cs="Times New Roman"/>
          <w:vertAlign w:val="subscript"/>
        </w:rPr>
        <w:t>eqg</w:t>
      </w:r>
      <w:r>
        <w:rPr>
          <w:rFonts w:hAnsi="Times New Roman" w:cs="Times New Roman"/>
        </w:rPr>
        <w:t xml:space="preserve">—建设项目声源在预测点的等效声级贡献值，dB(A)； </w:t>
      </w:r>
    </w:p>
    <w:p w14:paraId="1560913E">
      <w:pPr>
        <w:ind w:left="1680" w:leftChars="500" w:hanging="480" w:hangingChars="200"/>
        <w:rPr>
          <w:rFonts w:hAnsi="Times New Roman" w:cs="Times New Roman"/>
        </w:rPr>
      </w:pPr>
      <w:r>
        <w:rPr>
          <w:rFonts w:hAnsi="Times New Roman" w:cs="Times New Roman"/>
        </w:rPr>
        <w:t>L</w:t>
      </w:r>
      <w:r>
        <w:rPr>
          <w:rFonts w:hAnsi="Times New Roman" w:cs="Times New Roman"/>
          <w:vertAlign w:val="subscript"/>
        </w:rPr>
        <w:t>eqb</w:t>
      </w:r>
      <w:r>
        <w:rPr>
          <w:rFonts w:hAnsi="Times New Roman" w:cs="Times New Roman"/>
        </w:rPr>
        <w:t>—预测点的背景值，dB(A)。</w:t>
      </w:r>
    </w:p>
    <w:p w14:paraId="0F064EF8">
      <w:pPr>
        <w:ind w:firstLine="482"/>
        <w:rPr>
          <w:rFonts w:hAnsi="Times New Roman" w:cs="Times New Roman"/>
          <w:b/>
        </w:rPr>
      </w:pPr>
      <w:r>
        <w:rPr>
          <w:rFonts w:hint="eastAsia" w:hAnsi="Times New Roman" w:cs="Times New Roman"/>
          <w:b/>
        </w:rPr>
        <w:t>3、</w:t>
      </w:r>
      <w:r>
        <w:rPr>
          <w:rFonts w:hAnsi="Times New Roman" w:cs="Times New Roman"/>
          <w:b/>
        </w:rPr>
        <w:t>户外声传播衰减计算</w:t>
      </w:r>
    </w:p>
    <w:p w14:paraId="1FEDACEB">
      <w:pPr>
        <w:ind w:firstLine="480"/>
        <w:rPr>
          <w:rFonts w:hAnsi="Times New Roman" w:cs="Times New Roman"/>
        </w:rPr>
      </w:pPr>
      <w:r>
        <w:rPr>
          <w:rFonts w:hAnsi="Times New Roman" w:cs="Times New Roman"/>
        </w:rPr>
        <w:t>户外声传播衰减包括几何发散（A</w:t>
      </w:r>
      <w:r>
        <w:rPr>
          <w:rFonts w:hAnsi="Times New Roman" w:cs="Times New Roman"/>
          <w:vertAlign w:val="subscript"/>
        </w:rPr>
        <w:t>div</w:t>
      </w:r>
      <w:r>
        <w:rPr>
          <w:rFonts w:hAnsi="Times New Roman" w:cs="Times New Roman"/>
        </w:rPr>
        <w:t>）、大气吸收（A</w:t>
      </w:r>
      <w:r>
        <w:rPr>
          <w:rFonts w:hAnsi="Times New Roman" w:cs="Times New Roman"/>
          <w:vertAlign w:val="subscript"/>
        </w:rPr>
        <w:t>atm</w:t>
      </w:r>
      <w:r>
        <w:rPr>
          <w:rFonts w:hAnsi="Times New Roman" w:cs="Times New Roman"/>
        </w:rPr>
        <w:t>）、地面效应（A</w:t>
      </w:r>
      <w:r>
        <w:rPr>
          <w:rFonts w:hAnsi="Times New Roman" w:cs="Times New Roman"/>
          <w:vertAlign w:val="subscript"/>
        </w:rPr>
        <w:t>gr</w:t>
      </w:r>
      <w:r>
        <w:rPr>
          <w:rFonts w:hAnsi="Times New Roman" w:cs="Times New Roman"/>
        </w:rPr>
        <w:t>）、屏障屏蔽（A</w:t>
      </w:r>
      <w:r>
        <w:rPr>
          <w:rFonts w:hAnsi="Times New Roman" w:cs="Times New Roman"/>
          <w:vertAlign w:val="subscript"/>
        </w:rPr>
        <w:t>bar</w:t>
      </w:r>
      <w:r>
        <w:rPr>
          <w:rFonts w:hAnsi="Times New Roman" w:cs="Times New Roman"/>
        </w:rPr>
        <w:t>）、其他多方面效应（A</w:t>
      </w:r>
      <w:r>
        <w:rPr>
          <w:rFonts w:hAnsi="Times New Roman" w:cs="Times New Roman"/>
          <w:vertAlign w:val="subscript"/>
        </w:rPr>
        <w:t>misc</w:t>
      </w:r>
      <w:r>
        <w:rPr>
          <w:rFonts w:hAnsi="Times New Roman" w:cs="Times New Roman"/>
        </w:rPr>
        <w:t>）引起的衰减。</w:t>
      </w:r>
    </w:p>
    <w:p w14:paraId="08DFAF1F">
      <w:pPr>
        <w:ind w:firstLine="480"/>
      </w:pPr>
      <w:r>
        <w:t>距声源点r处的A声级按下式计算：</w:t>
      </w:r>
    </w:p>
    <w:p w14:paraId="7C9B7966">
      <w:pPr>
        <w:ind w:firstLine="480"/>
        <w:jc w:val="right"/>
        <w:textAlignment w:val="center"/>
        <w:rPr>
          <w:rFonts w:hAnsi="Times New Roman" w:cs="Times New Roman"/>
        </w:rPr>
      </w:pPr>
      <w:r>
        <w:drawing>
          <wp:inline distT="0" distB="0" distL="0" distR="0">
            <wp:extent cx="3576955" cy="331470"/>
            <wp:effectExtent l="19050" t="0" r="4445" b="0"/>
            <wp:docPr id="14"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57"/>
                    <pic:cNvPicPr>
                      <a:picLocks noChangeAspect="1" noChangeArrowheads="1"/>
                    </pic:cNvPicPr>
                  </pic:nvPicPr>
                  <pic:blipFill>
                    <a:blip r:embed="rId100"/>
                    <a:srcRect l="4910" r="4201"/>
                    <a:stretch>
                      <a:fillRect/>
                    </a:stretch>
                  </pic:blipFill>
                  <pic:spPr>
                    <a:xfrm>
                      <a:off x="0" y="0"/>
                      <a:ext cx="3576955" cy="332015"/>
                    </a:xfrm>
                    <a:prstGeom prst="rect">
                      <a:avLst/>
                    </a:prstGeom>
                    <a:noFill/>
                    <a:ln w="9525">
                      <a:noFill/>
                      <a:miter lim="800000"/>
                      <a:headEnd/>
                      <a:tailEnd/>
                    </a:ln>
                  </pic:spPr>
                </pic:pic>
              </a:graphicData>
            </a:graphic>
          </wp:inline>
        </w:drawing>
      </w:r>
      <w:r>
        <w:rPr>
          <w:rFonts w:hAnsi="Times New Roman" w:cs="Times New Roman"/>
        </w:rPr>
        <w:t>…………（</w:t>
      </w:r>
      <w:r>
        <w:rPr>
          <w:rFonts w:hint="eastAsia" w:hAnsi="Times New Roman" w:cs="Times New Roman"/>
        </w:rPr>
        <w:t>7</w:t>
      </w:r>
      <w:r>
        <w:rPr>
          <w:rFonts w:hAnsi="Times New Roman" w:cs="Times New Roman"/>
        </w:rPr>
        <w:t>）</w:t>
      </w:r>
    </w:p>
    <w:p w14:paraId="00E063B5">
      <w:pPr>
        <w:ind w:firstLine="480"/>
      </w:pPr>
      <w:bookmarkStart w:id="438" w:name="_Toc2292"/>
      <w:bookmarkStart w:id="439" w:name="_Toc32354"/>
      <w:r>
        <w:rPr>
          <w:rFonts w:hint="eastAsia"/>
        </w:rPr>
        <w:t>（1）</w:t>
      </w:r>
      <w:r>
        <w:t>空气吸收引起的衰减(A</w:t>
      </w:r>
      <w:r>
        <w:rPr>
          <w:vertAlign w:val="subscript"/>
        </w:rPr>
        <w:t>atm</w:t>
      </w:r>
      <w:r>
        <w:t>)</w:t>
      </w:r>
      <w:bookmarkEnd w:id="438"/>
      <w:bookmarkEnd w:id="439"/>
    </w:p>
    <w:p w14:paraId="3C40BAF3">
      <w:pPr>
        <w:ind w:firstLine="480"/>
        <w:rPr>
          <w:rFonts w:hAnsi="Times New Roman" w:cs="Times New Roman"/>
        </w:rPr>
      </w:pPr>
      <w:r>
        <w:rPr>
          <w:rFonts w:hAnsi="Times New Roman" w:cs="Times New Roman"/>
        </w:rPr>
        <w:t>空气吸收引起的衰减按下列公式计算：</w:t>
      </w:r>
    </w:p>
    <w:p w14:paraId="64BCDB66">
      <w:pPr>
        <w:spacing w:line="240" w:lineRule="auto"/>
        <w:ind w:firstLine="480"/>
        <w:jc w:val="right"/>
        <w:rPr>
          <w:rFonts w:hAnsi="Times New Roman" w:cs="Times New Roman"/>
        </w:rPr>
      </w:pPr>
      <m:oMath>
        <m:sSub>
          <m:sSubPr>
            <m:ctrlPr>
              <w:rPr>
                <w:rFonts w:ascii="Cambria Math" w:hAnsi="Cambria Math" w:cs="Times New Roman"/>
              </w:rPr>
            </m:ctrlPr>
          </m:sSubPr>
          <m:e>
            <m:r>
              <m:rPr/>
              <w:rPr>
                <w:rFonts w:ascii="Cambria Math" w:hAnsi="Cambria Math" w:cs="Times New Roman"/>
              </w:rPr>
              <m:t>A</m:t>
            </m:r>
            <m:ctrlPr>
              <w:rPr>
                <w:rFonts w:ascii="Cambria Math" w:hAnsi="Cambria Math" w:cs="Times New Roman"/>
              </w:rPr>
            </m:ctrlPr>
          </m:e>
          <m:sub>
            <m:r>
              <m:rPr>
                <m:nor/>
                <m:sty m:val="p"/>
              </m:rPr>
              <w:rPr>
                <w:rFonts w:hint="eastAsia" w:ascii="Cambria Math" w:hAnsi="Cambria Math" w:cs="Times New Roman"/>
              </w:rPr>
              <m:t>atm</m:t>
            </m:r>
            <m:ctrlPr>
              <w:rPr>
                <w:rFonts w:ascii="Cambria Math" w:hAnsi="Cambria Math" w:cs="Times New Roman"/>
              </w:rPr>
            </m:ctrlPr>
          </m:sub>
        </m:sSub>
        <m:r>
          <m:rPr/>
          <w:rPr>
            <w:rFonts w:ascii="Cambria Math" w:hAnsi="Cambria Math" w:cs="Times New Roman"/>
          </w:rPr>
          <m:t>=</m:t>
        </m:r>
        <m:f>
          <m:fPr>
            <m:ctrlPr>
              <w:rPr>
                <w:rFonts w:ascii="Cambria Math" w:hAnsi="Cambria Math" w:cs="Times New Roman"/>
                <w:i/>
              </w:rPr>
            </m:ctrlPr>
          </m:fPr>
          <m:num>
            <m:r>
              <m:rPr/>
              <w:rPr>
                <w:rFonts w:ascii="Cambria Math" w:hAnsi="Cambria Math" w:cs="Times New Roman"/>
              </w:rPr>
              <m:t>α(r−</m:t>
            </m:r>
            <m:sSub>
              <m:sSubPr>
                <m:ctrlPr>
                  <w:rPr>
                    <w:rFonts w:ascii="Cambria Math" w:hAnsi="Cambria Math" w:cs="Times New Roman"/>
                    <w:i/>
                  </w:rPr>
                </m:ctrlPr>
              </m:sSubPr>
              <m:e>
                <m:r>
                  <m:rPr/>
                  <w:rPr>
                    <w:rFonts w:ascii="Cambria Math" w:hAnsi="Cambria Math" w:cs="Times New Roman"/>
                  </w:rPr>
                  <m:t>r</m:t>
                </m:r>
                <m:ctrlPr>
                  <w:rPr>
                    <w:rFonts w:ascii="Cambria Math" w:hAnsi="Cambria Math" w:cs="Times New Roman"/>
                    <w:i/>
                  </w:rPr>
                </m:ctrlPr>
              </m:e>
              <m:sub>
                <m:r>
                  <m:rPr/>
                  <w:rPr>
                    <w:rFonts w:ascii="Cambria Math" w:hAnsi="Cambria Math" w:cs="Times New Roman"/>
                  </w:rPr>
                  <m:t>0</m:t>
                </m:r>
                <m:ctrlPr>
                  <w:rPr>
                    <w:rFonts w:ascii="Cambria Math" w:hAnsi="Cambria Math" w:cs="Times New Roman"/>
                    <w:i/>
                  </w:rPr>
                </m:ctrlPr>
              </m:sub>
            </m:sSub>
            <m:r>
              <m:rPr/>
              <w:rPr>
                <w:rFonts w:ascii="Cambria Math" w:hAnsi="Cambria Math" w:cs="Times New Roman"/>
              </w:rPr>
              <m:t>)</m:t>
            </m:r>
            <m:ctrlPr>
              <w:rPr>
                <w:rFonts w:ascii="Cambria Math" w:hAnsi="Cambria Math" w:cs="Times New Roman"/>
                <w:i/>
              </w:rPr>
            </m:ctrlPr>
          </m:num>
          <m:den>
            <m:r>
              <m:rPr/>
              <w:rPr>
                <w:rFonts w:ascii="Cambria Math" w:hAnsi="Cambria Math" w:cs="Times New Roman"/>
              </w:rPr>
              <m:t>1000</m:t>
            </m:r>
            <m:ctrlPr>
              <w:rPr>
                <w:rFonts w:ascii="Cambria Math" w:hAnsi="Cambria Math" w:cs="Times New Roman"/>
                <w:i/>
              </w:rPr>
            </m:ctrlPr>
          </m:den>
        </m:f>
      </m:oMath>
      <w:r>
        <w:rPr>
          <w:rFonts w:hAnsi="Times New Roman" w:cs="Times New Roman"/>
        </w:rPr>
        <w:t>…………………………………（</w:t>
      </w:r>
      <w:r>
        <w:rPr>
          <w:rFonts w:hint="eastAsia" w:hAnsi="Times New Roman" w:cs="Times New Roman"/>
        </w:rPr>
        <w:t>8</w:t>
      </w:r>
      <w:r>
        <w:rPr>
          <w:rFonts w:hAnsi="Times New Roman" w:cs="Times New Roman"/>
        </w:rPr>
        <w:t>）</w:t>
      </w:r>
    </w:p>
    <w:p w14:paraId="167C26FE">
      <w:pPr>
        <w:spacing w:line="480" w:lineRule="exact"/>
        <w:ind w:firstLine="480"/>
        <w:rPr>
          <w:rFonts w:hAnsi="Times New Roman" w:cs="Times New Roman"/>
        </w:rPr>
      </w:pPr>
      <w:r>
        <w:rPr>
          <w:rFonts w:hAnsi="Times New Roman" w:cs="Times New Roman"/>
        </w:rPr>
        <w:t>式中：</w:t>
      </w:r>
      <w:r>
        <w:rPr>
          <w:rFonts w:hAnsi="Times New Roman" w:cs="Times New Roman"/>
          <w:i/>
          <w:iCs/>
        </w:rPr>
        <w:t>A</w:t>
      </w:r>
      <w:r>
        <w:rPr>
          <w:rFonts w:hAnsi="Times New Roman" w:cs="Times New Roman"/>
          <w:vertAlign w:val="subscript"/>
        </w:rPr>
        <w:t>atm</w:t>
      </w:r>
      <w:r>
        <w:rPr>
          <w:rFonts w:hAnsi="Times New Roman" w:cs="Times New Roman"/>
        </w:rPr>
        <w:t xml:space="preserve"> ——大气吸收引起的衰减，dB；</w:t>
      </w:r>
    </w:p>
    <w:p w14:paraId="0EDE4EAB">
      <w:pPr>
        <w:spacing w:line="480" w:lineRule="exact"/>
        <w:ind w:left="1920" w:leftChars="500" w:hanging="720" w:hangingChars="300"/>
        <w:rPr>
          <w:rFonts w:hAnsi="Times New Roman" w:cs="Times New Roman"/>
        </w:rPr>
      </w:pPr>
      <w:r>
        <w:rPr>
          <w:rFonts w:hAnsi="Times New Roman" w:cs="Times New Roman"/>
          <w:i/>
          <w:iCs/>
        </w:rPr>
        <w:t>α</w:t>
      </w:r>
      <w:r>
        <w:rPr>
          <w:rFonts w:hAnsi="Times New Roman" w:cs="Times New Roman"/>
        </w:rPr>
        <w:t>——与温度、湿度和声波频率有关的大气吸收衰减系数，预测计算中一般根据建设项目所处区域常年平均气温和湿度选择相应的大气吸收衰减系数（表5.2-5）；</w:t>
      </w:r>
    </w:p>
    <w:p w14:paraId="7AC4AF1E">
      <w:pPr>
        <w:spacing w:line="480" w:lineRule="exact"/>
        <w:ind w:left="1920" w:leftChars="500" w:hanging="720" w:hangingChars="300"/>
        <w:rPr>
          <w:rFonts w:hAnsi="Times New Roman" w:cs="Times New Roman"/>
        </w:rPr>
      </w:pPr>
      <w:r>
        <w:rPr>
          <w:rFonts w:hAnsi="Times New Roman" w:cs="Times New Roman"/>
          <w:i/>
          <w:iCs/>
        </w:rPr>
        <w:t>r</w:t>
      </w:r>
      <w:r>
        <w:rPr>
          <w:rFonts w:hAnsi="Times New Roman" w:cs="Times New Roman"/>
        </w:rPr>
        <w:t>——预测点距声源的距离；</w:t>
      </w:r>
    </w:p>
    <w:p w14:paraId="2D30E1BF">
      <w:pPr>
        <w:spacing w:line="480" w:lineRule="exact"/>
        <w:ind w:left="1920" w:leftChars="500" w:hanging="720" w:hangingChars="300"/>
        <w:rPr>
          <w:rFonts w:hAnsi="Times New Roman" w:cs="Times New Roman"/>
        </w:rPr>
      </w:pPr>
      <w:r>
        <w:rPr>
          <w:rFonts w:hAnsi="Times New Roman" w:cs="Times New Roman"/>
          <w:i/>
          <w:iCs/>
        </w:rPr>
        <w:t>r</w:t>
      </w:r>
      <w:r>
        <w:rPr>
          <w:rFonts w:hAnsi="Times New Roman" w:cs="Times New Roman"/>
        </w:rPr>
        <w:t>0——参考位置距声源的距离。</w:t>
      </w:r>
    </w:p>
    <w:p w14:paraId="7F57E536">
      <w:pPr>
        <w:pStyle w:val="178"/>
      </w:pPr>
      <w:r>
        <w:t>表5.2-5  倍频带噪声的大气吸收衰减系数α</w:t>
      </w:r>
    </w:p>
    <w:tbl>
      <w:tblPr>
        <w:tblStyle w:val="36"/>
        <w:tblW w:w="4998"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865"/>
        <w:gridCol w:w="1270"/>
        <w:gridCol w:w="738"/>
        <w:gridCol w:w="777"/>
        <w:gridCol w:w="777"/>
        <w:gridCol w:w="777"/>
        <w:gridCol w:w="830"/>
        <w:gridCol w:w="830"/>
        <w:gridCol w:w="830"/>
        <w:gridCol w:w="775"/>
      </w:tblGrid>
      <w:tr w14:paraId="22ECD44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501" w:type="pct"/>
            <w:vMerge w:val="restart"/>
            <w:noWrap/>
            <w:vAlign w:val="center"/>
          </w:tcPr>
          <w:p w14:paraId="5AD009B1">
            <w:pPr>
              <w:pStyle w:val="179"/>
              <w:rPr>
                <w:rFonts w:eastAsia="Times New Roman"/>
                <w:b/>
              </w:rPr>
            </w:pPr>
            <w:r>
              <w:rPr>
                <w:b/>
              </w:rPr>
              <w:t>温度</w:t>
            </w:r>
            <w:r>
              <w:rPr>
                <w:rFonts w:eastAsia="Times New Roman"/>
                <w:b/>
              </w:rPr>
              <w:t>℃</w:t>
            </w:r>
          </w:p>
        </w:tc>
        <w:tc>
          <w:tcPr>
            <w:tcW w:w="662" w:type="pct"/>
            <w:vMerge w:val="restart"/>
            <w:noWrap/>
            <w:vAlign w:val="center"/>
          </w:tcPr>
          <w:p w14:paraId="57B6405E">
            <w:pPr>
              <w:pStyle w:val="179"/>
              <w:rPr>
                <w:rFonts w:eastAsia="Times New Roman"/>
                <w:b/>
              </w:rPr>
            </w:pPr>
            <w:r>
              <w:rPr>
                <w:b/>
              </w:rPr>
              <w:t>相对湿度</w:t>
            </w:r>
            <w:r>
              <w:rPr>
                <w:rFonts w:eastAsia="Times New Roman"/>
                <w:b/>
              </w:rPr>
              <w:t>%</w:t>
            </w:r>
          </w:p>
        </w:tc>
        <w:tc>
          <w:tcPr>
            <w:tcW w:w="3836" w:type="pct"/>
            <w:gridSpan w:val="8"/>
            <w:noWrap/>
            <w:vAlign w:val="center"/>
          </w:tcPr>
          <w:p w14:paraId="1E50BEDD">
            <w:pPr>
              <w:pStyle w:val="179"/>
              <w:rPr>
                <w:rFonts w:eastAsia="Times New Roman"/>
                <w:b/>
              </w:rPr>
            </w:pPr>
            <w:r>
              <w:rPr>
                <w:b/>
              </w:rPr>
              <w:t>大气吸收衰减系数</w:t>
            </w:r>
            <w:r>
              <w:rPr>
                <w:rFonts w:eastAsia="Times New Roman"/>
                <w:b/>
              </w:rPr>
              <w:t>α</w:t>
            </w:r>
            <w:r>
              <w:rPr>
                <w:b/>
              </w:rPr>
              <w:t>，</w:t>
            </w:r>
            <w:r>
              <w:rPr>
                <w:rFonts w:eastAsia="Times New Roman"/>
                <w:b/>
              </w:rPr>
              <w:t>dB/km</w:t>
            </w:r>
          </w:p>
        </w:tc>
      </w:tr>
      <w:tr w14:paraId="0467533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501" w:type="pct"/>
            <w:vMerge w:val="continue"/>
            <w:noWrap/>
            <w:vAlign w:val="center"/>
          </w:tcPr>
          <w:p w14:paraId="7FF07E65">
            <w:pPr>
              <w:pStyle w:val="179"/>
              <w:rPr>
                <w:rFonts w:eastAsia="Times New Roman"/>
                <w:b/>
              </w:rPr>
            </w:pPr>
          </w:p>
        </w:tc>
        <w:tc>
          <w:tcPr>
            <w:tcW w:w="662" w:type="pct"/>
            <w:vMerge w:val="continue"/>
            <w:noWrap/>
            <w:vAlign w:val="center"/>
          </w:tcPr>
          <w:p w14:paraId="0342068D">
            <w:pPr>
              <w:pStyle w:val="179"/>
              <w:rPr>
                <w:rFonts w:eastAsia="Times New Roman"/>
                <w:b/>
              </w:rPr>
            </w:pPr>
          </w:p>
        </w:tc>
        <w:tc>
          <w:tcPr>
            <w:tcW w:w="3836" w:type="pct"/>
            <w:gridSpan w:val="8"/>
            <w:noWrap/>
            <w:vAlign w:val="center"/>
          </w:tcPr>
          <w:p w14:paraId="6A68A5E9">
            <w:pPr>
              <w:pStyle w:val="179"/>
              <w:rPr>
                <w:rFonts w:eastAsia="Times New Roman"/>
                <w:b/>
              </w:rPr>
            </w:pPr>
            <w:r>
              <w:rPr>
                <w:b/>
              </w:rPr>
              <w:t>倍频带中心频率</w:t>
            </w:r>
            <w:r>
              <w:rPr>
                <w:rFonts w:eastAsia="Times New Roman"/>
                <w:b/>
              </w:rPr>
              <w:t>Hz</w:t>
            </w:r>
          </w:p>
        </w:tc>
      </w:tr>
      <w:tr w14:paraId="6B50671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501" w:type="pct"/>
            <w:vMerge w:val="continue"/>
            <w:noWrap/>
            <w:vAlign w:val="center"/>
          </w:tcPr>
          <w:p w14:paraId="26FBE211">
            <w:pPr>
              <w:pStyle w:val="179"/>
              <w:rPr>
                <w:rFonts w:eastAsia="Times New Roman"/>
                <w:b/>
              </w:rPr>
            </w:pPr>
          </w:p>
        </w:tc>
        <w:tc>
          <w:tcPr>
            <w:tcW w:w="662" w:type="pct"/>
            <w:vMerge w:val="continue"/>
            <w:noWrap/>
            <w:vAlign w:val="center"/>
          </w:tcPr>
          <w:p w14:paraId="47675B46">
            <w:pPr>
              <w:pStyle w:val="179"/>
              <w:rPr>
                <w:rFonts w:eastAsia="Times New Roman"/>
                <w:b/>
              </w:rPr>
            </w:pPr>
          </w:p>
        </w:tc>
        <w:tc>
          <w:tcPr>
            <w:tcW w:w="448" w:type="pct"/>
            <w:noWrap/>
            <w:vAlign w:val="center"/>
          </w:tcPr>
          <w:p w14:paraId="182CBD6D">
            <w:pPr>
              <w:pStyle w:val="179"/>
              <w:rPr>
                <w:rFonts w:eastAsia="Times New Roman"/>
                <w:b/>
              </w:rPr>
            </w:pPr>
            <w:r>
              <w:rPr>
                <w:rFonts w:eastAsia="Times New Roman"/>
                <w:b/>
              </w:rPr>
              <w:t>63</w:t>
            </w:r>
          </w:p>
        </w:tc>
        <w:tc>
          <w:tcPr>
            <w:tcW w:w="471" w:type="pct"/>
            <w:noWrap/>
            <w:vAlign w:val="center"/>
          </w:tcPr>
          <w:p w14:paraId="06DE2EAA">
            <w:pPr>
              <w:pStyle w:val="179"/>
              <w:rPr>
                <w:rFonts w:eastAsia="Times New Roman"/>
                <w:b/>
              </w:rPr>
            </w:pPr>
            <w:r>
              <w:rPr>
                <w:rFonts w:eastAsia="Times New Roman"/>
                <w:b/>
              </w:rPr>
              <w:t>125</w:t>
            </w:r>
          </w:p>
        </w:tc>
        <w:tc>
          <w:tcPr>
            <w:tcW w:w="471" w:type="pct"/>
            <w:noWrap/>
            <w:vAlign w:val="center"/>
          </w:tcPr>
          <w:p w14:paraId="2D36F957">
            <w:pPr>
              <w:pStyle w:val="179"/>
              <w:rPr>
                <w:rFonts w:eastAsia="Times New Roman"/>
                <w:b/>
              </w:rPr>
            </w:pPr>
            <w:r>
              <w:rPr>
                <w:rFonts w:eastAsia="Times New Roman"/>
                <w:b/>
              </w:rPr>
              <w:t>250</w:t>
            </w:r>
          </w:p>
        </w:tc>
        <w:tc>
          <w:tcPr>
            <w:tcW w:w="471" w:type="pct"/>
            <w:noWrap/>
            <w:vAlign w:val="center"/>
          </w:tcPr>
          <w:p w14:paraId="4CC42F0E">
            <w:pPr>
              <w:pStyle w:val="179"/>
              <w:rPr>
                <w:rFonts w:eastAsia="Times New Roman"/>
                <w:b/>
              </w:rPr>
            </w:pPr>
            <w:r>
              <w:rPr>
                <w:rFonts w:eastAsia="Times New Roman"/>
                <w:b/>
              </w:rPr>
              <w:t>500</w:t>
            </w:r>
          </w:p>
        </w:tc>
        <w:tc>
          <w:tcPr>
            <w:tcW w:w="502" w:type="pct"/>
            <w:noWrap/>
            <w:vAlign w:val="center"/>
          </w:tcPr>
          <w:p w14:paraId="36DCD8AD">
            <w:pPr>
              <w:pStyle w:val="179"/>
              <w:rPr>
                <w:rFonts w:eastAsia="Times New Roman"/>
                <w:b/>
              </w:rPr>
            </w:pPr>
            <w:r>
              <w:rPr>
                <w:rFonts w:eastAsia="Times New Roman"/>
                <w:b/>
              </w:rPr>
              <w:t>1000</w:t>
            </w:r>
          </w:p>
        </w:tc>
        <w:tc>
          <w:tcPr>
            <w:tcW w:w="502" w:type="pct"/>
            <w:noWrap/>
            <w:vAlign w:val="center"/>
          </w:tcPr>
          <w:p w14:paraId="26C6480B">
            <w:pPr>
              <w:pStyle w:val="179"/>
              <w:rPr>
                <w:rFonts w:eastAsia="Times New Roman"/>
                <w:b/>
              </w:rPr>
            </w:pPr>
            <w:r>
              <w:rPr>
                <w:rFonts w:eastAsia="Times New Roman"/>
                <w:b/>
              </w:rPr>
              <w:t>2000</w:t>
            </w:r>
          </w:p>
        </w:tc>
        <w:tc>
          <w:tcPr>
            <w:tcW w:w="502" w:type="pct"/>
            <w:noWrap/>
            <w:vAlign w:val="center"/>
          </w:tcPr>
          <w:p w14:paraId="4E1A94FD">
            <w:pPr>
              <w:pStyle w:val="179"/>
              <w:rPr>
                <w:rFonts w:eastAsia="Times New Roman"/>
                <w:b/>
              </w:rPr>
            </w:pPr>
            <w:r>
              <w:rPr>
                <w:rFonts w:eastAsia="Times New Roman"/>
                <w:b/>
              </w:rPr>
              <w:t>4000</w:t>
            </w:r>
          </w:p>
        </w:tc>
        <w:tc>
          <w:tcPr>
            <w:tcW w:w="464" w:type="pct"/>
            <w:noWrap/>
            <w:vAlign w:val="center"/>
          </w:tcPr>
          <w:p w14:paraId="3A2E52D5">
            <w:pPr>
              <w:pStyle w:val="179"/>
              <w:rPr>
                <w:rFonts w:eastAsia="Times New Roman"/>
                <w:b/>
              </w:rPr>
            </w:pPr>
            <w:r>
              <w:rPr>
                <w:rFonts w:eastAsia="Times New Roman"/>
                <w:b/>
              </w:rPr>
              <w:t>8000</w:t>
            </w:r>
          </w:p>
        </w:tc>
      </w:tr>
      <w:tr w14:paraId="6423A3C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1" w:type="pct"/>
            <w:noWrap/>
            <w:vAlign w:val="center"/>
          </w:tcPr>
          <w:p w14:paraId="0B2111AC">
            <w:pPr>
              <w:pStyle w:val="179"/>
              <w:rPr>
                <w:rFonts w:eastAsia="Times New Roman"/>
              </w:rPr>
            </w:pPr>
            <w:r>
              <w:rPr>
                <w:rFonts w:eastAsia="Times New Roman"/>
              </w:rPr>
              <w:t>10</w:t>
            </w:r>
          </w:p>
        </w:tc>
        <w:tc>
          <w:tcPr>
            <w:tcW w:w="662" w:type="pct"/>
            <w:noWrap/>
            <w:vAlign w:val="center"/>
          </w:tcPr>
          <w:p w14:paraId="5E6A58DC">
            <w:pPr>
              <w:pStyle w:val="179"/>
              <w:rPr>
                <w:rFonts w:eastAsia="Times New Roman"/>
              </w:rPr>
            </w:pPr>
            <w:r>
              <w:rPr>
                <w:rFonts w:eastAsia="Times New Roman"/>
              </w:rPr>
              <w:t>70</w:t>
            </w:r>
          </w:p>
        </w:tc>
        <w:tc>
          <w:tcPr>
            <w:tcW w:w="448" w:type="pct"/>
            <w:noWrap/>
            <w:vAlign w:val="center"/>
          </w:tcPr>
          <w:p w14:paraId="6EA96483">
            <w:pPr>
              <w:pStyle w:val="179"/>
              <w:rPr>
                <w:rFonts w:eastAsia="Times New Roman"/>
              </w:rPr>
            </w:pPr>
            <w:r>
              <w:rPr>
                <w:rFonts w:eastAsia="Times New Roman"/>
              </w:rPr>
              <w:t>0.1</w:t>
            </w:r>
          </w:p>
        </w:tc>
        <w:tc>
          <w:tcPr>
            <w:tcW w:w="471" w:type="pct"/>
            <w:noWrap/>
            <w:vAlign w:val="center"/>
          </w:tcPr>
          <w:p w14:paraId="11659216">
            <w:pPr>
              <w:pStyle w:val="179"/>
              <w:rPr>
                <w:rFonts w:eastAsia="Times New Roman"/>
              </w:rPr>
            </w:pPr>
            <w:r>
              <w:rPr>
                <w:rFonts w:eastAsia="Times New Roman"/>
              </w:rPr>
              <w:t>0.4</w:t>
            </w:r>
          </w:p>
        </w:tc>
        <w:tc>
          <w:tcPr>
            <w:tcW w:w="471" w:type="pct"/>
            <w:noWrap/>
            <w:vAlign w:val="center"/>
          </w:tcPr>
          <w:p w14:paraId="3FF22D04">
            <w:pPr>
              <w:pStyle w:val="179"/>
              <w:rPr>
                <w:rFonts w:eastAsia="Times New Roman"/>
              </w:rPr>
            </w:pPr>
            <w:r>
              <w:rPr>
                <w:rFonts w:eastAsia="Times New Roman"/>
              </w:rPr>
              <w:t>1.0</w:t>
            </w:r>
          </w:p>
        </w:tc>
        <w:tc>
          <w:tcPr>
            <w:tcW w:w="471" w:type="pct"/>
            <w:noWrap/>
            <w:vAlign w:val="center"/>
          </w:tcPr>
          <w:p w14:paraId="7A496CCF">
            <w:pPr>
              <w:pStyle w:val="179"/>
              <w:rPr>
                <w:rFonts w:eastAsia="Times New Roman"/>
              </w:rPr>
            </w:pPr>
            <w:r>
              <w:rPr>
                <w:rFonts w:eastAsia="Times New Roman"/>
              </w:rPr>
              <w:t>1.9</w:t>
            </w:r>
          </w:p>
        </w:tc>
        <w:tc>
          <w:tcPr>
            <w:tcW w:w="502" w:type="pct"/>
            <w:noWrap/>
            <w:vAlign w:val="center"/>
          </w:tcPr>
          <w:p w14:paraId="2A994581">
            <w:pPr>
              <w:pStyle w:val="179"/>
              <w:rPr>
                <w:rFonts w:eastAsia="Times New Roman"/>
              </w:rPr>
            </w:pPr>
            <w:r>
              <w:rPr>
                <w:rFonts w:eastAsia="Times New Roman"/>
              </w:rPr>
              <w:t>3.7</w:t>
            </w:r>
          </w:p>
        </w:tc>
        <w:tc>
          <w:tcPr>
            <w:tcW w:w="502" w:type="pct"/>
            <w:noWrap/>
            <w:vAlign w:val="center"/>
          </w:tcPr>
          <w:p w14:paraId="75D8AB52">
            <w:pPr>
              <w:pStyle w:val="179"/>
              <w:rPr>
                <w:rFonts w:eastAsia="Times New Roman"/>
              </w:rPr>
            </w:pPr>
            <w:r>
              <w:rPr>
                <w:rFonts w:eastAsia="Times New Roman"/>
              </w:rPr>
              <w:t>9.7</w:t>
            </w:r>
          </w:p>
        </w:tc>
        <w:tc>
          <w:tcPr>
            <w:tcW w:w="502" w:type="pct"/>
            <w:noWrap/>
            <w:vAlign w:val="center"/>
          </w:tcPr>
          <w:p w14:paraId="7ACBD41B">
            <w:pPr>
              <w:pStyle w:val="179"/>
              <w:rPr>
                <w:rFonts w:eastAsia="Times New Roman"/>
              </w:rPr>
            </w:pPr>
            <w:r>
              <w:rPr>
                <w:rFonts w:eastAsia="Times New Roman"/>
              </w:rPr>
              <w:t>32.8</w:t>
            </w:r>
          </w:p>
        </w:tc>
        <w:tc>
          <w:tcPr>
            <w:tcW w:w="464" w:type="pct"/>
            <w:noWrap/>
            <w:vAlign w:val="center"/>
          </w:tcPr>
          <w:p w14:paraId="7FE9AD1E">
            <w:pPr>
              <w:pStyle w:val="179"/>
              <w:rPr>
                <w:rFonts w:eastAsia="Times New Roman"/>
              </w:rPr>
            </w:pPr>
            <w:r>
              <w:rPr>
                <w:rFonts w:eastAsia="Times New Roman"/>
              </w:rPr>
              <w:t>117.0</w:t>
            </w:r>
          </w:p>
        </w:tc>
      </w:tr>
      <w:tr w14:paraId="5A5862D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1" w:type="pct"/>
            <w:noWrap/>
            <w:vAlign w:val="center"/>
          </w:tcPr>
          <w:p w14:paraId="4BBF763A">
            <w:pPr>
              <w:pStyle w:val="179"/>
              <w:rPr>
                <w:rFonts w:eastAsia="Times New Roman"/>
              </w:rPr>
            </w:pPr>
            <w:r>
              <w:rPr>
                <w:rFonts w:eastAsia="Times New Roman"/>
              </w:rPr>
              <w:t>20</w:t>
            </w:r>
          </w:p>
        </w:tc>
        <w:tc>
          <w:tcPr>
            <w:tcW w:w="662" w:type="pct"/>
            <w:noWrap/>
            <w:vAlign w:val="center"/>
          </w:tcPr>
          <w:p w14:paraId="35079398">
            <w:pPr>
              <w:pStyle w:val="179"/>
              <w:rPr>
                <w:rFonts w:eastAsia="Times New Roman"/>
              </w:rPr>
            </w:pPr>
            <w:r>
              <w:rPr>
                <w:rFonts w:eastAsia="Times New Roman"/>
              </w:rPr>
              <w:t>70</w:t>
            </w:r>
          </w:p>
        </w:tc>
        <w:tc>
          <w:tcPr>
            <w:tcW w:w="448" w:type="pct"/>
            <w:noWrap/>
            <w:vAlign w:val="center"/>
          </w:tcPr>
          <w:p w14:paraId="5CAE4C54">
            <w:pPr>
              <w:pStyle w:val="179"/>
              <w:rPr>
                <w:rFonts w:eastAsia="Times New Roman"/>
              </w:rPr>
            </w:pPr>
            <w:r>
              <w:rPr>
                <w:rFonts w:eastAsia="Times New Roman"/>
              </w:rPr>
              <w:t>0.1</w:t>
            </w:r>
          </w:p>
        </w:tc>
        <w:tc>
          <w:tcPr>
            <w:tcW w:w="471" w:type="pct"/>
            <w:noWrap/>
            <w:vAlign w:val="center"/>
          </w:tcPr>
          <w:p w14:paraId="1C3D8F69">
            <w:pPr>
              <w:pStyle w:val="179"/>
              <w:rPr>
                <w:rFonts w:eastAsia="Times New Roman"/>
              </w:rPr>
            </w:pPr>
            <w:r>
              <w:rPr>
                <w:rFonts w:eastAsia="Times New Roman"/>
              </w:rPr>
              <w:t>0.3</w:t>
            </w:r>
          </w:p>
        </w:tc>
        <w:tc>
          <w:tcPr>
            <w:tcW w:w="471" w:type="pct"/>
            <w:noWrap/>
            <w:vAlign w:val="center"/>
          </w:tcPr>
          <w:p w14:paraId="143EA5C6">
            <w:pPr>
              <w:pStyle w:val="179"/>
              <w:rPr>
                <w:rFonts w:eastAsia="Times New Roman"/>
              </w:rPr>
            </w:pPr>
            <w:r>
              <w:rPr>
                <w:rFonts w:eastAsia="Times New Roman"/>
              </w:rPr>
              <w:t>1.1</w:t>
            </w:r>
          </w:p>
        </w:tc>
        <w:tc>
          <w:tcPr>
            <w:tcW w:w="471" w:type="pct"/>
            <w:noWrap/>
            <w:vAlign w:val="center"/>
          </w:tcPr>
          <w:p w14:paraId="5A0359DB">
            <w:pPr>
              <w:pStyle w:val="179"/>
              <w:rPr>
                <w:rFonts w:eastAsia="Times New Roman"/>
              </w:rPr>
            </w:pPr>
            <w:r>
              <w:rPr>
                <w:rFonts w:eastAsia="Times New Roman"/>
              </w:rPr>
              <w:t>2.8</w:t>
            </w:r>
          </w:p>
        </w:tc>
        <w:tc>
          <w:tcPr>
            <w:tcW w:w="502" w:type="pct"/>
            <w:noWrap/>
            <w:vAlign w:val="center"/>
          </w:tcPr>
          <w:p w14:paraId="7AFE911B">
            <w:pPr>
              <w:pStyle w:val="179"/>
              <w:rPr>
                <w:rFonts w:eastAsia="Times New Roman"/>
              </w:rPr>
            </w:pPr>
            <w:r>
              <w:rPr>
                <w:rFonts w:eastAsia="Times New Roman"/>
              </w:rPr>
              <w:t>5.0</w:t>
            </w:r>
          </w:p>
        </w:tc>
        <w:tc>
          <w:tcPr>
            <w:tcW w:w="502" w:type="pct"/>
            <w:noWrap/>
            <w:vAlign w:val="center"/>
          </w:tcPr>
          <w:p w14:paraId="23C6A5A3">
            <w:pPr>
              <w:pStyle w:val="179"/>
              <w:rPr>
                <w:rFonts w:eastAsia="Times New Roman"/>
              </w:rPr>
            </w:pPr>
            <w:r>
              <w:rPr>
                <w:rFonts w:eastAsia="Times New Roman"/>
              </w:rPr>
              <w:t>9.0</w:t>
            </w:r>
          </w:p>
        </w:tc>
        <w:tc>
          <w:tcPr>
            <w:tcW w:w="502" w:type="pct"/>
            <w:noWrap/>
            <w:vAlign w:val="center"/>
          </w:tcPr>
          <w:p w14:paraId="0AF0D0CD">
            <w:pPr>
              <w:pStyle w:val="179"/>
              <w:rPr>
                <w:rFonts w:eastAsia="Times New Roman"/>
              </w:rPr>
            </w:pPr>
            <w:r>
              <w:rPr>
                <w:rFonts w:eastAsia="Times New Roman"/>
              </w:rPr>
              <w:t>22.9</w:t>
            </w:r>
          </w:p>
        </w:tc>
        <w:tc>
          <w:tcPr>
            <w:tcW w:w="464" w:type="pct"/>
            <w:noWrap/>
            <w:vAlign w:val="center"/>
          </w:tcPr>
          <w:p w14:paraId="4F6298F6">
            <w:pPr>
              <w:pStyle w:val="179"/>
              <w:rPr>
                <w:rFonts w:eastAsia="Times New Roman"/>
              </w:rPr>
            </w:pPr>
            <w:r>
              <w:rPr>
                <w:rFonts w:eastAsia="Times New Roman"/>
              </w:rPr>
              <w:t>76.6</w:t>
            </w:r>
          </w:p>
        </w:tc>
      </w:tr>
      <w:tr w14:paraId="727A835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1" w:type="pct"/>
            <w:noWrap/>
            <w:vAlign w:val="center"/>
          </w:tcPr>
          <w:p w14:paraId="0ADEAE27">
            <w:pPr>
              <w:pStyle w:val="179"/>
              <w:rPr>
                <w:rFonts w:eastAsia="Times New Roman"/>
              </w:rPr>
            </w:pPr>
            <w:r>
              <w:rPr>
                <w:rFonts w:eastAsia="Times New Roman"/>
              </w:rPr>
              <w:t>30</w:t>
            </w:r>
          </w:p>
        </w:tc>
        <w:tc>
          <w:tcPr>
            <w:tcW w:w="662" w:type="pct"/>
            <w:noWrap/>
            <w:vAlign w:val="center"/>
          </w:tcPr>
          <w:p w14:paraId="08DA44A6">
            <w:pPr>
              <w:pStyle w:val="179"/>
              <w:rPr>
                <w:rFonts w:eastAsia="Times New Roman"/>
              </w:rPr>
            </w:pPr>
            <w:r>
              <w:rPr>
                <w:rFonts w:eastAsia="Times New Roman"/>
              </w:rPr>
              <w:t>70</w:t>
            </w:r>
          </w:p>
        </w:tc>
        <w:tc>
          <w:tcPr>
            <w:tcW w:w="448" w:type="pct"/>
            <w:noWrap/>
            <w:vAlign w:val="center"/>
          </w:tcPr>
          <w:p w14:paraId="3E36DD4C">
            <w:pPr>
              <w:pStyle w:val="179"/>
              <w:rPr>
                <w:rFonts w:eastAsia="Times New Roman"/>
              </w:rPr>
            </w:pPr>
            <w:r>
              <w:rPr>
                <w:rFonts w:eastAsia="Times New Roman"/>
              </w:rPr>
              <w:t>0.1</w:t>
            </w:r>
          </w:p>
        </w:tc>
        <w:tc>
          <w:tcPr>
            <w:tcW w:w="471" w:type="pct"/>
            <w:noWrap/>
            <w:vAlign w:val="center"/>
          </w:tcPr>
          <w:p w14:paraId="62DF1325">
            <w:pPr>
              <w:pStyle w:val="179"/>
              <w:rPr>
                <w:rFonts w:eastAsia="Times New Roman"/>
              </w:rPr>
            </w:pPr>
            <w:r>
              <w:rPr>
                <w:rFonts w:eastAsia="Times New Roman"/>
              </w:rPr>
              <w:t>0.3</w:t>
            </w:r>
          </w:p>
        </w:tc>
        <w:tc>
          <w:tcPr>
            <w:tcW w:w="471" w:type="pct"/>
            <w:noWrap/>
            <w:vAlign w:val="center"/>
          </w:tcPr>
          <w:p w14:paraId="488275B6">
            <w:pPr>
              <w:pStyle w:val="179"/>
              <w:rPr>
                <w:rFonts w:eastAsia="Times New Roman"/>
              </w:rPr>
            </w:pPr>
            <w:r>
              <w:rPr>
                <w:rFonts w:eastAsia="Times New Roman"/>
              </w:rPr>
              <w:t>1.0</w:t>
            </w:r>
          </w:p>
        </w:tc>
        <w:tc>
          <w:tcPr>
            <w:tcW w:w="471" w:type="pct"/>
            <w:noWrap/>
            <w:vAlign w:val="center"/>
          </w:tcPr>
          <w:p w14:paraId="6AE3C767">
            <w:pPr>
              <w:pStyle w:val="179"/>
              <w:rPr>
                <w:rFonts w:eastAsia="Times New Roman"/>
              </w:rPr>
            </w:pPr>
            <w:r>
              <w:rPr>
                <w:rFonts w:eastAsia="Times New Roman"/>
              </w:rPr>
              <w:t>3.1</w:t>
            </w:r>
          </w:p>
        </w:tc>
        <w:tc>
          <w:tcPr>
            <w:tcW w:w="502" w:type="pct"/>
            <w:noWrap/>
            <w:vAlign w:val="center"/>
          </w:tcPr>
          <w:p w14:paraId="135B778F">
            <w:pPr>
              <w:pStyle w:val="179"/>
              <w:rPr>
                <w:rFonts w:eastAsia="Times New Roman"/>
              </w:rPr>
            </w:pPr>
            <w:r>
              <w:rPr>
                <w:rFonts w:eastAsia="Times New Roman"/>
              </w:rPr>
              <w:t>7.4</w:t>
            </w:r>
          </w:p>
        </w:tc>
        <w:tc>
          <w:tcPr>
            <w:tcW w:w="502" w:type="pct"/>
            <w:noWrap/>
            <w:vAlign w:val="center"/>
          </w:tcPr>
          <w:p w14:paraId="6EF927EA">
            <w:pPr>
              <w:pStyle w:val="179"/>
              <w:rPr>
                <w:rFonts w:eastAsia="Times New Roman"/>
              </w:rPr>
            </w:pPr>
            <w:r>
              <w:rPr>
                <w:rFonts w:eastAsia="Times New Roman"/>
              </w:rPr>
              <w:t>12.7</w:t>
            </w:r>
          </w:p>
        </w:tc>
        <w:tc>
          <w:tcPr>
            <w:tcW w:w="502" w:type="pct"/>
            <w:noWrap/>
            <w:vAlign w:val="center"/>
          </w:tcPr>
          <w:p w14:paraId="75AF2A6B">
            <w:pPr>
              <w:pStyle w:val="179"/>
              <w:rPr>
                <w:rFonts w:eastAsia="Times New Roman"/>
              </w:rPr>
            </w:pPr>
            <w:r>
              <w:rPr>
                <w:rFonts w:eastAsia="Times New Roman"/>
              </w:rPr>
              <w:t>23.1</w:t>
            </w:r>
          </w:p>
        </w:tc>
        <w:tc>
          <w:tcPr>
            <w:tcW w:w="464" w:type="pct"/>
            <w:noWrap/>
            <w:vAlign w:val="center"/>
          </w:tcPr>
          <w:p w14:paraId="7BC967C0">
            <w:pPr>
              <w:pStyle w:val="179"/>
              <w:rPr>
                <w:rFonts w:eastAsia="Times New Roman"/>
              </w:rPr>
            </w:pPr>
            <w:r>
              <w:rPr>
                <w:rFonts w:eastAsia="Times New Roman"/>
              </w:rPr>
              <w:t>59.3</w:t>
            </w:r>
          </w:p>
        </w:tc>
      </w:tr>
      <w:tr w14:paraId="212C912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1" w:type="pct"/>
            <w:noWrap/>
            <w:vAlign w:val="center"/>
          </w:tcPr>
          <w:p w14:paraId="735B5F87">
            <w:pPr>
              <w:pStyle w:val="179"/>
              <w:rPr>
                <w:rFonts w:eastAsia="Times New Roman"/>
              </w:rPr>
            </w:pPr>
            <w:r>
              <w:rPr>
                <w:rFonts w:eastAsia="Times New Roman"/>
              </w:rPr>
              <w:t>15</w:t>
            </w:r>
          </w:p>
        </w:tc>
        <w:tc>
          <w:tcPr>
            <w:tcW w:w="662" w:type="pct"/>
            <w:noWrap/>
            <w:vAlign w:val="center"/>
          </w:tcPr>
          <w:p w14:paraId="318FB997">
            <w:pPr>
              <w:pStyle w:val="179"/>
              <w:rPr>
                <w:rFonts w:eastAsia="Times New Roman"/>
              </w:rPr>
            </w:pPr>
            <w:r>
              <w:rPr>
                <w:rFonts w:eastAsia="Times New Roman"/>
              </w:rPr>
              <w:t>20</w:t>
            </w:r>
          </w:p>
        </w:tc>
        <w:tc>
          <w:tcPr>
            <w:tcW w:w="448" w:type="pct"/>
            <w:noWrap/>
            <w:vAlign w:val="center"/>
          </w:tcPr>
          <w:p w14:paraId="739130CF">
            <w:pPr>
              <w:pStyle w:val="179"/>
              <w:rPr>
                <w:rFonts w:eastAsia="Times New Roman"/>
              </w:rPr>
            </w:pPr>
            <w:r>
              <w:rPr>
                <w:rFonts w:eastAsia="Times New Roman"/>
              </w:rPr>
              <w:t>0.3</w:t>
            </w:r>
          </w:p>
        </w:tc>
        <w:tc>
          <w:tcPr>
            <w:tcW w:w="471" w:type="pct"/>
            <w:noWrap/>
            <w:vAlign w:val="center"/>
          </w:tcPr>
          <w:p w14:paraId="430CA5D3">
            <w:pPr>
              <w:pStyle w:val="179"/>
              <w:rPr>
                <w:rFonts w:eastAsia="Times New Roman"/>
              </w:rPr>
            </w:pPr>
            <w:r>
              <w:rPr>
                <w:rFonts w:eastAsia="Times New Roman"/>
              </w:rPr>
              <w:t>0.6</w:t>
            </w:r>
          </w:p>
        </w:tc>
        <w:tc>
          <w:tcPr>
            <w:tcW w:w="471" w:type="pct"/>
            <w:noWrap/>
            <w:vAlign w:val="center"/>
          </w:tcPr>
          <w:p w14:paraId="2190126C">
            <w:pPr>
              <w:pStyle w:val="179"/>
              <w:rPr>
                <w:rFonts w:eastAsia="Times New Roman"/>
              </w:rPr>
            </w:pPr>
            <w:r>
              <w:rPr>
                <w:rFonts w:eastAsia="Times New Roman"/>
              </w:rPr>
              <w:t>1.2</w:t>
            </w:r>
          </w:p>
        </w:tc>
        <w:tc>
          <w:tcPr>
            <w:tcW w:w="471" w:type="pct"/>
            <w:noWrap/>
            <w:vAlign w:val="center"/>
          </w:tcPr>
          <w:p w14:paraId="2DACBD75">
            <w:pPr>
              <w:pStyle w:val="179"/>
              <w:rPr>
                <w:rFonts w:eastAsia="Times New Roman"/>
              </w:rPr>
            </w:pPr>
            <w:r>
              <w:rPr>
                <w:rFonts w:eastAsia="Times New Roman"/>
              </w:rPr>
              <w:t>2.7</w:t>
            </w:r>
          </w:p>
        </w:tc>
        <w:tc>
          <w:tcPr>
            <w:tcW w:w="502" w:type="pct"/>
            <w:noWrap/>
            <w:vAlign w:val="center"/>
          </w:tcPr>
          <w:p w14:paraId="19FE5CAF">
            <w:pPr>
              <w:pStyle w:val="179"/>
              <w:rPr>
                <w:rFonts w:eastAsia="Times New Roman"/>
              </w:rPr>
            </w:pPr>
            <w:r>
              <w:rPr>
                <w:rFonts w:eastAsia="Times New Roman"/>
              </w:rPr>
              <w:t>8.2</w:t>
            </w:r>
          </w:p>
        </w:tc>
        <w:tc>
          <w:tcPr>
            <w:tcW w:w="502" w:type="pct"/>
            <w:noWrap/>
            <w:vAlign w:val="center"/>
          </w:tcPr>
          <w:p w14:paraId="000EAA58">
            <w:pPr>
              <w:pStyle w:val="179"/>
              <w:rPr>
                <w:rFonts w:eastAsia="Times New Roman"/>
              </w:rPr>
            </w:pPr>
            <w:r>
              <w:rPr>
                <w:rFonts w:eastAsia="Times New Roman"/>
              </w:rPr>
              <w:t>28.2</w:t>
            </w:r>
          </w:p>
        </w:tc>
        <w:tc>
          <w:tcPr>
            <w:tcW w:w="502" w:type="pct"/>
            <w:noWrap/>
            <w:vAlign w:val="center"/>
          </w:tcPr>
          <w:p w14:paraId="2C58C517">
            <w:pPr>
              <w:pStyle w:val="179"/>
              <w:rPr>
                <w:rFonts w:eastAsia="Times New Roman"/>
              </w:rPr>
            </w:pPr>
            <w:r>
              <w:rPr>
                <w:rFonts w:eastAsia="Times New Roman"/>
              </w:rPr>
              <w:t>28.8</w:t>
            </w:r>
          </w:p>
        </w:tc>
        <w:tc>
          <w:tcPr>
            <w:tcW w:w="464" w:type="pct"/>
            <w:noWrap/>
            <w:vAlign w:val="center"/>
          </w:tcPr>
          <w:p w14:paraId="0AFDA40B">
            <w:pPr>
              <w:pStyle w:val="179"/>
              <w:rPr>
                <w:rFonts w:eastAsia="Times New Roman"/>
              </w:rPr>
            </w:pPr>
            <w:r>
              <w:rPr>
                <w:rFonts w:eastAsia="Times New Roman"/>
              </w:rPr>
              <w:t>202.0</w:t>
            </w:r>
          </w:p>
        </w:tc>
      </w:tr>
      <w:tr w14:paraId="150800F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1" w:type="pct"/>
            <w:noWrap/>
            <w:vAlign w:val="center"/>
          </w:tcPr>
          <w:p w14:paraId="24C5E98F">
            <w:pPr>
              <w:pStyle w:val="179"/>
              <w:rPr>
                <w:rFonts w:eastAsia="Times New Roman"/>
              </w:rPr>
            </w:pPr>
            <w:r>
              <w:rPr>
                <w:rFonts w:eastAsia="Times New Roman"/>
              </w:rPr>
              <w:t>15</w:t>
            </w:r>
          </w:p>
        </w:tc>
        <w:tc>
          <w:tcPr>
            <w:tcW w:w="662" w:type="pct"/>
            <w:noWrap/>
            <w:vAlign w:val="center"/>
          </w:tcPr>
          <w:p w14:paraId="5E16A7A7">
            <w:pPr>
              <w:pStyle w:val="179"/>
              <w:rPr>
                <w:rFonts w:eastAsia="Times New Roman"/>
              </w:rPr>
            </w:pPr>
            <w:r>
              <w:rPr>
                <w:rFonts w:eastAsia="Times New Roman"/>
              </w:rPr>
              <w:t>50</w:t>
            </w:r>
          </w:p>
        </w:tc>
        <w:tc>
          <w:tcPr>
            <w:tcW w:w="448" w:type="pct"/>
            <w:noWrap/>
            <w:vAlign w:val="center"/>
          </w:tcPr>
          <w:p w14:paraId="713D91B4">
            <w:pPr>
              <w:pStyle w:val="179"/>
              <w:rPr>
                <w:rFonts w:eastAsia="Times New Roman"/>
              </w:rPr>
            </w:pPr>
            <w:r>
              <w:rPr>
                <w:rFonts w:eastAsia="Times New Roman"/>
              </w:rPr>
              <w:t>0.1</w:t>
            </w:r>
          </w:p>
        </w:tc>
        <w:tc>
          <w:tcPr>
            <w:tcW w:w="471" w:type="pct"/>
            <w:noWrap/>
            <w:vAlign w:val="center"/>
          </w:tcPr>
          <w:p w14:paraId="45E43371">
            <w:pPr>
              <w:pStyle w:val="179"/>
              <w:rPr>
                <w:rFonts w:eastAsia="Times New Roman"/>
              </w:rPr>
            </w:pPr>
            <w:r>
              <w:rPr>
                <w:rFonts w:eastAsia="Times New Roman"/>
              </w:rPr>
              <w:t>0.5</w:t>
            </w:r>
          </w:p>
        </w:tc>
        <w:tc>
          <w:tcPr>
            <w:tcW w:w="471" w:type="pct"/>
            <w:noWrap/>
            <w:vAlign w:val="center"/>
          </w:tcPr>
          <w:p w14:paraId="21FC5650">
            <w:pPr>
              <w:pStyle w:val="179"/>
              <w:rPr>
                <w:rFonts w:eastAsia="Times New Roman"/>
              </w:rPr>
            </w:pPr>
            <w:r>
              <w:rPr>
                <w:rFonts w:eastAsia="Times New Roman"/>
              </w:rPr>
              <w:t>1.2</w:t>
            </w:r>
          </w:p>
        </w:tc>
        <w:tc>
          <w:tcPr>
            <w:tcW w:w="471" w:type="pct"/>
            <w:noWrap/>
            <w:vAlign w:val="center"/>
          </w:tcPr>
          <w:p w14:paraId="60A0C0CC">
            <w:pPr>
              <w:pStyle w:val="179"/>
              <w:rPr>
                <w:rFonts w:eastAsia="Times New Roman"/>
              </w:rPr>
            </w:pPr>
            <w:r>
              <w:rPr>
                <w:rFonts w:eastAsia="Times New Roman"/>
              </w:rPr>
              <w:t>2.2</w:t>
            </w:r>
          </w:p>
        </w:tc>
        <w:tc>
          <w:tcPr>
            <w:tcW w:w="502" w:type="pct"/>
            <w:noWrap/>
            <w:vAlign w:val="center"/>
          </w:tcPr>
          <w:p w14:paraId="3EB8CDD1">
            <w:pPr>
              <w:pStyle w:val="179"/>
              <w:rPr>
                <w:rFonts w:eastAsia="Times New Roman"/>
              </w:rPr>
            </w:pPr>
            <w:r>
              <w:rPr>
                <w:rFonts w:eastAsia="Times New Roman"/>
              </w:rPr>
              <w:t>4.2</w:t>
            </w:r>
          </w:p>
        </w:tc>
        <w:tc>
          <w:tcPr>
            <w:tcW w:w="502" w:type="pct"/>
            <w:noWrap/>
            <w:vAlign w:val="center"/>
          </w:tcPr>
          <w:p w14:paraId="7BEB3BC9">
            <w:pPr>
              <w:pStyle w:val="179"/>
              <w:rPr>
                <w:rFonts w:eastAsia="Times New Roman"/>
              </w:rPr>
            </w:pPr>
            <w:r>
              <w:rPr>
                <w:rFonts w:eastAsia="Times New Roman"/>
              </w:rPr>
              <w:t>10.8</w:t>
            </w:r>
          </w:p>
        </w:tc>
        <w:tc>
          <w:tcPr>
            <w:tcW w:w="502" w:type="pct"/>
            <w:noWrap/>
            <w:vAlign w:val="center"/>
          </w:tcPr>
          <w:p w14:paraId="4F986178">
            <w:pPr>
              <w:pStyle w:val="179"/>
              <w:rPr>
                <w:rFonts w:eastAsia="Times New Roman"/>
              </w:rPr>
            </w:pPr>
            <w:r>
              <w:rPr>
                <w:rFonts w:eastAsia="Times New Roman"/>
              </w:rPr>
              <w:t>36.2</w:t>
            </w:r>
          </w:p>
        </w:tc>
        <w:tc>
          <w:tcPr>
            <w:tcW w:w="464" w:type="pct"/>
            <w:noWrap/>
            <w:vAlign w:val="center"/>
          </w:tcPr>
          <w:p w14:paraId="76465A99">
            <w:pPr>
              <w:pStyle w:val="179"/>
              <w:rPr>
                <w:rFonts w:eastAsia="Times New Roman"/>
              </w:rPr>
            </w:pPr>
            <w:r>
              <w:rPr>
                <w:rFonts w:eastAsia="Times New Roman"/>
              </w:rPr>
              <w:t>129.0</w:t>
            </w:r>
          </w:p>
        </w:tc>
      </w:tr>
      <w:tr w14:paraId="451FE4E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1" w:type="pct"/>
            <w:noWrap/>
            <w:vAlign w:val="center"/>
          </w:tcPr>
          <w:p w14:paraId="33FAB8CA">
            <w:pPr>
              <w:pStyle w:val="179"/>
              <w:rPr>
                <w:rFonts w:eastAsia="Times New Roman"/>
              </w:rPr>
            </w:pPr>
            <w:r>
              <w:rPr>
                <w:rFonts w:eastAsia="Times New Roman"/>
              </w:rPr>
              <w:t>15</w:t>
            </w:r>
          </w:p>
        </w:tc>
        <w:tc>
          <w:tcPr>
            <w:tcW w:w="662" w:type="pct"/>
            <w:noWrap/>
            <w:vAlign w:val="center"/>
          </w:tcPr>
          <w:p w14:paraId="68152573">
            <w:pPr>
              <w:pStyle w:val="179"/>
              <w:rPr>
                <w:rFonts w:eastAsia="Times New Roman"/>
              </w:rPr>
            </w:pPr>
            <w:r>
              <w:rPr>
                <w:rFonts w:eastAsia="Times New Roman"/>
              </w:rPr>
              <w:t>80</w:t>
            </w:r>
          </w:p>
        </w:tc>
        <w:tc>
          <w:tcPr>
            <w:tcW w:w="448" w:type="pct"/>
            <w:noWrap/>
            <w:vAlign w:val="center"/>
          </w:tcPr>
          <w:p w14:paraId="36808DCD">
            <w:pPr>
              <w:pStyle w:val="179"/>
              <w:rPr>
                <w:rFonts w:eastAsia="Times New Roman"/>
              </w:rPr>
            </w:pPr>
            <w:r>
              <w:rPr>
                <w:rFonts w:eastAsia="Times New Roman"/>
              </w:rPr>
              <w:t>0.1</w:t>
            </w:r>
          </w:p>
        </w:tc>
        <w:tc>
          <w:tcPr>
            <w:tcW w:w="471" w:type="pct"/>
            <w:noWrap/>
            <w:vAlign w:val="center"/>
          </w:tcPr>
          <w:p w14:paraId="5ABE5964">
            <w:pPr>
              <w:pStyle w:val="179"/>
              <w:rPr>
                <w:rFonts w:eastAsia="Times New Roman"/>
              </w:rPr>
            </w:pPr>
            <w:r>
              <w:rPr>
                <w:rFonts w:eastAsia="Times New Roman"/>
              </w:rPr>
              <w:t>0.3</w:t>
            </w:r>
          </w:p>
        </w:tc>
        <w:tc>
          <w:tcPr>
            <w:tcW w:w="471" w:type="pct"/>
            <w:noWrap/>
            <w:vAlign w:val="center"/>
          </w:tcPr>
          <w:p w14:paraId="743C04A8">
            <w:pPr>
              <w:pStyle w:val="179"/>
              <w:rPr>
                <w:rFonts w:eastAsia="Times New Roman"/>
              </w:rPr>
            </w:pPr>
            <w:r>
              <w:rPr>
                <w:rFonts w:eastAsia="Times New Roman"/>
              </w:rPr>
              <w:t>1.1</w:t>
            </w:r>
          </w:p>
        </w:tc>
        <w:tc>
          <w:tcPr>
            <w:tcW w:w="471" w:type="pct"/>
            <w:noWrap/>
            <w:vAlign w:val="center"/>
          </w:tcPr>
          <w:p w14:paraId="6B96B7EC">
            <w:pPr>
              <w:pStyle w:val="179"/>
              <w:rPr>
                <w:rFonts w:eastAsia="Times New Roman"/>
              </w:rPr>
            </w:pPr>
            <w:r>
              <w:rPr>
                <w:rFonts w:eastAsia="Times New Roman"/>
              </w:rPr>
              <w:t>2.4</w:t>
            </w:r>
          </w:p>
        </w:tc>
        <w:tc>
          <w:tcPr>
            <w:tcW w:w="502" w:type="pct"/>
            <w:noWrap/>
            <w:vAlign w:val="center"/>
          </w:tcPr>
          <w:p w14:paraId="5F5CEA55">
            <w:pPr>
              <w:pStyle w:val="179"/>
              <w:rPr>
                <w:rFonts w:eastAsia="Times New Roman"/>
              </w:rPr>
            </w:pPr>
            <w:r>
              <w:rPr>
                <w:rFonts w:eastAsia="Times New Roman"/>
              </w:rPr>
              <w:t>4.1</w:t>
            </w:r>
          </w:p>
        </w:tc>
        <w:tc>
          <w:tcPr>
            <w:tcW w:w="502" w:type="pct"/>
            <w:noWrap/>
            <w:vAlign w:val="center"/>
          </w:tcPr>
          <w:p w14:paraId="4395DF17">
            <w:pPr>
              <w:pStyle w:val="179"/>
              <w:rPr>
                <w:rFonts w:eastAsia="Times New Roman"/>
              </w:rPr>
            </w:pPr>
            <w:r>
              <w:rPr>
                <w:rFonts w:eastAsia="Times New Roman"/>
              </w:rPr>
              <w:t>8.3</w:t>
            </w:r>
          </w:p>
        </w:tc>
        <w:tc>
          <w:tcPr>
            <w:tcW w:w="502" w:type="pct"/>
            <w:noWrap/>
            <w:vAlign w:val="center"/>
          </w:tcPr>
          <w:p w14:paraId="08764074">
            <w:pPr>
              <w:pStyle w:val="179"/>
              <w:rPr>
                <w:rFonts w:eastAsia="Times New Roman"/>
              </w:rPr>
            </w:pPr>
            <w:r>
              <w:rPr>
                <w:rFonts w:eastAsia="Times New Roman"/>
              </w:rPr>
              <w:t>23.7</w:t>
            </w:r>
          </w:p>
        </w:tc>
        <w:tc>
          <w:tcPr>
            <w:tcW w:w="464" w:type="pct"/>
            <w:noWrap/>
            <w:vAlign w:val="center"/>
          </w:tcPr>
          <w:p w14:paraId="7C46D4F6">
            <w:pPr>
              <w:pStyle w:val="179"/>
              <w:rPr>
                <w:rFonts w:eastAsia="Times New Roman"/>
              </w:rPr>
            </w:pPr>
            <w:r>
              <w:rPr>
                <w:rFonts w:eastAsia="Times New Roman"/>
              </w:rPr>
              <w:t>82.8</w:t>
            </w:r>
          </w:p>
        </w:tc>
      </w:tr>
    </w:tbl>
    <w:p w14:paraId="335A785A">
      <w:pPr>
        <w:spacing w:line="480" w:lineRule="exact"/>
        <w:ind w:firstLine="480"/>
        <w:rPr>
          <w:rFonts w:hAnsi="Times New Roman" w:cs="Times New Roman"/>
        </w:rPr>
      </w:pPr>
      <w:r>
        <w:rPr>
          <w:rFonts w:hint="eastAsia" w:ascii="宋体" w:hAnsi="宋体" w:eastAsia="宋体"/>
        </w:rPr>
        <w:t>（2）</w:t>
      </w:r>
      <w:r>
        <w:rPr>
          <w:rFonts w:hAnsi="Times New Roman" w:cs="Times New Roman"/>
        </w:rPr>
        <w:t>地面效应衰减(Agr)</w:t>
      </w:r>
    </w:p>
    <w:p w14:paraId="5913B72B">
      <w:pPr>
        <w:spacing w:line="480" w:lineRule="exact"/>
        <w:ind w:firstLine="480"/>
        <w:rPr>
          <w:rFonts w:hAnsi="Times New Roman" w:cs="Times New Roman"/>
        </w:rPr>
      </w:pPr>
      <w:r>
        <w:rPr>
          <w:rFonts w:hAnsi="Times New Roman" w:cs="Times New Roman"/>
        </w:rPr>
        <w:t>地面类型可分为：</w:t>
      </w:r>
    </w:p>
    <w:p w14:paraId="6DD65D63">
      <w:pPr>
        <w:spacing w:line="480" w:lineRule="exact"/>
        <w:ind w:firstLine="480"/>
        <w:rPr>
          <w:rFonts w:hAnsi="Times New Roman" w:cs="Times New Roman"/>
        </w:rPr>
      </w:pPr>
      <w:r>
        <w:rPr>
          <w:rFonts w:hAnsi="Times New Roman" w:cs="Times New Roman"/>
        </w:rPr>
        <w:t xml:space="preserve">A、坚实地面，包括铺筑过的路面、水面、冰面以及夯实地面。 </w:t>
      </w:r>
    </w:p>
    <w:p w14:paraId="2E5618CC">
      <w:pPr>
        <w:spacing w:line="480" w:lineRule="exact"/>
        <w:ind w:firstLine="480"/>
        <w:rPr>
          <w:rFonts w:hAnsi="Times New Roman" w:cs="Times New Roman"/>
        </w:rPr>
      </w:pPr>
      <w:r>
        <w:rPr>
          <w:rFonts w:hAnsi="Times New Roman" w:cs="Times New Roman"/>
        </w:rPr>
        <w:t>B、疏松地面，包括被草或其他植物覆盖的地面，以及农田等适合于植物生长的地面。</w:t>
      </w:r>
    </w:p>
    <w:p w14:paraId="6F8D8D13">
      <w:pPr>
        <w:spacing w:line="480" w:lineRule="exact"/>
        <w:ind w:firstLine="480"/>
        <w:rPr>
          <w:rFonts w:hAnsi="Times New Roman" w:cs="Times New Roman"/>
        </w:rPr>
      </w:pPr>
      <w:r>
        <w:rPr>
          <w:rFonts w:hAnsi="Times New Roman" w:cs="Times New Roman"/>
        </w:rPr>
        <w:t>C、混合地面，由坚实地面和疏松地面组成。</w:t>
      </w:r>
    </w:p>
    <w:p w14:paraId="162F0A3F">
      <w:pPr>
        <w:spacing w:line="480" w:lineRule="exact"/>
        <w:ind w:firstLine="480"/>
        <w:rPr>
          <w:rFonts w:hAnsi="Times New Roman" w:cs="Times New Roman"/>
        </w:rPr>
      </w:pPr>
      <w:r>
        <w:rPr>
          <w:rFonts w:hAnsi="Times New Roman" w:cs="Times New Roman"/>
        </w:rPr>
        <w:t>声波掠过疏松地面传播时，或大部分为疏松地面的混合地面，在预测点仅计算A声级前提下，地面效应引起的倍频带衰减可用下列公式计算。</w:t>
      </w:r>
    </w:p>
    <w:p w14:paraId="65A79B1F">
      <w:pPr>
        <w:ind w:firstLine="480"/>
        <w:jc w:val="right"/>
        <w:textAlignment w:val="center"/>
        <w:rPr>
          <w:rFonts w:hAnsi="Times New Roman" w:cs="Times New Roman"/>
        </w:rPr>
      </w:pPr>
      <w:bookmarkStart w:id="440" w:name="_Toc1070"/>
      <w:bookmarkStart w:id="441" w:name="_Toc2094"/>
      <w:r>
        <w:rPr>
          <w:rFonts w:hAnsi="Times New Roman" w:cs="Times New Roman"/>
        </w:rPr>
        <w:drawing>
          <wp:inline distT="0" distB="0" distL="0" distR="0">
            <wp:extent cx="1692275" cy="395605"/>
            <wp:effectExtent l="19050" t="0" r="2852"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noChangeArrowheads="1"/>
                    </pic:cNvPicPr>
                  </pic:nvPicPr>
                  <pic:blipFill>
                    <a:blip r:embed="rId101"/>
                    <a:srcRect/>
                    <a:stretch>
                      <a:fillRect/>
                    </a:stretch>
                  </pic:blipFill>
                  <pic:spPr>
                    <a:xfrm>
                      <a:off x="0" y="0"/>
                      <a:ext cx="1692598" cy="396000"/>
                    </a:xfrm>
                    <a:prstGeom prst="rect">
                      <a:avLst/>
                    </a:prstGeom>
                    <a:noFill/>
                    <a:ln w="9525">
                      <a:noFill/>
                      <a:miter lim="800000"/>
                      <a:headEnd/>
                      <a:tailEnd/>
                    </a:ln>
                  </pic:spPr>
                </pic:pic>
              </a:graphicData>
            </a:graphic>
          </wp:inline>
        </w:drawing>
      </w:r>
      <w:r>
        <w:rPr>
          <w:rFonts w:hAnsi="Times New Roman" w:cs="Times New Roman"/>
        </w:rPr>
        <w:t>………………………（</w:t>
      </w:r>
      <w:r>
        <w:rPr>
          <w:rFonts w:hint="eastAsia" w:hAnsi="Times New Roman" w:cs="Times New Roman"/>
        </w:rPr>
        <w:t>9</w:t>
      </w:r>
      <w:r>
        <w:rPr>
          <w:rFonts w:hAnsi="Times New Roman" w:cs="Times New Roman"/>
        </w:rPr>
        <w:t>）</w:t>
      </w:r>
      <w:bookmarkEnd w:id="440"/>
      <w:bookmarkEnd w:id="441"/>
    </w:p>
    <w:p w14:paraId="6AEBB24C">
      <w:pPr>
        <w:spacing w:line="480" w:lineRule="exact"/>
        <w:ind w:firstLine="480"/>
        <w:rPr>
          <w:rFonts w:hAnsi="Times New Roman" w:cs="Times New Roman"/>
        </w:rPr>
      </w:pPr>
      <w:r>
        <w:rPr>
          <w:rFonts w:hAnsi="Times New Roman" w:cs="Times New Roman"/>
        </w:rPr>
        <w:t>式中：</w:t>
      </w:r>
      <w:r>
        <w:rPr>
          <w:rFonts w:hAnsi="Times New Roman" w:cs="Times New Roman"/>
          <w:i/>
          <w:iCs/>
        </w:rPr>
        <w:t>A</w:t>
      </w:r>
      <w:r>
        <w:rPr>
          <w:rFonts w:hAnsi="Times New Roman" w:cs="Times New Roman"/>
          <w:vertAlign w:val="subscript"/>
        </w:rPr>
        <w:t xml:space="preserve">gr </w:t>
      </w:r>
      <w:r>
        <w:rPr>
          <w:rFonts w:hAnsi="Times New Roman" w:cs="Times New Roman"/>
        </w:rPr>
        <w:t>——地面效应引起的衰减，dB；</w:t>
      </w:r>
    </w:p>
    <w:p w14:paraId="65B96E6F">
      <w:pPr>
        <w:spacing w:line="480" w:lineRule="exact"/>
        <w:ind w:left="1680" w:leftChars="500" w:hanging="480" w:hangingChars="200"/>
        <w:rPr>
          <w:rFonts w:hAnsi="Times New Roman" w:cs="Times New Roman"/>
        </w:rPr>
      </w:pPr>
      <w:r>
        <w:rPr>
          <w:rFonts w:hAnsi="Times New Roman" w:cs="Times New Roman"/>
          <w:i/>
        </w:rPr>
        <w:t>r</w:t>
      </w:r>
      <w:r>
        <w:rPr>
          <w:rFonts w:hAnsi="Times New Roman" w:cs="Times New Roman"/>
        </w:rPr>
        <w:t>——预测点距声源的距离，m；</w:t>
      </w:r>
    </w:p>
    <w:p w14:paraId="448CB2AA">
      <w:pPr>
        <w:spacing w:line="480" w:lineRule="exact"/>
        <w:ind w:left="1920" w:leftChars="500" w:hanging="720" w:hangingChars="300"/>
        <w:rPr>
          <w:rFonts w:hAnsi="Times New Roman" w:cs="Times New Roman"/>
        </w:rPr>
      </w:pPr>
      <w:r>
        <w:rPr>
          <w:rFonts w:hAnsi="Times New Roman" w:cs="Times New Roman"/>
          <w:i/>
        </w:rPr>
        <w:t>h</w:t>
      </w:r>
      <w:r>
        <w:rPr>
          <w:rFonts w:hAnsi="Times New Roman" w:cs="Times New Roman"/>
          <w:vertAlign w:val="subscript"/>
        </w:rPr>
        <w:t>m</w:t>
      </w:r>
      <w:r>
        <w:rPr>
          <w:rFonts w:hAnsi="Times New Roman" w:cs="Times New Roman"/>
        </w:rPr>
        <w:t>——传播路径的平均离地高度，m；</w:t>
      </w:r>
      <w:r>
        <w:rPr>
          <w:rFonts w:hAnsi="Times New Roman" w:cs="Times New Roman"/>
          <w:i/>
        </w:rPr>
        <w:t>h</w:t>
      </w:r>
      <w:r>
        <w:rPr>
          <w:rFonts w:hAnsi="Times New Roman" w:cs="Times New Roman"/>
          <w:vertAlign w:val="subscript"/>
        </w:rPr>
        <w:t>m</w:t>
      </w:r>
      <w:r>
        <w:rPr>
          <w:rFonts w:hAnsi="Times New Roman" w:cs="Times New Roman"/>
          <w:i/>
        </w:rPr>
        <w:t>=F/r</w:t>
      </w:r>
      <w:r>
        <w:rPr>
          <w:rFonts w:hAnsi="Times New Roman" w:cs="Times New Roman"/>
        </w:rPr>
        <w:t>；</w:t>
      </w:r>
      <w:r>
        <w:rPr>
          <w:rFonts w:hAnsi="Times New Roman" w:cs="Times New Roman"/>
          <w:i/>
        </w:rPr>
        <w:t>F</w:t>
      </w:r>
      <w:r>
        <w:rPr>
          <w:rFonts w:hAnsi="Times New Roman" w:cs="Times New Roman"/>
        </w:rPr>
        <w:t>：面积，m</w:t>
      </w:r>
      <w:r>
        <w:rPr>
          <w:rFonts w:hAnsi="Times New Roman" w:cs="Times New Roman"/>
          <w:vertAlign w:val="superscript"/>
        </w:rPr>
        <w:t>2</w:t>
      </w:r>
      <w:r>
        <w:rPr>
          <w:rFonts w:hAnsi="Times New Roman" w:cs="Times New Roman"/>
        </w:rPr>
        <w:t>；r，m；若</w:t>
      </w:r>
      <w:r>
        <w:rPr>
          <w:rFonts w:hAnsi="Times New Roman" w:cs="Times New Roman"/>
          <w:i/>
        </w:rPr>
        <w:t>A</w:t>
      </w:r>
      <w:r>
        <w:rPr>
          <w:rFonts w:hAnsi="Times New Roman" w:cs="Times New Roman"/>
          <w:vertAlign w:val="subscript"/>
        </w:rPr>
        <w:t>gr</w:t>
      </w:r>
      <w:r>
        <w:rPr>
          <w:rFonts w:hAnsi="Times New Roman" w:cs="Times New Roman"/>
        </w:rPr>
        <w:t>计算出负值，则</w:t>
      </w:r>
      <w:r>
        <w:rPr>
          <w:rFonts w:hAnsi="Times New Roman" w:cs="Times New Roman"/>
          <w:i/>
        </w:rPr>
        <w:t>A</w:t>
      </w:r>
      <w:r>
        <w:rPr>
          <w:rFonts w:hAnsi="Times New Roman" w:cs="Times New Roman"/>
          <w:vertAlign w:val="subscript"/>
        </w:rPr>
        <w:t>gr</w:t>
      </w:r>
      <w:r>
        <w:rPr>
          <w:rFonts w:hAnsi="Times New Roman" w:cs="Times New Roman"/>
        </w:rPr>
        <w:t>可用“0”代替。</w:t>
      </w:r>
    </w:p>
    <w:p w14:paraId="57A9C484">
      <w:pPr>
        <w:spacing w:line="480" w:lineRule="exact"/>
        <w:ind w:left="1680" w:leftChars="500" w:hanging="480" w:hangingChars="200"/>
        <w:rPr>
          <w:rFonts w:hAnsi="Times New Roman" w:cs="Times New Roman"/>
        </w:rPr>
      </w:pPr>
      <w:r>
        <w:rPr>
          <w:rFonts w:hAnsi="Times New Roman" w:cs="Times New Roman"/>
        </w:rPr>
        <w:t>其他情况可参照GB/T17247.2进行计算。</w:t>
      </w:r>
    </w:p>
    <w:p w14:paraId="462EB9A2">
      <w:pPr>
        <w:spacing w:line="480" w:lineRule="exact"/>
        <w:ind w:firstLine="480"/>
        <w:rPr>
          <w:rFonts w:hAnsi="Times New Roman" w:cs="Times New Roman"/>
        </w:rPr>
      </w:pPr>
      <w:r>
        <w:rPr>
          <w:rFonts w:hint="eastAsia" w:ascii="宋体" w:hAnsi="宋体" w:eastAsia="宋体"/>
        </w:rPr>
        <w:t>（3）</w:t>
      </w:r>
      <w:r>
        <w:rPr>
          <w:rFonts w:hAnsi="Times New Roman" w:cs="Times New Roman"/>
        </w:rPr>
        <w:t>屏障引起的衰减(</w:t>
      </w:r>
      <w:r>
        <w:rPr>
          <w:rFonts w:hAnsi="Times New Roman" w:cs="Times New Roman"/>
          <w:i/>
        </w:rPr>
        <w:t>A</w:t>
      </w:r>
      <w:r>
        <w:rPr>
          <w:rFonts w:hAnsi="Times New Roman" w:cs="Times New Roman"/>
          <w:vertAlign w:val="subscript"/>
        </w:rPr>
        <w:t>bar</w:t>
      </w:r>
      <w:r>
        <w:rPr>
          <w:rFonts w:hAnsi="Times New Roman" w:cs="Times New Roman"/>
        </w:rPr>
        <w:t>)</w:t>
      </w:r>
    </w:p>
    <w:p w14:paraId="43D1BA90">
      <w:pPr>
        <w:spacing w:line="480" w:lineRule="exact"/>
        <w:ind w:firstLine="480"/>
        <w:rPr>
          <w:rFonts w:hAnsi="Times New Roman" w:cs="Times New Roman"/>
        </w:rPr>
      </w:pPr>
      <w:r>
        <w:rPr>
          <w:rFonts w:hAnsi="Times New Roman" w:cs="Times New Roman"/>
        </w:rPr>
        <w:t>位于声源和预测点之间的实体障碍物，如围墙、建筑物、土坡或地堑等起声屏障作用，从而引起声能量的较大衰减。在环境影响评价中，可将各种形式的屏障简化为具有一定高度的薄屏障。</w:t>
      </w:r>
    </w:p>
    <w:p w14:paraId="30802945">
      <w:pPr>
        <w:spacing w:line="480" w:lineRule="exact"/>
        <w:ind w:firstLine="480"/>
        <w:rPr>
          <w:rFonts w:hAnsi="Times New Roman" w:cs="Times New Roman"/>
        </w:rPr>
      </w:pPr>
      <w:r>
        <w:rPr>
          <w:rFonts w:hAnsi="Times New Roman" w:cs="Times New Roman"/>
        </w:rPr>
        <w:t>S、O、P三点在同一平面内且垂直于地面。</w:t>
      </w:r>
    </w:p>
    <w:p w14:paraId="114CFD3B">
      <w:pPr>
        <w:spacing w:line="480" w:lineRule="exact"/>
        <w:ind w:firstLine="480"/>
        <w:rPr>
          <w:rFonts w:hAnsi="Times New Roman" w:cs="Times New Roman"/>
        </w:rPr>
      </w:pPr>
      <w:r>
        <w:rPr>
          <w:rFonts w:hAnsi="Times New Roman" w:cs="Times New Roman"/>
        </w:rPr>
        <w:t>定义δ=SO＋OP－SP为声程差，N=2δ/λ为菲涅尔数，其中λ为声波波长。</w:t>
      </w:r>
    </w:p>
    <w:p w14:paraId="31FF56CD">
      <w:pPr>
        <w:spacing w:line="480" w:lineRule="exact"/>
        <w:ind w:firstLine="480"/>
        <w:rPr>
          <w:rFonts w:hAnsi="Times New Roman" w:cs="Times New Roman"/>
        </w:rPr>
      </w:pPr>
      <w:r>
        <w:rPr>
          <w:rFonts w:hAnsi="Times New Roman" w:cs="Times New Roman"/>
        </w:rPr>
        <w:t>在噪声预测中，声屏障插入损失的计算方法应需要根据实际情况作简化处理。</w:t>
      </w:r>
    </w:p>
    <w:p w14:paraId="5268913E">
      <w:pPr>
        <w:spacing w:line="480" w:lineRule="exact"/>
        <w:ind w:firstLine="480"/>
        <w:rPr>
          <w:rFonts w:hAnsi="Times New Roman" w:cs="Times New Roman"/>
        </w:rPr>
      </w:pPr>
      <w:bookmarkStart w:id="442" w:name="_Toc26353"/>
      <w:bookmarkStart w:id="443" w:name="_Toc20959"/>
      <w:r>
        <w:rPr>
          <w:rFonts w:hAnsi="Times New Roman" w:cs="Times New Roman"/>
        </w:rPr>
        <w:t>A、有限长薄屏障在点声源声场中引起的衰减计算</w:t>
      </w:r>
      <w:bookmarkEnd w:id="442"/>
      <w:bookmarkEnd w:id="443"/>
    </w:p>
    <w:p w14:paraId="1A445264">
      <w:pPr>
        <w:spacing w:line="480" w:lineRule="exact"/>
        <w:ind w:firstLine="480"/>
        <w:rPr>
          <w:rFonts w:hAnsi="Times New Roman" w:cs="Times New Roman"/>
        </w:rPr>
      </w:pPr>
      <w:r>
        <w:rPr>
          <w:rFonts w:hAnsi="Times New Roman" w:cs="Times New Roman"/>
        </w:rPr>
        <w:t>首先计算三个传播途径的声程差δ1、δ2、δ3和相应的菲涅尔数N1、N2、N3；声屏障引起的衰减公式为：</w:t>
      </w:r>
    </w:p>
    <w:p w14:paraId="1EA4CA90">
      <w:pPr>
        <w:spacing w:afterLines="100"/>
        <w:ind w:firstLine="480"/>
        <w:jc w:val="right"/>
        <w:rPr>
          <w:rFonts w:hAnsi="Times New Roman" w:cs="Times New Roman"/>
        </w:rPr>
      </w:pPr>
      <w:r>
        <w:rPr>
          <w:position w:val="-32"/>
        </w:rPr>
        <w:object>
          <v:shape id="_x0000_i1029" o:spt="75" type="#_x0000_t75" style="height:37.7pt;width:197.15pt;" o:ole="t" fillcolor="#000005" filled="f" o:preferrelative="t" stroked="f" coordsize="21600,21600">
            <v:path/>
            <v:fill on="f" focussize="0,0"/>
            <v:stroke on="f" joinstyle="miter"/>
            <v:imagedata r:id="rId103" o:title=""/>
            <o:lock v:ext="edit" aspectratio="t"/>
            <w10:wrap type="none"/>
            <w10:anchorlock/>
          </v:shape>
          <o:OLEObject Type="Embed" ProgID="Equation.3" ShapeID="_x0000_i1029" DrawAspect="Content" ObjectID="_1468075729" r:id="rId102">
            <o:LockedField>false</o:LockedField>
          </o:OLEObject>
        </w:object>
      </w:r>
      <w:r>
        <w:rPr>
          <w:rFonts w:hAnsi="Times New Roman" w:cs="Times New Roman"/>
        </w:rPr>
        <w:t>……………（1</w:t>
      </w:r>
      <w:r>
        <w:rPr>
          <w:rFonts w:hint="eastAsia" w:hAnsi="Times New Roman" w:cs="Times New Roman"/>
        </w:rPr>
        <w:t>0</w:t>
      </w:r>
      <w:r>
        <w:rPr>
          <w:rFonts w:hAnsi="Times New Roman" w:cs="Times New Roman"/>
        </w:rPr>
        <w:t>）</w:t>
      </w:r>
    </w:p>
    <w:p w14:paraId="48B6942E">
      <w:pPr>
        <w:ind w:firstLine="480"/>
        <w:rPr>
          <w:rFonts w:hAnsi="Times New Roman" w:cs="Times New Roman"/>
        </w:rPr>
      </w:pPr>
      <w:bookmarkStart w:id="444" w:name="_Toc16443"/>
      <w:bookmarkStart w:id="445" w:name="_Toc14662"/>
      <w:r>
        <w:rPr>
          <w:rFonts w:hAnsi="Times New Roman" w:cs="Times New Roman"/>
        </w:rPr>
        <w:t>式中：</w:t>
      </w:r>
      <w:r>
        <w:rPr>
          <w:rFonts w:hAnsi="Times New Roman" w:cs="Times New Roman"/>
          <w:i/>
          <w:iCs/>
        </w:rPr>
        <w:t>A</w:t>
      </w:r>
      <w:r>
        <w:rPr>
          <w:rFonts w:hAnsi="Times New Roman" w:cs="Times New Roman"/>
          <w:vertAlign w:val="subscript"/>
        </w:rPr>
        <w:t>bar</w:t>
      </w:r>
      <w:r>
        <w:rPr>
          <w:rFonts w:hAnsi="Times New Roman" w:cs="Times New Roman"/>
        </w:rPr>
        <w:t xml:space="preserve"> ——障碍物屏蔽引起的衰减，dB；</w:t>
      </w:r>
    </w:p>
    <w:p w14:paraId="6080BCF3">
      <w:pPr>
        <w:ind w:left="1920" w:leftChars="500" w:hanging="720" w:hangingChars="300"/>
        <w:rPr>
          <w:rFonts w:hAnsi="Times New Roman" w:cs="Times New Roman"/>
        </w:rPr>
      </w:pPr>
      <w:r>
        <w:rPr>
          <w:rFonts w:hAnsi="Times New Roman" w:cs="Times New Roman"/>
          <w:i/>
          <w:iCs/>
        </w:rPr>
        <w:t>N</w:t>
      </w:r>
      <w:r>
        <w:rPr>
          <w:rFonts w:hAnsi="Times New Roman" w:cs="Times New Roman"/>
        </w:rPr>
        <w:t>1、</w:t>
      </w:r>
      <w:r>
        <w:rPr>
          <w:rFonts w:hAnsi="Times New Roman" w:cs="Times New Roman"/>
          <w:i/>
          <w:iCs/>
        </w:rPr>
        <w:t>N</w:t>
      </w:r>
      <w:r>
        <w:rPr>
          <w:rFonts w:hAnsi="Times New Roman" w:cs="Times New Roman"/>
        </w:rPr>
        <w:t>2、</w:t>
      </w:r>
      <w:r>
        <w:rPr>
          <w:rFonts w:hAnsi="Times New Roman" w:cs="Times New Roman"/>
          <w:i/>
          <w:iCs/>
        </w:rPr>
        <w:t>N</w:t>
      </w:r>
      <w:r>
        <w:rPr>
          <w:rFonts w:hAnsi="Times New Roman" w:cs="Times New Roman"/>
        </w:rPr>
        <w:t>3——图A.6所示三个传播途径的声程差</w:t>
      </w:r>
      <w:r>
        <w:rPr>
          <w:rFonts w:hAnsi="Times New Roman" w:cs="Times New Roman"/>
          <w:i/>
          <w:iCs/>
        </w:rPr>
        <w:t>δ</w:t>
      </w:r>
      <w:r>
        <w:rPr>
          <w:rFonts w:hAnsi="Times New Roman" w:cs="Times New Roman"/>
        </w:rPr>
        <w:t>1，</w:t>
      </w:r>
      <w:r>
        <w:rPr>
          <w:rFonts w:hAnsi="Times New Roman" w:cs="Times New Roman"/>
          <w:i/>
          <w:iCs/>
        </w:rPr>
        <w:t>δ</w:t>
      </w:r>
      <w:r>
        <w:rPr>
          <w:rFonts w:hAnsi="Times New Roman" w:cs="Times New Roman"/>
        </w:rPr>
        <w:t>2，</w:t>
      </w:r>
      <w:r>
        <w:rPr>
          <w:rFonts w:hAnsi="Times New Roman" w:cs="Times New Roman"/>
          <w:i/>
          <w:iCs/>
        </w:rPr>
        <w:t>δ</w:t>
      </w:r>
      <w:r>
        <w:rPr>
          <w:rFonts w:hAnsi="Times New Roman" w:cs="Times New Roman"/>
        </w:rPr>
        <w:t>3相应的菲涅尔数。</w:t>
      </w:r>
    </w:p>
    <w:p w14:paraId="359C641A">
      <w:pPr>
        <w:ind w:firstLine="480"/>
        <w:rPr>
          <w:rFonts w:hAnsi="Times New Roman" w:cs="Times New Roman"/>
        </w:rPr>
      </w:pPr>
      <w:r>
        <w:rPr>
          <w:rFonts w:hAnsi="Times New Roman" w:cs="Times New Roman"/>
        </w:rPr>
        <w:t>当屏障很长（作无限长处理）时，仅可考虑顶端绕射衰减，按式（</w:t>
      </w:r>
      <w:r>
        <w:rPr>
          <w:rFonts w:hint="eastAsia" w:hAnsi="Times New Roman" w:cs="Times New Roman"/>
        </w:rPr>
        <w:t>11</w:t>
      </w:r>
      <w:r>
        <w:rPr>
          <w:rFonts w:hAnsi="Times New Roman" w:cs="Times New Roman"/>
        </w:rPr>
        <w:t>）进行计算。</w:t>
      </w:r>
    </w:p>
    <w:p w14:paraId="1760A7F7">
      <w:pPr>
        <w:spacing w:line="240" w:lineRule="auto"/>
        <w:ind w:firstLine="480"/>
        <w:jc w:val="right"/>
        <w:textAlignment w:val="center"/>
        <w:rPr>
          <w:rFonts w:hAnsi="Times New Roman" w:cs="Times New Roman"/>
        </w:rPr>
      </w:pPr>
      <w:r>
        <w:rPr>
          <w:rFonts w:hAnsi="Times New Roman" w:cs="Times New Roman"/>
        </w:rPr>
        <w:drawing>
          <wp:inline distT="0" distB="0" distL="0" distR="0">
            <wp:extent cx="1410970" cy="467995"/>
            <wp:effectExtent l="19050" t="0" r="0" b="0"/>
            <wp:docPr id="15"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90"/>
                    <pic:cNvPicPr>
                      <a:picLocks noChangeAspect="1" noChangeArrowheads="1"/>
                    </pic:cNvPicPr>
                  </pic:nvPicPr>
                  <pic:blipFill>
                    <a:blip r:embed="rId104"/>
                    <a:srcRect/>
                    <a:stretch>
                      <a:fillRect/>
                    </a:stretch>
                  </pic:blipFill>
                  <pic:spPr>
                    <a:xfrm>
                      <a:off x="0" y="0"/>
                      <a:ext cx="1411547" cy="468000"/>
                    </a:xfrm>
                    <a:prstGeom prst="rect">
                      <a:avLst/>
                    </a:prstGeom>
                    <a:noFill/>
                    <a:ln w="9525">
                      <a:noFill/>
                      <a:miter lim="800000"/>
                      <a:headEnd/>
                      <a:tailEnd/>
                    </a:ln>
                  </pic:spPr>
                </pic:pic>
              </a:graphicData>
            </a:graphic>
          </wp:inline>
        </w:drawing>
      </w:r>
      <w:r>
        <w:rPr>
          <w:rFonts w:hAnsi="Times New Roman" w:cs="Times New Roman"/>
        </w:rPr>
        <w:t>…………………………（</w:t>
      </w:r>
      <w:r>
        <w:rPr>
          <w:rFonts w:hint="eastAsia" w:hAnsi="Times New Roman" w:cs="Times New Roman"/>
        </w:rPr>
        <w:t>11</w:t>
      </w:r>
      <w:r>
        <w:rPr>
          <w:rFonts w:hAnsi="Times New Roman" w:cs="Times New Roman"/>
        </w:rPr>
        <w:t>）</w:t>
      </w:r>
    </w:p>
    <w:p w14:paraId="2C635060">
      <w:pPr>
        <w:ind w:firstLine="480"/>
        <w:rPr>
          <w:rFonts w:hAnsi="Times New Roman" w:cs="Times New Roman"/>
        </w:rPr>
      </w:pPr>
      <w:r>
        <w:rPr>
          <w:rFonts w:hAnsi="Times New Roman" w:cs="Times New Roman"/>
        </w:rPr>
        <w:t>式中：</w:t>
      </w:r>
      <w:r>
        <w:rPr>
          <w:rFonts w:hAnsi="Times New Roman" w:cs="Times New Roman"/>
          <w:i/>
          <w:iCs/>
        </w:rPr>
        <w:t>A</w:t>
      </w:r>
      <w:r>
        <w:rPr>
          <w:rFonts w:hAnsi="Times New Roman" w:cs="Times New Roman"/>
          <w:vertAlign w:val="subscript"/>
        </w:rPr>
        <w:t>bar</w:t>
      </w:r>
      <w:r>
        <w:rPr>
          <w:rFonts w:hAnsi="Times New Roman" w:cs="Times New Roman"/>
        </w:rPr>
        <w:t xml:space="preserve"> ——障碍物屏蔽引起的衰减，dB；</w:t>
      </w:r>
    </w:p>
    <w:p w14:paraId="7032D99F">
      <w:pPr>
        <w:ind w:left="1920" w:leftChars="500" w:hanging="720" w:hangingChars="300"/>
        <w:rPr>
          <w:rFonts w:hAnsi="Times New Roman" w:cs="Times New Roman"/>
        </w:rPr>
      </w:pPr>
      <w:r>
        <w:rPr>
          <w:rFonts w:hAnsi="Times New Roman" w:cs="Times New Roman"/>
          <w:i/>
          <w:iCs/>
        </w:rPr>
        <w:t>N</w:t>
      </w:r>
      <w:r>
        <w:rPr>
          <w:rFonts w:hAnsi="Times New Roman" w:cs="Times New Roman"/>
          <w:vertAlign w:val="subscript"/>
        </w:rPr>
        <w:t>1</w:t>
      </w:r>
      <w:r>
        <w:rPr>
          <w:rFonts w:hAnsi="Times New Roman" w:cs="Times New Roman"/>
        </w:rPr>
        <w:t>——顶端绕射的声程差</w:t>
      </w:r>
      <w:r>
        <w:rPr>
          <w:rFonts w:hAnsi="Times New Roman" w:cs="Times New Roman"/>
          <w:i/>
          <w:iCs/>
        </w:rPr>
        <w:t>δ</w:t>
      </w:r>
      <w:r>
        <w:rPr>
          <w:rFonts w:hAnsi="Times New Roman" w:cs="Times New Roman"/>
          <w:vertAlign w:val="subscript"/>
        </w:rPr>
        <w:t>1</w:t>
      </w:r>
      <w:r>
        <w:rPr>
          <w:rFonts w:hAnsi="Times New Roman" w:cs="Times New Roman"/>
        </w:rPr>
        <w:t>相应的菲涅尔数。</w:t>
      </w:r>
    </w:p>
    <w:p w14:paraId="7A9EBF2E">
      <w:pPr>
        <w:ind w:firstLine="480"/>
        <w:rPr>
          <w:rFonts w:hAnsi="Times New Roman" w:cs="Times New Roman"/>
        </w:rPr>
      </w:pPr>
      <w:r>
        <w:rPr>
          <w:rFonts w:hAnsi="Times New Roman" w:cs="Times New Roman"/>
        </w:rPr>
        <w:t>B、双绕射计算</w:t>
      </w:r>
      <w:bookmarkEnd w:id="444"/>
      <w:bookmarkEnd w:id="445"/>
    </w:p>
    <w:p w14:paraId="47D6135E">
      <w:pPr>
        <w:ind w:firstLine="480"/>
        <w:rPr>
          <w:rFonts w:hAnsi="Times New Roman" w:cs="Times New Roman"/>
        </w:rPr>
      </w:pPr>
      <w:r>
        <w:rPr>
          <w:rFonts w:hAnsi="Times New Roman" w:cs="Times New Roman"/>
        </w:rPr>
        <w:t>对于双绕射情景，可由下列公式计算绕射声与直达声之间的声程差δ：</w:t>
      </w:r>
    </w:p>
    <w:p w14:paraId="06314B07">
      <w:pPr>
        <w:ind w:firstLine="480"/>
        <w:jc w:val="right"/>
        <w:textAlignment w:val="center"/>
        <w:rPr>
          <w:rFonts w:hAnsi="Times New Roman" w:cs="Times New Roman"/>
        </w:rPr>
      </w:pPr>
      <m:oMath>
        <m:r>
          <m:rPr>
            <m:sty m:val="p"/>
          </m:rPr>
          <w:rPr>
            <w:rFonts w:ascii="Cambria Math" w:hAnsi="Cambria Math" w:cs="Times New Roman"/>
          </w:rPr>
          <m:t>δ</m:t>
        </m:r>
        <m:r>
          <m:rPr/>
          <w:rPr>
            <w:rFonts w:ascii="Cambria Math" w:hAnsi="Cambria Math" w:cs="Times New Roman"/>
          </w:rPr>
          <m:t>=</m:t>
        </m:r>
        <m:sSup>
          <m:sSupPr>
            <m:ctrlPr>
              <w:rPr>
                <w:rFonts w:ascii="Cambria Math" w:hAnsi="Cambria Math" w:cs="Times New Roman"/>
                <w:i/>
              </w:rPr>
            </m:ctrlPr>
          </m:sSupPr>
          <m:e>
            <m:d>
              <m:dPr>
                <m:begChr m:val="["/>
                <m:endChr m:val="]"/>
                <m:ctrlPr>
                  <w:rPr>
                    <w:rFonts w:ascii="Cambria Math" w:hAnsi="Cambria Math" w:cs="Times New Roman"/>
                    <w:i/>
                  </w:rPr>
                </m:ctrlPr>
              </m:dPr>
              <m:e>
                <m:sSup>
                  <m:sSupPr>
                    <m:ctrlPr>
                      <w:rPr>
                        <w:rFonts w:ascii="Cambria Math" w:hAnsi="Cambria Math" w:cs="Times New Roman"/>
                        <w:i/>
                      </w:rPr>
                    </m:ctrlPr>
                  </m:sSupPr>
                  <m:e>
                    <m:d>
                      <m:dPr>
                        <m:ctrlPr>
                          <w:rPr>
                            <w:rFonts w:ascii="Cambria Math" w:hAnsi="Cambria Math" w:cs="Times New Roman"/>
                            <w:i/>
                          </w:rPr>
                        </m:ctrlPr>
                      </m:dPr>
                      <m:e>
                        <m:sSub>
                          <m:sSubPr>
                            <m:ctrlPr>
                              <w:rPr>
                                <w:rFonts w:ascii="Cambria Math" w:hAnsi="Cambria Math" w:cs="Times New Roman"/>
                                <w:i/>
                              </w:rPr>
                            </m:ctrlPr>
                          </m:sSubPr>
                          <m:e>
                            <m:r>
                              <m:rPr/>
                              <w:rPr>
                                <w:rFonts w:ascii="Cambria Math" w:hAnsi="Cambria Math" w:cs="Times New Roman"/>
                              </w:rPr>
                              <m:t>d</m:t>
                            </m:r>
                            <m:ctrlPr>
                              <w:rPr>
                                <w:rFonts w:ascii="Cambria Math" w:hAnsi="Cambria Math" w:cs="Times New Roman"/>
                                <w:i/>
                              </w:rPr>
                            </m:ctrlPr>
                          </m:e>
                          <m:sub>
                            <m:r>
                              <m:rPr/>
                              <w:rPr>
                                <w:rFonts w:ascii="Cambria Math" w:hAnsi="Cambria Math" w:cs="Times New Roman"/>
                              </w:rPr>
                              <m:t>ss</m:t>
                            </m:r>
                            <m:ctrlPr>
                              <w:rPr>
                                <w:rFonts w:ascii="Cambria Math" w:hAnsi="Cambria Math" w:cs="Times New Roman"/>
                                <w:i/>
                              </w:rPr>
                            </m:ctrlPr>
                          </m:sub>
                        </m:sSub>
                        <m:r>
                          <m:rPr/>
                          <w:rPr>
                            <w:rFonts w:ascii="Cambria Math" w:hAnsi="Cambria Math" w:cs="Times New Roman"/>
                          </w:rPr>
                          <m:t>+</m:t>
                        </m:r>
                        <m:sSub>
                          <m:sSubPr>
                            <m:ctrlPr>
                              <w:rPr>
                                <w:rFonts w:ascii="Cambria Math" w:hAnsi="Cambria Math" w:cs="Times New Roman"/>
                                <w:i/>
                              </w:rPr>
                            </m:ctrlPr>
                          </m:sSubPr>
                          <m:e>
                            <m:r>
                              <m:rPr/>
                              <w:rPr>
                                <w:rFonts w:ascii="Cambria Math" w:hAnsi="Cambria Math" w:cs="Times New Roman"/>
                              </w:rPr>
                              <m:t>d</m:t>
                            </m:r>
                            <m:ctrlPr>
                              <w:rPr>
                                <w:rFonts w:ascii="Cambria Math" w:hAnsi="Cambria Math" w:cs="Times New Roman"/>
                                <w:i/>
                              </w:rPr>
                            </m:ctrlPr>
                          </m:e>
                          <m:sub>
                            <m:r>
                              <m:rPr/>
                              <w:rPr>
                                <w:rFonts w:ascii="Cambria Math" w:hAnsi="Cambria Math" w:cs="Times New Roman"/>
                              </w:rPr>
                              <m:t>sr</m:t>
                            </m:r>
                            <m:ctrlPr>
                              <w:rPr>
                                <w:rFonts w:ascii="Cambria Math" w:hAnsi="Cambria Math" w:cs="Times New Roman"/>
                                <w:i/>
                              </w:rPr>
                            </m:ctrlPr>
                          </m:sub>
                        </m:sSub>
                        <m:r>
                          <m:rPr/>
                          <w:rPr>
                            <w:rFonts w:ascii="Cambria Math" w:hAnsi="Cambria Math" w:cs="Times New Roman"/>
                          </w:rPr>
                          <m:t>+e</m:t>
                        </m:r>
                        <m:ctrlPr>
                          <w:rPr>
                            <w:rFonts w:ascii="Cambria Math" w:hAnsi="Cambria Math" w:cs="Times New Roman"/>
                            <w:i/>
                          </w:rPr>
                        </m:ctrlPr>
                      </m:e>
                    </m:d>
                    <m:ctrlPr>
                      <w:rPr>
                        <w:rFonts w:ascii="Cambria Math" w:hAnsi="Cambria Math" w:cs="Times New Roman"/>
                        <w:i/>
                      </w:rPr>
                    </m:ctrlPr>
                  </m:e>
                  <m:sup>
                    <m:r>
                      <m:rPr/>
                      <w:rPr>
                        <w:rFonts w:ascii="Cambria Math" w:hAnsi="Cambria Math" w:cs="Times New Roman"/>
                      </w:rPr>
                      <m:t>2</m:t>
                    </m:r>
                    <m:ctrlPr>
                      <w:rPr>
                        <w:rFonts w:ascii="Cambria Math" w:hAnsi="Cambria Math" w:cs="Times New Roman"/>
                        <w:i/>
                      </w:rPr>
                    </m:ctrlPr>
                  </m:sup>
                </m:sSup>
                <m:r>
                  <m:rPr/>
                  <w:rPr>
                    <w:rFonts w:ascii="Cambria Math" w:hAnsi="Cambria Math" w:cs="Times New Roman"/>
                  </w:rPr>
                  <m:t>+</m:t>
                </m:r>
                <m:sSup>
                  <m:sSupPr>
                    <m:ctrlPr>
                      <w:rPr>
                        <w:rFonts w:ascii="Cambria Math" w:hAnsi="Cambria Math" w:cs="Times New Roman"/>
                        <w:i/>
                      </w:rPr>
                    </m:ctrlPr>
                  </m:sSupPr>
                  <m:e>
                    <m:r>
                      <m:rPr/>
                      <w:rPr>
                        <w:rFonts w:ascii="Cambria Math" w:hAnsi="Cambria Math" w:cs="Times New Roman"/>
                      </w:rPr>
                      <m:t>a</m:t>
                    </m:r>
                    <m:ctrlPr>
                      <w:rPr>
                        <w:rFonts w:ascii="Cambria Math" w:hAnsi="Cambria Math" w:cs="Times New Roman"/>
                        <w:i/>
                      </w:rPr>
                    </m:ctrlPr>
                  </m:e>
                  <m:sup>
                    <m:r>
                      <m:rPr/>
                      <w:rPr>
                        <w:rFonts w:ascii="Cambria Math" w:hAnsi="Cambria Math" w:cs="Times New Roman"/>
                      </w:rPr>
                      <m:t>2</m:t>
                    </m:r>
                    <m:ctrlPr>
                      <w:rPr>
                        <w:rFonts w:ascii="Cambria Math" w:hAnsi="Cambria Math" w:cs="Times New Roman"/>
                        <w:i/>
                      </w:rPr>
                    </m:ctrlPr>
                  </m:sup>
                </m:sSup>
                <m:ctrlPr>
                  <w:rPr>
                    <w:rFonts w:ascii="Cambria Math" w:hAnsi="Cambria Math" w:cs="Times New Roman"/>
                    <w:i/>
                  </w:rPr>
                </m:ctrlPr>
              </m:e>
            </m:d>
            <m:ctrlPr>
              <w:rPr>
                <w:rFonts w:ascii="Cambria Math" w:hAnsi="Cambria Math" w:cs="Times New Roman"/>
                <w:i/>
              </w:rPr>
            </m:ctrlPr>
          </m:e>
          <m:sup>
            <m:f>
              <m:fPr>
                <m:ctrlPr>
                  <w:rPr>
                    <w:rFonts w:ascii="Cambria Math" w:hAnsi="Cambria Math" w:cs="Times New Roman"/>
                    <w:i/>
                  </w:rPr>
                </m:ctrlPr>
              </m:fPr>
              <m:num>
                <m:r>
                  <m:rPr/>
                  <w:rPr>
                    <w:rFonts w:ascii="Cambria Math" w:hAnsi="Cambria Math" w:cs="Times New Roman"/>
                  </w:rPr>
                  <m:t>1</m:t>
                </m:r>
                <m:ctrlPr>
                  <w:rPr>
                    <w:rFonts w:ascii="Cambria Math" w:hAnsi="Cambria Math" w:cs="Times New Roman"/>
                    <w:i/>
                  </w:rPr>
                </m:ctrlPr>
              </m:num>
              <m:den>
                <m:r>
                  <m:rPr/>
                  <w:rPr>
                    <w:rFonts w:ascii="Cambria Math" w:hAnsi="Cambria Math" w:cs="Times New Roman"/>
                  </w:rPr>
                  <m:t>2</m:t>
                </m:r>
                <m:ctrlPr>
                  <w:rPr>
                    <w:rFonts w:ascii="Cambria Math" w:hAnsi="Cambria Math" w:cs="Times New Roman"/>
                    <w:i/>
                  </w:rPr>
                </m:ctrlPr>
              </m:den>
            </m:f>
            <m:ctrlPr>
              <w:rPr>
                <w:rFonts w:ascii="Cambria Math" w:hAnsi="Cambria Math" w:cs="Times New Roman"/>
                <w:i/>
              </w:rPr>
            </m:ctrlPr>
          </m:sup>
        </m:sSup>
        <m:r>
          <m:rPr/>
          <w:rPr>
            <w:rFonts w:hint="eastAsia" w:ascii="Cambria Math" w:hAnsi="Cambria Math" w:eastAsia="MS Mincho" w:cs="MS Mincho"/>
          </w:rPr>
          <m:t>−</m:t>
        </m:r>
        <m:r>
          <m:rPr/>
          <w:rPr>
            <w:rFonts w:hint="eastAsia" w:ascii="Cambria Math" w:hAnsi="Cambria Math" w:cs="Times New Roman"/>
          </w:rPr>
          <m:t>d</m:t>
        </m:r>
      </m:oMath>
      <w:r>
        <w:rPr>
          <w:rFonts w:hAnsi="Times New Roman" w:cs="Times New Roman"/>
        </w:rPr>
        <w:t>…………………（18）</w:t>
      </w:r>
    </w:p>
    <w:p w14:paraId="1971EEFA">
      <w:pPr>
        <w:spacing w:line="480" w:lineRule="exact"/>
        <w:ind w:firstLine="480"/>
        <w:rPr>
          <w:rFonts w:hAnsi="Times New Roman" w:cs="Times New Roman"/>
        </w:rPr>
      </w:pPr>
      <w:r>
        <w:rPr>
          <w:rFonts w:hAnsi="Times New Roman" w:cs="Times New Roman"/>
        </w:rPr>
        <w:t>式中：</w:t>
      </w:r>
      <w:r>
        <w:rPr>
          <w:rFonts w:hAnsi="Times New Roman" w:cs="Times New Roman"/>
          <w:i/>
          <w:iCs/>
        </w:rPr>
        <w:t>δ</w:t>
      </w:r>
      <w:r>
        <w:rPr>
          <w:rFonts w:hAnsi="Times New Roman" w:cs="Times New Roman"/>
        </w:rPr>
        <w:t>——声程差，m；</w:t>
      </w:r>
    </w:p>
    <w:p w14:paraId="77813D4E">
      <w:pPr>
        <w:spacing w:line="480" w:lineRule="exact"/>
        <w:ind w:left="1680" w:leftChars="500" w:hanging="480" w:hangingChars="200"/>
        <w:rPr>
          <w:rFonts w:hAnsi="Times New Roman" w:cs="Times New Roman"/>
        </w:rPr>
      </w:pPr>
      <w:r>
        <w:rPr>
          <w:rFonts w:hAnsi="Times New Roman" w:cs="Times New Roman"/>
          <w:i/>
        </w:rPr>
        <w:t>a</w:t>
      </w:r>
      <w:r>
        <w:rPr>
          <w:rFonts w:hAnsi="Times New Roman" w:cs="Times New Roman"/>
        </w:rPr>
        <w:t>——声源和接收点之间的距离在平行于屏障上边界的投影长度，m。</w:t>
      </w:r>
    </w:p>
    <w:p w14:paraId="17083F86">
      <w:pPr>
        <w:spacing w:line="480" w:lineRule="exact"/>
        <w:ind w:left="1680" w:leftChars="500" w:hanging="480" w:hangingChars="200"/>
        <w:rPr>
          <w:rFonts w:hAnsi="Times New Roman" w:cs="Times New Roman"/>
        </w:rPr>
      </w:pPr>
      <w:r>
        <w:rPr>
          <w:rFonts w:hAnsi="Times New Roman" w:cs="Times New Roman"/>
          <w:i/>
        </w:rPr>
        <w:t>d</w:t>
      </w:r>
      <w:r>
        <w:rPr>
          <w:rFonts w:hAnsi="Times New Roman" w:cs="Times New Roman"/>
          <w:i/>
          <w:vertAlign w:val="subscript"/>
        </w:rPr>
        <w:t>ss</w:t>
      </w:r>
      <w:r>
        <w:rPr>
          <w:rFonts w:hAnsi="Times New Roman" w:cs="Times New Roman"/>
        </w:rPr>
        <w:t>——声源到第一绕射边的距离，m。</w:t>
      </w:r>
    </w:p>
    <w:p w14:paraId="01CBFC07">
      <w:pPr>
        <w:spacing w:line="480" w:lineRule="exact"/>
        <w:ind w:left="1680" w:leftChars="500" w:hanging="480" w:hangingChars="200"/>
        <w:rPr>
          <w:rFonts w:hAnsi="Times New Roman" w:cs="Times New Roman"/>
        </w:rPr>
      </w:pPr>
      <w:r>
        <w:rPr>
          <w:rFonts w:hAnsi="Times New Roman" w:cs="Times New Roman"/>
          <w:i/>
        </w:rPr>
        <w:t>d</w:t>
      </w:r>
      <w:r>
        <w:rPr>
          <w:rFonts w:hAnsi="Times New Roman" w:cs="Times New Roman"/>
          <w:vertAlign w:val="subscript"/>
        </w:rPr>
        <w:t>sr</w:t>
      </w:r>
      <w:r>
        <w:rPr>
          <w:rFonts w:hAnsi="Times New Roman" w:cs="Times New Roman"/>
        </w:rPr>
        <w:t>——第二绕射边到接收点的距离，m。</w:t>
      </w:r>
    </w:p>
    <w:p w14:paraId="162CFD12">
      <w:pPr>
        <w:spacing w:line="480" w:lineRule="exact"/>
        <w:ind w:left="1680" w:leftChars="500" w:hanging="480" w:hangingChars="200"/>
        <w:rPr>
          <w:rFonts w:hAnsi="Times New Roman" w:cs="Times New Roman"/>
        </w:rPr>
      </w:pPr>
      <w:r>
        <w:rPr>
          <w:rFonts w:hAnsi="Times New Roman" w:cs="Times New Roman"/>
          <w:i/>
        </w:rPr>
        <w:t>e</w:t>
      </w:r>
      <w:r>
        <w:rPr>
          <w:rFonts w:hAnsi="Times New Roman" w:cs="Times New Roman"/>
        </w:rPr>
        <w:t>——在双绕射情况下两个绕射边界之间的距离，m。</w:t>
      </w:r>
    </w:p>
    <w:p w14:paraId="2DAA5876">
      <w:pPr>
        <w:spacing w:line="480" w:lineRule="exact"/>
        <w:ind w:left="1680" w:leftChars="500" w:hanging="480" w:hangingChars="200"/>
        <w:rPr>
          <w:rFonts w:hAnsi="Times New Roman" w:cs="Times New Roman"/>
        </w:rPr>
      </w:pPr>
      <w:r>
        <w:rPr>
          <w:rFonts w:hAnsi="Times New Roman" w:cs="Times New Roman"/>
          <w:i/>
        </w:rPr>
        <w:t>d</w:t>
      </w:r>
      <w:r>
        <w:rPr>
          <w:rFonts w:hAnsi="Times New Roman" w:cs="Times New Roman"/>
        </w:rPr>
        <w:t>——声源到接收点的直线距离，m。</w:t>
      </w:r>
    </w:p>
    <w:p w14:paraId="7416D6FA">
      <w:pPr>
        <w:spacing w:line="480" w:lineRule="exact"/>
        <w:ind w:firstLine="480"/>
        <w:rPr>
          <w:rFonts w:hAnsi="Times New Roman" w:cs="Times New Roman"/>
        </w:rPr>
      </w:pPr>
      <w:r>
        <w:rPr>
          <w:rFonts w:hAnsi="Times New Roman" w:cs="Times New Roman"/>
        </w:rPr>
        <w:t>屏障衰减</w:t>
      </w:r>
      <w:r>
        <w:rPr>
          <w:rFonts w:hAnsi="Times New Roman" w:cs="Times New Roman"/>
          <w:i/>
        </w:rPr>
        <w:t>A</w:t>
      </w:r>
      <w:r>
        <w:rPr>
          <w:rFonts w:hAnsi="Times New Roman" w:cs="Times New Roman"/>
          <w:vertAlign w:val="subscript"/>
        </w:rPr>
        <w:t>bar</w:t>
      </w:r>
      <w:r>
        <w:rPr>
          <w:rFonts w:hAnsi="Times New Roman" w:cs="Times New Roman"/>
        </w:rPr>
        <w:t>参照GB/T17247.2进行计算。屏障衰减Abar在单绕射（即薄屏障）情况，衰减最大取20dB；在双绕射（即厚屏障）情况，衰减最大取25dB。计算了屏障衰减后，不再考虑地面效应衰减。</w:t>
      </w:r>
    </w:p>
    <w:p w14:paraId="5BA1F2F0">
      <w:pPr>
        <w:spacing w:line="480" w:lineRule="exact"/>
        <w:ind w:firstLine="482"/>
        <w:rPr>
          <w:rFonts w:hAnsi="Times New Roman" w:cs="Times New Roman"/>
          <w:b/>
        </w:rPr>
      </w:pPr>
      <w:r>
        <w:rPr>
          <w:rFonts w:hint="eastAsia" w:hAnsi="Times New Roman" w:cs="Times New Roman"/>
          <w:b/>
        </w:rPr>
        <w:t>4、</w:t>
      </w:r>
      <w:r>
        <w:rPr>
          <w:rFonts w:hAnsi="Times New Roman" w:cs="Times New Roman"/>
          <w:b/>
        </w:rPr>
        <w:t>工业企业噪声计算</w:t>
      </w:r>
    </w:p>
    <w:p w14:paraId="76CA76C4">
      <w:pPr>
        <w:spacing w:line="480" w:lineRule="exact"/>
        <w:ind w:firstLine="480"/>
        <w:rPr>
          <w:rFonts w:hAnsi="Times New Roman" w:cs="Times New Roman"/>
        </w:rPr>
      </w:pPr>
      <w:r>
        <w:rPr>
          <w:rFonts w:hAnsi="Times New Roman" w:cs="Times New Roman"/>
        </w:rPr>
        <w:t>设第i个室外声源在预测点产生的A声级为L</w:t>
      </w:r>
      <w:r>
        <w:rPr>
          <w:rFonts w:hAnsi="Times New Roman" w:cs="Times New Roman"/>
          <w:i/>
          <w:iCs/>
          <w:vertAlign w:val="subscript"/>
        </w:rPr>
        <w:t>Ai</w:t>
      </w:r>
      <w:r>
        <w:rPr>
          <w:rFonts w:hAnsi="Times New Roman" w:cs="Times New Roman"/>
        </w:rPr>
        <w:t>，在T时间内该声源工作时间为t</w:t>
      </w:r>
      <w:r>
        <w:rPr>
          <w:rFonts w:hAnsi="Times New Roman" w:cs="Times New Roman"/>
          <w:i/>
          <w:iCs/>
          <w:vertAlign w:val="subscript"/>
        </w:rPr>
        <w:t>i</w:t>
      </w:r>
      <w:r>
        <w:rPr>
          <w:rFonts w:hAnsi="Times New Roman" w:cs="Times New Roman"/>
        </w:rPr>
        <w:t>；第j个等效室外声源在预测点产生的A声级为A</w:t>
      </w:r>
      <w:r>
        <w:rPr>
          <w:rFonts w:hAnsi="Times New Roman" w:cs="Times New Roman"/>
          <w:i/>
          <w:iCs/>
          <w:vertAlign w:val="subscript"/>
        </w:rPr>
        <w:t xml:space="preserve"> Aj</w:t>
      </w:r>
      <w:r>
        <w:rPr>
          <w:rFonts w:hAnsi="Times New Roman" w:cs="Times New Roman"/>
        </w:rPr>
        <w:t>，在T时间内该声源工作时间为t</w:t>
      </w:r>
      <w:r>
        <w:rPr>
          <w:rFonts w:hAnsi="Times New Roman" w:cs="Times New Roman"/>
          <w:i/>
          <w:iCs/>
          <w:vertAlign w:val="subscript"/>
        </w:rPr>
        <w:t>j</w:t>
      </w:r>
      <w:r>
        <w:rPr>
          <w:rFonts w:hAnsi="Times New Roman" w:cs="Times New Roman"/>
        </w:rPr>
        <w:t>，则拟建工程声源对预测点产生的贡献值（L</w:t>
      </w:r>
      <w:r>
        <w:rPr>
          <w:rFonts w:hAnsi="Times New Roman" w:cs="Times New Roman"/>
          <w:vertAlign w:val="subscript"/>
        </w:rPr>
        <w:t>eqg</w:t>
      </w:r>
      <w:r>
        <w:rPr>
          <w:rFonts w:hAnsi="Times New Roman" w:cs="Times New Roman"/>
        </w:rPr>
        <w:t>）为：</w:t>
      </w:r>
    </w:p>
    <w:p w14:paraId="5DCE8BE5">
      <w:pPr>
        <w:pStyle w:val="169"/>
        <w:ind w:firstLine="480" w:firstLineChars="200"/>
        <w:rPr>
          <w:rFonts w:hint="default"/>
        </w:rPr>
      </w:pPr>
      <w:r>
        <w:rPr>
          <w:rFonts w:hint="default"/>
          <w:position w:val="-34"/>
        </w:rPr>
        <w:object>
          <v:shape id="_x0000_i1030" o:spt="75" type="#_x0000_t75" style="height:45pt;width:225.45pt;" o:ole="t" filled="f" o:preferrelative="t" stroked="f" coordsize="21600,21600">
            <v:path/>
            <v:fill on="f" focussize="0,0"/>
            <v:stroke on="f" joinstyle="miter"/>
            <v:imagedata r:id="rId106" o:title=""/>
            <o:lock v:ext="edit" aspectratio="t"/>
            <w10:wrap type="none"/>
            <w10:anchorlock/>
          </v:shape>
          <o:OLEObject Type="Embed" ProgID="Equation.3" ShapeID="_x0000_i1030" DrawAspect="Content" ObjectID="_1468075730" r:id="rId105">
            <o:LockedField>false</o:LockedField>
          </o:OLEObject>
        </w:object>
      </w:r>
    </w:p>
    <w:p w14:paraId="0E96C8B2">
      <w:pPr>
        <w:pStyle w:val="5"/>
        <w:spacing w:before="120" w:after="120"/>
      </w:pPr>
      <w:r>
        <w:t>预测结果</w:t>
      </w:r>
    </w:p>
    <w:p w14:paraId="7A572CA4">
      <w:pPr>
        <w:pStyle w:val="178"/>
        <w:jc w:val="right"/>
        <w:rPr>
          <w:lang w:val="zh-CN"/>
        </w:rPr>
      </w:pPr>
      <w:r>
        <w:rPr>
          <w:lang w:val="zh-CN"/>
        </w:rPr>
        <w:t>表5.2</w:t>
      </w:r>
      <w:r>
        <w:t>-6</w:t>
      </w:r>
      <w:r>
        <w:rPr>
          <w:lang w:val="zh-CN"/>
        </w:rPr>
        <w:t xml:space="preserve">  厂界噪声贡献值一览表</w:t>
      </w:r>
      <w:r>
        <w:rPr>
          <w:rFonts w:hint="eastAsia"/>
          <w:lang w:val="zh-CN"/>
        </w:rPr>
        <w:t xml:space="preserve">             单位：</w:t>
      </w:r>
      <w:r>
        <w:rPr>
          <w:b/>
        </w:rPr>
        <w:t>dB(A)</w:t>
      </w:r>
    </w:p>
    <w:tbl>
      <w:tblPr>
        <w:tblStyle w:val="36"/>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818"/>
        <w:gridCol w:w="2819"/>
        <w:gridCol w:w="2835"/>
      </w:tblGrid>
      <w:tr w14:paraId="183E2A3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663" w:type="pct"/>
            <w:noWrap/>
            <w:vAlign w:val="center"/>
          </w:tcPr>
          <w:p w14:paraId="10A78A52">
            <w:pPr>
              <w:pStyle w:val="179"/>
              <w:rPr>
                <w:b/>
              </w:rPr>
            </w:pPr>
            <w:r>
              <w:rPr>
                <w:b/>
              </w:rPr>
              <w:t>监测点</w:t>
            </w:r>
          </w:p>
        </w:tc>
        <w:tc>
          <w:tcPr>
            <w:tcW w:w="1664" w:type="pct"/>
            <w:noWrap/>
            <w:vAlign w:val="center"/>
          </w:tcPr>
          <w:p w14:paraId="471F3C65">
            <w:pPr>
              <w:pStyle w:val="179"/>
              <w:rPr>
                <w:b/>
              </w:rPr>
            </w:pPr>
            <w:r>
              <w:rPr>
                <w:b/>
              </w:rPr>
              <w:t>贡献值</w:t>
            </w:r>
            <w:r>
              <w:rPr>
                <w:rFonts w:hint="eastAsia"/>
                <w:b/>
              </w:rPr>
              <w:t>（</w:t>
            </w:r>
            <w:r>
              <w:rPr>
                <w:b/>
              </w:rPr>
              <w:t>昼间</w:t>
            </w:r>
            <w:r>
              <w:rPr>
                <w:rFonts w:hint="eastAsia"/>
                <w:b/>
              </w:rPr>
              <w:t>）</w:t>
            </w:r>
          </w:p>
        </w:tc>
        <w:tc>
          <w:tcPr>
            <w:tcW w:w="1673" w:type="pct"/>
            <w:noWrap/>
            <w:vAlign w:val="center"/>
          </w:tcPr>
          <w:p w14:paraId="5CC3615A">
            <w:pPr>
              <w:pStyle w:val="179"/>
              <w:rPr>
                <w:b/>
              </w:rPr>
            </w:pPr>
            <w:r>
              <w:rPr>
                <w:b/>
              </w:rPr>
              <w:t>执行标准</w:t>
            </w:r>
          </w:p>
        </w:tc>
      </w:tr>
      <w:tr w14:paraId="69AA479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663" w:type="pct"/>
            <w:noWrap/>
            <w:vAlign w:val="center"/>
          </w:tcPr>
          <w:p w14:paraId="6191E8F9">
            <w:pPr>
              <w:pStyle w:val="179"/>
            </w:pPr>
            <w:r>
              <w:t>采区东厂界</w:t>
            </w:r>
          </w:p>
        </w:tc>
        <w:tc>
          <w:tcPr>
            <w:tcW w:w="1664" w:type="pct"/>
            <w:noWrap/>
            <w:vAlign w:val="center"/>
          </w:tcPr>
          <w:p w14:paraId="626317AB">
            <w:pPr>
              <w:pStyle w:val="179"/>
            </w:pPr>
            <w:r>
              <w:t>37.27</w:t>
            </w:r>
          </w:p>
        </w:tc>
        <w:tc>
          <w:tcPr>
            <w:tcW w:w="1673" w:type="pct"/>
            <w:vMerge w:val="restart"/>
            <w:noWrap/>
            <w:vAlign w:val="center"/>
          </w:tcPr>
          <w:p w14:paraId="5F3FC14C">
            <w:pPr>
              <w:pStyle w:val="179"/>
            </w:pPr>
            <w:r>
              <w:t>《工业企业厂界环境噪声排放标准》（GB12348-2008）中</w:t>
            </w:r>
            <w:r>
              <w:rPr>
                <w:rFonts w:hint="eastAsia"/>
              </w:rPr>
              <w:t>1</w:t>
            </w:r>
            <w:r>
              <w:t>类标准，即昼间</w:t>
            </w:r>
            <w:r>
              <w:rPr>
                <w:rFonts w:hint="eastAsia"/>
              </w:rPr>
              <w:t>55</w:t>
            </w:r>
            <w:r>
              <w:t>dB(A)（夜间不生产）</w:t>
            </w:r>
          </w:p>
        </w:tc>
      </w:tr>
      <w:tr w14:paraId="370359E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663" w:type="pct"/>
            <w:noWrap/>
            <w:vAlign w:val="center"/>
          </w:tcPr>
          <w:p w14:paraId="2D28D79B">
            <w:pPr>
              <w:pStyle w:val="179"/>
            </w:pPr>
            <w:r>
              <w:t>采区南厂界</w:t>
            </w:r>
          </w:p>
        </w:tc>
        <w:tc>
          <w:tcPr>
            <w:tcW w:w="1664" w:type="pct"/>
            <w:noWrap/>
            <w:vAlign w:val="center"/>
          </w:tcPr>
          <w:p w14:paraId="1AC88A0E">
            <w:pPr>
              <w:pStyle w:val="179"/>
            </w:pPr>
            <w:r>
              <w:t>9.55</w:t>
            </w:r>
          </w:p>
        </w:tc>
        <w:tc>
          <w:tcPr>
            <w:tcW w:w="1673" w:type="pct"/>
            <w:vMerge w:val="continue"/>
            <w:noWrap/>
            <w:vAlign w:val="center"/>
          </w:tcPr>
          <w:p w14:paraId="5D3B34FB">
            <w:pPr>
              <w:pStyle w:val="179"/>
            </w:pPr>
          </w:p>
        </w:tc>
      </w:tr>
      <w:tr w14:paraId="5A44D83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663" w:type="pct"/>
            <w:noWrap/>
            <w:vAlign w:val="center"/>
          </w:tcPr>
          <w:p w14:paraId="5546F62D">
            <w:pPr>
              <w:pStyle w:val="179"/>
            </w:pPr>
            <w:r>
              <w:t>采区西厂界</w:t>
            </w:r>
          </w:p>
        </w:tc>
        <w:tc>
          <w:tcPr>
            <w:tcW w:w="1664" w:type="pct"/>
            <w:noWrap/>
            <w:vAlign w:val="center"/>
          </w:tcPr>
          <w:p w14:paraId="2A64F48D">
            <w:pPr>
              <w:pStyle w:val="179"/>
            </w:pPr>
            <w:r>
              <w:t>25.31</w:t>
            </w:r>
          </w:p>
        </w:tc>
        <w:tc>
          <w:tcPr>
            <w:tcW w:w="1673" w:type="pct"/>
            <w:vMerge w:val="continue"/>
            <w:noWrap/>
            <w:vAlign w:val="center"/>
          </w:tcPr>
          <w:p w14:paraId="4B0469DB">
            <w:pPr>
              <w:pStyle w:val="179"/>
            </w:pPr>
          </w:p>
        </w:tc>
      </w:tr>
      <w:tr w14:paraId="260C475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663" w:type="pct"/>
            <w:noWrap/>
            <w:vAlign w:val="center"/>
          </w:tcPr>
          <w:p w14:paraId="39C2C6FA">
            <w:pPr>
              <w:pStyle w:val="179"/>
            </w:pPr>
            <w:r>
              <w:t>采区北厂界</w:t>
            </w:r>
          </w:p>
        </w:tc>
        <w:tc>
          <w:tcPr>
            <w:tcW w:w="1664" w:type="pct"/>
            <w:noWrap/>
            <w:vAlign w:val="center"/>
          </w:tcPr>
          <w:p w14:paraId="7154C09A">
            <w:pPr>
              <w:pStyle w:val="179"/>
            </w:pPr>
            <w:r>
              <w:t>45.99</w:t>
            </w:r>
          </w:p>
        </w:tc>
        <w:tc>
          <w:tcPr>
            <w:tcW w:w="1673" w:type="pct"/>
            <w:vMerge w:val="continue"/>
            <w:noWrap/>
            <w:vAlign w:val="center"/>
          </w:tcPr>
          <w:p w14:paraId="13A3AEFA">
            <w:pPr>
              <w:pStyle w:val="179"/>
            </w:pPr>
          </w:p>
        </w:tc>
      </w:tr>
    </w:tbl>
    <w:p w14:paraId="7D3F7738">
      <w:pPr>
        <w:pStyle w:val="178"/>
        <w:rPr>
          <w:rFonts w:hAnsi="Times New Roman"/>
        </w:rPr>
      </w:pPr>
      <w:r>
        <w:drawing>
          <wp:inline distT="0" distB="0" distL="0" distR="0">
            <wp:extent cx="5242560" cy="5083810"/>
            <wp:effectExtent l="1905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noChangeArrowheads="1"/>
                    </pic:cNvPicPr>
                  </pic:nvPicPr>
                  <pic:blipFill>
                    <a:blip r:embed="rId107"/>
                    <a:srcRect/>
                    <a:stretch>
                      <a:fillRect/>
                    </a:stretch>
                  </pic:blipFill>
                  <pic:spPr>
                    <a:xfrm>
                      <a:off x="0" y="0"/>
                      <a:ext cx="5242560" cy="5084125"/>
                    </a:xfrm>
                    <a:prstGeom prst="rect">
                      <a:avLst/>
                    </a:prstGeom>
                    <a:noFill/>
                    <a:ln w="9525">
                      <a:noFill/>
                      <a:miter lim="800000"/>
                      <a:headEnd/>
                      <a:tailEnd/>
                    </a:ln>
                  </pic:spPr>
                </pic:pic>
              </a:graphicData>
            </a:graphic>
          </wp:inline>
        </w:drawing>
      </w:r>
    </w:p>
    <w:p w14:paraId="6025E150">
      <w:pPr>
        <w:pStyle w:val="178"/>
      </w:pPr>
      <w:r>
        <w:t>图5.2-1  预测值结果图</w:t>
      </w:r>
    </w:p>
    <w:p w14:paraId="57B3D598">
      <w:pPr>
        <w:widowControl/>
        <w:topLinePunct/>
        <w:autoSpaceDE w:val="0"/>
        <w:autoSpaceDN w:val="0"/>
        <w:adjustRightInd w:val="0"/>
        <w:snapToGrid w:val="0"/>
        <w:spacing w:line="480" w:lineRule="exact"/>
        <w:ind w:firstLine="480"/>
        <w:textAlignment w:val="baseline"/>
        <w:rPr>
          <w:rFonts w:hAnsi="Times New Roman" w:cs="Times New Roman"/>
        </w:rPr>
      </w:pPr>
      <w:r>
        <w:rPr>
          <w:rFonts w:hAnsi="Times New Roman" w:cs="Times New Roman"/>
        </w:rPr>
        <w:t>本项目夜间不进行开采。经预测，在矿区开采期间，东、南、西、北侧厂界最大噪声贡献值分别为22.89 dB(A)、17.22 dB(A)、13.91 dB(A)、29.09dB(A)，厂界噪声</w:t>
      </w:r>
      <w:r>
        <w:rPr>
          <w:rFonts w:hint="eastAsia" w:hAnsi="Times New Roman" w:cs="Times New Roman"/>
        </w:rPr>
        <w:t>均</w:t>
      </w:r>
      <w:r>
        <w:rPr>
          <w:rFonts w:hAnsi="Times New Roman" w:cs="Times New Roman"/>
        </w:rPr>
        <w:t>满足《工业企业厂界环境噪声排放标准》（GB12348-2008）表1中的1类标准限值要求。</w:t>
      </w:r>
      <w:r>
        <w:rPr>
          <w:rFonts w:hint="eastAsia" w:hAnsi="Times New Roman" w:cs="Times New Roman"/>
        </w:rPr>
        <w:t>本项目厂界200m范围内无居民区等声环境保护目标。</w:t>
      </w:r>
    </w:p>
    <w:p w14:paraId="0A3BCED2">
      <w:pPr>
        <w:widowControl/>
        <w:topLinePunct/>
        <w:autoSpaceDE w:val="0"/>
        <w:autoSpaceDN w:val="0"/>
        <w:adjustRightInd w:val="0"/>
        <w:snapToGrid w:val="0"/>
        <w:spacing w:line="480" w:lineRule="exact"/>
        <w:ind w:firstLine="480"/>
        <w:textAlignment w:val="baseline"/>
        <w:rPr>
          <w:rFonts w:hAnsi="Times New Roman" w:cs="Times New Roman"/>
        </w:rPr>
      </w:pPr>
      <w:r>
        <w:rPr>
          <w:rFonts w:hint="eastAsia" w:hAnsi="Times New Roman" w:cs="Times New Roman"/>
        </w:rPr>
        <w:t>项目开采时的人为活动及机械设备噪声会导致该区域附近分布的野生动物远离开采区域，但开采区占地面积相对区域较小，矿山施工及开采不会影响大兴安岭水源涵养与生物多样性维护功能生态保护红线内野生动物分布的种类及数量，矿山服务期满后进行复垦，开采区内恢复为林地，生态保护红线内生境状况基本恢复为原有状态，野生动植物也逐步恢复原有状态，工程对生态保护红线内生态系统的生态功能基本无影响，因此噪声对生态保护红线的影响在环境可接受范围内。</w:t>
      </w:r>
    </w:p>
    <w:p w14:paraId="046AFF57">
      <w:pPr>
        <w:pStyle w:val="5"/>
        <w:spacing w:before="120" w:after="120"/>
        <w:rPr>
          <w:lang w:val="zh-CN"/>
        </w:rPr>
      </w:pPr>
      <w:r>
        <w:rPr>
          <w:lang w:val="zh-CN"/>
        </w:rPr>
        <w:t>运输噪声影响分析</w:t>
      </w:r>
    </w:p>
    <w:p w14:paraId="4A306A4A">
      <w:pPr>
        <w:ind w:firstLine="480"/>
        <w:rPr>
          <w:lang w:val="zh-CN"/>
        </w:rPr>
      </w:pPr>
      <w:r>
        <w:rPr>
          <w:lang w:val="zh-CN"/>
        </w:rPr>
        <w:t>本项目开采规模</w:t>
      </w:r>
      <w:r>
        <w:rPr>
          <w:rFonts w:hint="eastAsia"/>
        </w:rPr>
        <w:t>30</w:t>
      </w:r>
      <w:r>
        <w:rPr>
          <w:lang w:val="zh-CN"/>
        </w:rPr>
        <w:t>万t/a，按汽车载重</w:t>
      </w:r>
      <w:r>
        <w:rPr>
          <w:rFonts w:hint="eastAsia"/>
        </w:rPr>
        <w:t>50</w:t>
      </w:r>
      <w:r>
        <w:rPr>
          <w:lang w:val="zh-CN"/>
        </w:rPr>
        <w:t>t计，全年</w:t>
      </w:r>
      <w:r>
        <w:t>18</w:t>
      </w:r>
      <w:r>
        <w:rPr>
          <w:lang w:val="zh-CN"/>
        </w:rPr>
        <w:t>0d，每天约需要</w:t>
      </w:r>
      <w:r>
        <w:rPr>
          <w:rFonts w:hint="eastAsia"/>
        </w:rPr>
        <w:t>34</w:t>
      </w:r>
      <w:r>
        <w:rPr>
          <w:lang w:val="zh-CN"/>
        </w:rPr>
        <w:t>辆次汽车运输。按每天运输时间8h计，即每小时车流量约</w:t>
      </w:r>
      <w:r>
        <w:rPr>
          <w:rFonts w:hint="eastAsia"/>
        </w:rPr>
        <w:t>4.2</w:t>
      </w:r>
      <w:r>
        <w:rPr>
          <w:lang w:val="zh-CN"/>
        </w:rPr>
        <w:t>辆，并且</w:t>
      </w:r>
      <w:r>
        <w:t>主要</w:t>
      </w:r>
      <w:r>
        <w:rPr>
          <w:lang w:val="zh-CN"/>
        </w:rPr>
        <w:t>在</w:t>
      </w:r>
      <w:r>
        <w:t>矿区内</w:t>
      </w:r>
      <w:r>
        <w:rPr>
          <w:lang w:val="zh-CN"/>
        </w:rPr>
        <w:t>运输，对交通噪声的影响小而短暂，</w:t>
      </w:r>
      <w:r>
        <w:t>项目厂界处噪声能够达到《工业企业厂界环境噪声排放标准》（GB12348-2008）中</w:t>
      </w:r>
      <w:r>
        <w:rPr>
          <w:rFonts w:hint="eastAsia"/>
        </w:rPr>
        <w:t>1</w:t>
      </w:r>
      <w:r>
        <w:t>标准限值，因此本项目运营期内部运输噪声对周围环境质量影响较小。</w:t>
      </w:r>
    </w:p>
    <w:p w14:paraId="1F7AAFE5">
      <w:pPr>
        <w:ind w:firstLine="480"/>
      </w:pPr>
      <w:r>
        <w:rPr>
          <w:rFonts w:hint="eastAsia"/>
        </w:rPr>
        <w:t>运输道路两侧无声环境敏感点。由于运输量较少，对既有道路来讲，交通量的增加极小，并且均在昼间进行运输，对交通噪声的影响小而短暂。工程投产后，对沿线公路交通声环境影响是可以接受的。</w:t>
      </w:r>
    </w:p>
    <w:p w14:paraId="12DD57D7">
      <w:pPr>
        <w:pStyle w:val="4"/>
        <w:spacing w:before="180" w:after="120"/>
      </w:pPr>
      <w:r>
        <w:t>地表水环境影响分析</w:t>
      </w:r>
      <w:bookmarkEnd w:id="425"/>
      <w:bookmarkEnd w:id="426"/>
      <w:bookmarkEnd w:id="427"/>
      <w:bookmarkEnd w:id="428"/>
      <w:bookmarkEnd w:id="429"/>
      <w:bookmarkEnd w:id="430"/>
      <w:bookmarkEnd w:id="431"/>
    </w:p>
    <w:p w14:paraId="3517FFBD">
      <w:pPr>
        <w:ind w:firstLine="480"/>
      </w:pPr>
      <w:r>
        <w:t>根据地势在</w:t>
      </w:r>
      <w:r>
        <w:rPr>
          <w:rFonts w:hint="eastAsia"/>
        </w:rPr>
        <w:t>矿区四周</w:t>
      </w:r>
      <w:r>
        <w:t>设置</w:t>
      </w:r>
      <w:r>
        <w:rPr>
          <w:lang w:bidi="en-US"/>
        </w:rPr>
        <w:t>底宽0.</w:t>
      </w:r>
      <w:r>
        <w:rPr>
          <w:rFonts w:hint="eastAsia"/>
          <w:lang w:bidi="en-US"/>
        </w:rPr>
        <w:t>6</w:t>
      </w:r>
      <w:r>
        <w:rPr>
          <w:lang w:bidi="en-US"/>
        </w:rPr>
        <w:t>m，深0.</w:t>
      </w:r>
      <w:r>
        <w:rPr>
          <w:rFonts w:hint="eastAsia"/>
          <w:lang w:bidi="en-US"/>
        </w:rPr>
        <w:t>5</w:t>
      </w:r>
      <w:r>
        <w:rPr>
          <w:lang w:bidi="en-US"/>
        </w:rPr>
        <w:t>m，</w:t>
      </w:r>
      <w:r>
        <w:rPr>
          <w:rFonts w:hint="eastAsia"/>
          <w:lang w:bidi="en-US"/>
        </w:rPr>
        <w:t>长</w:t>
      </w:r>
      <w:r>
        <w:rPr>
          <w:rFonts w:hint="eastAsia"/>
        </w:rPr>
        <w:t>1466</w:t>
      </w:r>
      <w:r>
        <w:t>m截流沟，截流沟排水导出矿区外；在开采境界内汇水</w:t>
      </w:r>
      <w:r>
        <w:rPr>
          <w:rFonts w:hint="eastAsia"/>
        </w:rPr>
        <w:t>通过400导流渠</w:t>
      </w:r>
      <w:r>
        <w:t>汇入</w:t>
      </w:r>
      <w:r>
        <w:rPr>
          <w:rFonts w:hint="eastAsia"/>
        </w:rPr>
        <w:t>630</w:t>
      </w:r>
      <w:r>
        <w:t>m</w:t>
      </w:r>
      <w:r>
        <w:rPr>
          <w:vertAlign w:val="superscript"/>
        </w:rPr>
        <w:t>3</w:t>
      </w:r>
      <w:r>
        <w:t>的防渗贮水池中，贮水池设置在采区</w:t>
      </w:r>
      <w:r>
        <w:rPr>
          <w:rFonts w:hint="eastAsia"/>
        </w:rPr>
        <w:t>西</w:t>
      </w:r>
      <w:r>
        <w:t>部，作为降尘用水使用；生活污水排入防渗旱厕，定期清掏，外运堆肥，不外排。</w:t>
      </w:r>
    </w:p>
    <w:p w14:paraId="0235E323">
      <w:pPr>
        <w:ind w:firstLine="480"/>
      </w:pPr>
      <w:r>
        <w:t>本项目运营可实现废水零排放。因此，项目产生的废水均得到合理处理与利用而无外排，对区域地表水环境不会产生显著性不良影响。</w:t>
      </w:r>
    </w:p>
    <w:p w14:paraId="0E4DEAE2">
      <w:pPr>
        <w:pStyle w:val="4"/>
        <w:spacing w:before="180" w:after="120"/>
        <w:rPr>
          <w:rFonts w:hAnsi="Times New Roman" w:cs="Times New Roman"/>
        </w:rPr>
      </w:pPr>
      <w:bookmarkStart w:id="446" w:name="_Toc61013930"/>
      <w:bookmarkStart w:id="447" w:name="_Toc61013315"/>
      <w:bookmarkStart w:id="448" w:name="_Toc61013110"/>
      <w:bookmarkStart w:id="449" w:name="_Toc61012634"/>
      <w:bookmarkStart w:id="450" w:name="_Toc61013520"/>
      <w:bookmarkStart w:id="451" w:name="_Toc12649374"/>
      <w:bookmarkStart w:id="452" w:name="_Toc61013725"/>
      <w:r>
        <w:rPr>
          <w:rFonts w:hAnsi="Times New Roman" w:cs="Times New Roman"/>
        </w:rPr>
        <w:t>固体废物环境影响</w:t>
      </w:r>
      <w:bookmarkEnd w:id="446"/>
      <w:bookmarkEnd w:id="447"/>
      <w:bookmarkEnd w:id="448"/>
      <w:bookmarkEnd w:id="449"/>
      <w:bookmarkEnd w:id="450"/>
      <w:bookmarkEnd w:id="451"/>
      <w:bookmarkEnd w:id="452"/>
      <w:r>
        <w:rPr>
          <w:rFonts w:hAnsi="Times New Roman" w:cs="Times New Roman"/>
        </w:rPr>
        <w:t>分析</w:t>
      </w:r>
    </w:p>
    <w:p w14:paraId="0A201FBF">
      <w:pPr>
        <w:ind w:firstLine="480"/>
      </w:pPr>
      <w:r>
        <w:t>本工程在运行时产生的固体废物主要是员工生活垃圾</w:t>
      </w:r>
      <w:r>
        <w:rPr>
          <w:rFonts w:hint="eastAsia"/>
        </w:rPr>
        <w:t>及贮水池沉渣</w:t>
      </w:r>
      <w:r>
        <w:t>。</w:t>
      </w:r>
    </w:p>
    <w:p w14:paraId="64D2D8F3">
      <w:pPr>
        <w:ind w:firstLine="480"/>
      </w:pPr>
      <w:r>
        <w:t>生活垃圾产生量</w:t>
      </w:r>
      <w:r>
        <w:rPr>
          <w:rFonts w:hint="eastAsia"/>
        </w:rPr>
        <w:t>1.8</w:t>
      </w:r>
      <w:r>
        <w:t>t/a由当地环卫部门统一处理。本项目</w:t>
      </w:r>
      <w:r>
        <w:rPr>
          <w:rFonts w:hint="eastAsia"/>
        </w:rPr>
        <w:t>贮水池沉渣用于矿区平整土地。</w:t>
      </w:r>
    </w:p>
    <w:p w14:paraId="2B77D970">
      <w:pPr>
        <w:ind w:firstLine="480"/>
        <w:rPr>
          <w:rFonts w:hAnsi="Times New Roman" w:cs="Times New Roman"/>
        </w:rPr>
      </w:pPr>
      <w:r>
        <w:t>综上所述本项目产生的各种固体废物处置率达100%，均得到妥善处理、处置，对外环境影响比较小。</w:t>
      </w:r>
    </w:p>
    <w:p w14:paraId="077385DF">
      <w:pPr>
        <w:pStyle w:val="4"/>
        <w:spacing w:before="180" w:after="120"/>
        <w:rPr>
          <w:rFonts w:hAnsi="Times New Roman" w:cs="Times New Roman"/>
        </w:rPr>
      </w:pPr>
      <w:bookmarkStart w:id="453" w:name="_Toc61013726"/>
      <w:bookmarkStart w:id="454" w:name="_Toc61013931"/>
      <w:bookmarkStart w:id="455" w:name="_Toc61013316"/>
      <w:bookmarkStart w:id="456" w:name="_Toc61013521"/>
      <w:bookmarkStart w:id="457" w:name="_Toc61012635"/>
      <w:bookmarkStart w:id="458" w:name="_Toc61013111"/>
      <w:bookmarkStart w:id="459" w:name="_Toc24969224"/>
      <w:r>
        <w:rPr>
          <w:rFonts w:hAnsi="Times New Roman" w:cs="Times New Roman"/>
        </w:rPr>
        <w:t>土壤环境影响</w:t>
      </w:r>
      <w:bookmarkEnd w:id="453"/>
      <w:bookmarkEnd w:id="454"/>
      <w:bookmarkEnd w:id="455"/>
      <w:bookmarkEnd w:id="456"/>
      <w:bookmarkEnd w:id="457"/>
      <w:bookmarkEnd w:id="458"/>
      <w:bookmarkEnd w:id="459"/>
      <w:r>
        <w:rPr>
          <w:rFonts w:hAnsi="Times New Roman" w:cs="Times New Roman"/>
        </w:rPr>
        <w:t>评价</w:t>
      </w:r>
    </w:p>
    <w:p w14:paraId="2FCFC598">
      <w:pPr>
        <w:ind w:firstLine="480"/>
        <w:rPr>
          <w:rFonts w:hAnsi="Times New Roman" w:cs="Times New Roman"/>
        </w:rPr>
      </w:pPr>
      <w:r>
        <w:rPr>
          <w:rFonts w:hAnsi="Times New Roman" w:cs="Times New Roman"/>
        </w:rPr>
        <w:t>本项目为</w:t>
      </w:r>
      <w:r>
        <w:rPr>
          <w:rFonts w:hint="eastAsia" w:hAnsi="Times New Roman" w:cs="Times New Roman"/>
        </w:rPr>
        <w:t>土砂石</w:t>
      </w:r>
      <w:r>
        <w:rPr>
          <w:rFonts w:hAnsi="Times New Roman" w:cs="Times New Roman"/>
        </w:rPr>
        <w:t>开采项目，采矿为</w:t>
      </w:r>
      <w:r>
        <w:rPr>
          <w:rFonts w:hint="eastAsia" w:hAnsi="Times New Roman" w:cs="Times New Roman"/>
        </w:rPr>
        <w:t>露天</w:t>
      </w:r>
      <w:r>
        <w:rPr>
          <w:rFonts w:hAnsi="Times New Roman" w:cs="Times New Roman"/>
        </w:rPr>
        <w:t>开采方式，项目的建设和运行不会引起土壤盐化、酸化、碱化等影响，本项目对土壤可能产生影响的途径主要为矿区内污水防护不当造成的垂直入渗，会有部分污染物随之进入土壤；污水及物料“跑、冒、滴、漏”，形成地面漫流进入土壤。</w:t>
      </w:r>
    </w:p>
    <w:p w14:paraId="21F26A8B">
      <w:pPr>
        <w:ind w:firstLine="482"/>
        <w:rPr>
          <w:rFonts w:hAnsi="Times New Roman" w:cs="Times New Roman"/>
          <w:b/>
        </w:rPr>
      </w:pPr>
      <w:r>
        <w:rPr>
          <w:rFonts w:hAnsi="Times New Roman" w:cs="Times New Roman"/>
          <w:b/>
        </w:rPr>
        <w:t>1、工程占地对土壤环境的影响</w:t>
      </w:r>
    </w:p>
    <w:p w14:paraId="0174D7AB">
      <w:pPr>
        <w:ind w:firstLine="480"/>
        <w:rPr>
          <w:rFonts w:hAnsi="Times New Roman" w:cs="Times New Roman"/>
        </w:rPr>
      </w:pPr>
      <w:r>
        <w:rPr>
          <w:rFonts w:hAnsi="Times New Roman" w:cs="Times New Roman"/>
        </w:rPr>
        <w:t>本项目为</w:t>
      </w:r>
      <w:r>
        <w:rPr>
          <w:rFonts w:hint="eastAsia" w:hAnsi="Times New Roman" w:cs="Times New Roman"/>
        </w:rPr>
        <w:t>新建</w:t>
      </w:r>
      <w:r>
        <w:rPr>
          <w:rFonts w:hAnsi="Times New Roman" w:cs="Times New Roman"/>
        </w:rPr>
        <w:t>项目，开采方式为露天开采。新建</w:t>
      </w:r>
      <w:r>
        <w:rPr>
          <w:rFonts w:hint="eastAsia" w:hAnsi="Times New Roman" w:cs="Times New Roman"/>
        </w:rPr>
        <w:t>运输</w:t>
      </w:r>
      <w:r>
        <w:rPr>
          <w:rFonts w:hAnsi="Times New Roman" w:cs="Times New Roman"/>
        </w:rPr>
        <w:t>矿石道路、进场道路工程</w:t>
      </w:r>
      <w:r>
        <w:rPr>
          <w:rFonts w:hint="eastAsia" w:hAnsi="Times New Roman" w:cs="Times New Roman"/>
        </w:rPr>
        <w:t>需</w:t>
      </w:r>
      <w:r>
        <w:rPr>
          <w:rFonts w:hAnsi="Times New Roman" w:cs="Times New Roman"/>
        </w:rPr>
        <w:t>表土剥离，会造成施工区域内地表植被的破坏，使土壤的结构、组成及理化性质等发生变化，进而影响土壤的侵蚀状况，新增一定量的土壤侵蚀，以及施工过程中产生的弃石、弃渣等，也将产生一定量的水土流失。矿区因施工破坏和机械挖运，破坏了部分土壤结构，使局部土壤生产能力和稳定性受到一定影响，使原有自然生态系统的所有功能完全损失或削弱，导致蓄水保土功能降低。项目地表工程建设过程中，对实施区域的土壤环境造成局地性破坏和干扰，不同程度地破坏了区域土壤结构，扰乱地表土壤层；各种机械设备、车辆对地面的碾压，人员踩踏造成土壤板结，降低土壤生产能力。</w:t>
      </w:r>
    </w:p>
    <w:p w14:paraId="664C9518">
      <w:pPr>
        <w:ind w:firstLine="482"/>
        <w:rPr>
          <w:rFonts w:hAnsi="Times New Roman" w:cs="Times New Roman"/>
          <w:b/>
        </w:rPr>
      </w:pPr>
      <w:r>
        <w:rPr>
          <w:rFonts w:hAnsi="Times New Roman" w:cs="Times New Roman"/>
          <w:b/>
        </w:rPr>
        <w:t>2、工程运行对土壤环境的影响</w:t>
      </w:r>
    </w:p>
    <w:p w14:paraId="773CA3B0">
      <w:pPr>
        <w:ind w:firstLine="480"/>
        <w:rPr>
          <w:rFonts w:hAnsi="Times New Roman" w:cs="Times New Roman"/>
        </w:rPr>
      </w:pPr>
      <w:r>
        <w:rPr>
          <w:rFonts w:hAnsi="Times New Roman" w:cs="Times New Roman"/>
        </w:rPr>
        <w:t>工程运行过程中，各种机械设备和车辆排放的废气与油污、丢弃的固体废物、运输车辆泄漏等，也将对土壤环境及景观产生一定的影响。建议矿区环境管理部门加强废旧物资的回收；对事故机械车辆</w:t>
      </w:r>
      <w:r>
        <w:rPr>
          <w:rFonts w:hint="eastAsia" w:hAnsi="Times New Roman" w:cs="Times New Roman"/>
        </w:rPr>
        <w:t>外运</w:t>
      </w:r>
      <w:r>
        <w:rPr>
          <w:rFonts w:hAnsi="Times New Roman" w:cs="Times New Roman"/>
        </w:rPr>
        <w:t>维修，对废油类物质及时回收处理；严格控制运输过程中的跑冒滴漏。</w:t>
      </w:r>
    </w:p>
    <w:p w14:paraId="5C360006">
      <w:pPr>
        <w:ind w:firstLine="480"/>
        <w:rPr>
          <w:rFonts w:hAnsi="Times New Roman" w:cs="Times New Roman"/>
        </w:rPr>
      </w:pPr>
      <w:r>
        <w:rPr>
          <w:rFonts w:hAnsi="Times New Roman" w:cs="Times New Roman"/>
        </w:rPr>
        <w:t>本报告主要分析工程运行中石油类泄漏对土壤的影响。运营期，本项目石油类泄漏污染土壤的主要传输途径为垂直入渗。</w:t>
      </w:r>
    </w:p>
    <w:p w14:paraId="5CCF4126">
      <w:pPr>
        <w:pStyle w:val="5"/>
        <w:spacing w:before="120" w:after="120"/>
      </w:pPr>
      <w:r>
        <w:t>预测因子</w:t>
      </w:r>
    </w:p>
    <w:p w14:paraId="7B271B4F">
      <w:pPr>
        <w:ind w:firstLine="480"/>
        <w:rPr>
          <w:rFonts w:hAnsi="Times New Roman" w:cs="Times New Roman"/>
        </w:rPr>
      </w:pPr>
      <w:r>
        <w:rPr>
          <w:rFonts w:hAnsi="Times New Roman" w:cs="Times New Roman"/>
        </w:rPr>
        <w:t>根据工程分析、环境影响因素识别及判定结果，确定本项目环境影响要素的评价因子如下：</w:t>
      </w:r>
    </w:p>
    <w:p w14:paraId="02F8A524">
      <w:pPr>
        <w:ind w:firstLine="480"/>
        <w:rPr>
          <w:rFonts w:hAnsi="Times New Roman" w:cs="Times New Roman"/>
        </w:rPr>
      </w:pPr>
      <w:r>
        <w:rPr>
          <w:rFonts w:hAnsi="Times New Roman" w:cs="Times New Roman"/>
        </w:rPr>
        <w:t>垂直入渗：石油类。</w:t>
      </w:r>
    </w:p>
    <w:p w14:paraId="71181F21">
      <w:pPr>
        <w:ind w:firstLine="480"/>
        <w:rPr>
          <w:rFonts w:hAnsi="Times New Roman" w:cs="Times New Roman"/>
        </w:rPr>
      </w:pPr>
      <w:r>
        <w:rPr>
          <w:rFonts w:hAnsi="Times New Roman" w:cs="Times New Roman"/>
        </w:rPr>
        <w:t>本项目为土砂石开采项目，矿山采区为露天开采，不会造成酸化、碱化、盐化等生态型土壤影响，不会造成所在区域地下水位明显抬升</w:t>
      </w:r>
      <w:r>
        <w:rPr>
          <w:rFonts w:hint="eastAsia" w:hAnsi="Times New Roman" w:cs="Times New Roman"/>
        </w:rPr>
        <w:t>，</w:t>
      </w:r>
      <w:r>
        <w:rPr>
          <w:rFonts w:hAnsi="Times New Roman" w:cs="Times New Roman"/>
        </w:rPr>
        <w:t>因此，本项目按污染影响型项目考虑。根据《环境影响评价技术导则 土壤环境（试行）》（HJ964-2018），可采用类比分析法。</w:t>
      </w:r>
    </w:p>
    <w:p w14:paraId="422CFA3C">
      <w:pPr>
        <w:ind w:firstLine="480"/>
        <w:rPr>
          <w:rFonts w:hAnsi="Times New Roman" w:cs="Times New Roman"/>
        </w:rPr>
      </w:pPr>
      <w:r>
        <w:rPr>
          <w:rFonts w:hAnsi="Times New Roman" w:cs="Times New Roman"/>
        </w:rPr>
        <w:t>厂区运输车辆不长时间停留，采用合格的挖掘机和</w:t>
      </w:r>
      <w:r>
        <w:rPr>
          <w:rFonts w:hint="eastAsia"/>
        </w:rPr>
        <w:t>装载机并定期检查，</w:t>
      </w:r>
      <w:r>
        <w:rPr>
          <w:rFonts w:hAnsi="Times New Roman" w:cs="Times New Roman"/>
        </w:rPr>
        <w:t>泄露几率较小，对土壤的影响概率较小，本项目对垂直入渗及地面漫流途径对土壤的影响进行定性分析。</w:t>
      </w:r>
    </w:p>
    <w:p w14:paraId="419F1A69">
      <w:pPr>
        <w:pStyle w:val="5"/>
        <w:spacing w:before="120" w:after="120"/>
      </w:pPr>
      <w:r>
        <w:t>垂直入渗途径土壤环境影响分析</w:t>
      </w:r>
    </w:p>
    <w:p w14:paraId="3789CBFD">
      <w:pPr>
        <w:ind w:firstLine="480"/>
      </w:pPr>
      <w:r>
        <w:t>本项目可能造成入渗影响的主要为</w:t>
      </w:r>
      <w:r>
        <w:rPr>
          <w:rFonts w:hint="eastAsia"/>
        </w:rPr>
        <w:t>设备</w:t>
      </w:r>
      <w:r>
        <w:t>泄漏。</w:t>
      </w:r>
    </w:p>
    <w:p w14:paraId="046953BD">
      <w:pPr>
        <w:ind w:firstLine="480"/>
      </w:pPr>
      <w:r>
        <w:t>正常状况下，</w:t>
      </w:r>
      <w:r>
        <w:rPr>
          <w:rFonts w:hint="eastAsia"/>
        </w:rPr>
        <w:t>柴油、机油均在设备内部</w:t>
      </w:r>
      <w:r>
        <w:t>。在采取源头控制和分区防控措施的基础上，正常状况下不应有污染物渗漏至地下的情景发生。因此，本次土壤污染主要考虑非正常状况。</w:t>
      </w:r>
    </w:p>
    <w:p w14:paraId="03F377F8">
      <w:pPr>
        <w:ind w:firstLine="480"/>
      </w:pPr>
      <w:r>
        <w:t>根据企业的实际情况分析，项目机油、柴油均为石油类污染，</w:t>
      </w:r>
      <w:r>
        <w:rPr>
          <w:rFonts w:hint="eastAsia"/>
        </w:rPr>
        <w:t>项目</w:t>
      </w:r>
      <w:r>
        <w:t>选用设备均为合格设备，定期保养</w:t>
      </w:r>
      <w:r>
        <w:rPr>
          <w:rFonts w:hint="eastAsia"/>
        </w:rPr>
        <w:t>，</w:t>
      </w:r>
      <w:r>
        <w:t>泄露情况较少，对周边土壤环境影响有限。综上分析，本项目垂直入渗对土壤影响较小。</w:t>
      </w:r>
    </w:p>
    <w:p w14:paraId="45FB7B46">
      <w:pPr>
        <w:pStyle w:val="5"/>
        <w:spacing w:before="120" w:after="120"/>
      </w:pPr>
      <w:r>
        <w:t>地面漫流途径土壤环境影响分析</w:t>
      </w:r>
    </w:p>
    <w:p w14:paraId="6ADE2235">
      <w:pPr>
        <w:ind w:firstLine="480"/>
      </w:pPr>
      <w:r>
        <w:t>对于地上设施，在事故情况和降雨情况下产生的废水会发生地面漫流，污染土壤。</w:t>
      </w:r>
      <w:r>
        <w:rPr>
          <w:rFonts w:hint="eastAsia"/>
        </w:rPr>
        <w:t>项目不设置</w:t>
      </w:r>
      <w:r>
        <w:t>机油贮存场所，设备泄露及时运往维修点处理，地表机油及时擦除</w:t>
      </w:r>
      <w:r>
        <w:rPr>
          <w:rFonts w:hint="eastAsia"/>
        </w:rPr>
        <w:t>，</w:t>
      </w:r>
      <w:r>
        <w:t>全面防控可能受污染的雨水发生地面漫流，进入土壤。在全面落实防控措施的情况下，物料或污染物的地面漫流对土壤影响较小。</w:t>
      </w:r>
    </w:p>
    <w:p w14:paraId="02BE0450">
      <w:pPr>
        <w:pStyle w:val="5"/>
        <w:spacing w:before="120" w:after="120"/>
      </w:pPr>
      <w:r>
        <w:t>预测评价结论</w:t>
      </w:r>
    </w:p>
    <w:p w14:paraId="158FF810">
      <w:pPr>
        <w:ind w:firstLine="480"/>
      </w:pPr>
      <w:r>
        <w:t>本项目通过根据土壤环境影响类型和评价等级，从垂直入渗等途径，分析了项目运营对土壤环境的影响。建设项目在认真落实土壤环境保护措施，强化运营期环境管理，严格控制和消除土壤污染源。严防因“三废”处理不合理或处置措施不当对土壤污染事件发生，正常状况下，不会对土壤环境产生不良影响。</w:t>
      </w:r>
    </w:p>
    <w:p w14:paraId="58B87538">
      <w:pPr>
        <w:pStyle w:val="3"/>
        <w:spacing w:before="180" w:after="120"/>
        <w:rPr>
          <w:rFonts w:cs="Times New Roman"/>
          <w:bCs/>
        </w:rPr>
      </w:pPr>
      <w:bookmarkStart w:id="460" w:name="_Toc27939"/>
      <w:bookmarkStart w:id="461" w:name="_Toc234927705"/>
      <w:bookmarkStart w:id="462" w:name="_Toc521678725"/>
      <w:bookmarkStart w:id="463" w:name="_Toc488312016"/>
      <w:bookmarkStart w:id="464" w:name="_Toc406239875"/>
      <w:r>
        <w:rPr>
          <w:rFonts w:cs="Times New Roman"/>
        </w:rPr>
        <w:t>生态影响预测与评价</w:t>
      </w:r>
      <w:bookmarkEnd w:id="460"/>
      <w:bookmarkEnd w:id="461"/>
    </w:p>
    <w:p w14:paraId="26A217A0">
      <w:pPr>
        <w:pStyle w:val="4"/>
        <w:spacing w:before="180" w:after="120"/>
      </w:pPr>
      <w:r>
        <w:rPr>
          <w:rFonts w:hint="eastAsia"/>
        </w:rPr>
        <w:t>施工期生态影响分析</w:t>
      </w:r>
    </w:p>
    <w:p w14:paraId="7CCB6081">
      <w:pPr>
        <w:pStyle w:val="5"/>
        <w:spacing w:before="120" w:after="120"/>
      </w:pPr>
      <w:r>
        <w:rPr>
          <w:rFonts w:hint="eastAsia"/>
        </w:rPr>
        <w:t>施工期对土地利用影响</w:t>
      </w:r>
    </w:p>
    <w:p w14:paraId="56B0061D">
      <w:pPr>
        <w:ind w:firstLine="480"/>
      </w:pPr>
      <w:r>
        <w:t>根据现场调查对遥感图像的解译和工程规划，获得</w:t>
      </w:r>
      <w:r>
        <w:rPr>
          <w:rFonts w:hint="eastAsia"/>
        </w:rPr>
        <w:t>项目</w:t>
      </w:r>
      <w:r>
        <w:t>建设后的土地利用变化情况。</w:t>
      </w:r>
      <w:r>
        <w:rPr>
          <w:rFonts w:hint="eastAsia"/>
        </w:rPr>
        <w:t>黑龙江省嫩江市马厂河采石场开采，</w:t>
      </w:r>
      <w:r>
        <w:t>本项目永久占地面积</w:t>
      </w:r>
      <w:r>
        <w:rPr>
          <w:rFonts w:hint="eastAsia"/>
        </w:rPr>
        <w:t>11.01hm</w:t>
      </w:r>
      <w:r>
        <w:rPr>
          <w:vertAlign w:val="superscript"/>
        </w:rPr>
        <w:t>2</w:t>
      </w:r>
      <w:r>
        <w:rPr>
          <w:rFonts w:hint="eastAsia"/>
        </w:rPr>
        <w:t>，土地性质为工矿仓储用地，现状用地范围内存在11.01hm</w:t>
      </w:r>
      <w:r>
        <w:rPr>
          <w:rFonts w:hint="eastAsia"/>
          <w:vertAlign w:val="superscript"/>
        </w:rPr>
        <w:t>2</w:t>
      </w:r>
      <w:r>
        <w:rPr>
          <w:rFonts w:hint="eastAsia"/>
        </w:rPr>
        <w:t>乔木林地，</w:t>
      </w:r>
      <w:r>
        <w:rPr>
          <w:rFonts w:hAnsi="Times New Roman" w:cs="Times New Roman"/>
          <w:szCs w:val="28"/>
        </w:rPr>
        <w:t>种类</w:t>
      </w:r>
      <w:r>
        <w:rPr>
          <w:rFonts w:hint="eastAsia" w:cs="Times New Roman"/>
          <w:szCs w:val="28"/>
        </w:rPr>
        <w:t>主要为蒙古栎</w:t>
      </w:r>
      <w:r>
        <w:rPr>
          <w:rFonts w:hint="eastAsia" w:hAnsi="Times New Roman" w:cs="Times New Roman"/>
          <w:szCs w:val="28"/>
        </w:rPr>
        <w:t>；</w:t>
      </w:r>
      <w:r>
        <w:rPr>
          <w:rFonts w:hint="eastAsia"/>
        </w:rPr>
        <w:t>道路依托原有道路，无新建道路。工程建设期间，将扰动原地貌、损坏土地和植被的面积为11.01hm</w:t>
      </w:r>
      <w:r>
        <w:rPr>
          <w:rFonts w:hint="eastAsia"/>
          <w:vertAlign w:val="superscript"/>
        </w:rPr>
        <w:t>2</w:t>
      </w:r>
      <w:r>
        <w:rPr>
          <w:rFonts w:hint="eastAsia"/>
        </w:rPr>
        <w:t>，项目建成后，永久占地范围内土地利用性质未发生改变，永久占地面积占评价范围总面积的比例较小。因此，工程占地对土地利用格局的影响不大。</w:t>
      </w:r>
    </w:p>
    <w:p w14:paraId="1153FF1A">
      <w:pPr>
        <w:pStyle w:val="178"/>
        <w:tabs>
          <w:tab w:val="left" w:pos="5954"/>
        </w:tabs>
      </w:pPr>
      <w:r>
        <w:t>表</w:t>
      </w:r>
      <w:r>
        <w:rPr>
          <w:rFonts w:hint="eastAsia"/>
        </w:rPr>
        <w:t>5.3-1</w:t>
      </w:r>
      <w:r>
        <w:t xml:space="preserve">  项目建设前后土地利用变化情况</w:t>
      </w:r>
    </w:p>
    <w:tbl>
      <w:tblPr>
        <w:tblStyle w:val="37"/>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681"/>
        <w:gridCol w:w="1104"/>
        <w:gridCol w:w="1105"/>
        <w:gridCol w:w="1308"/>
        <w:gridCol w:w="1308"/>
        <w:gridCol w:w="1014"/>
        <w:gridCol w:w="952"/>
      </w:tblGrid>
      <w:tr w14:paraId="14237EC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853" w:type="dxa"/>
            <w:vMerge w:val="restart"/>
            <w:noWrap/>
            <w:vAlign w:val="center"/>
          </w:tcPr>
          <w:p w14:paraId="0D611F5F">
            <w:pPr>
              <w:pStyle w:val="179"/>
              <w:widowControl w:val="0"/>
              <w:rPr>
                <w:b/>
              </w:rPr>
            </w:pPr>
            <w:r>
              <w:rPr>
                <w:b/>
              </w:rPr>
              <w:t>土地类型</w:t>
            </w:r>
          </w:p>
        </w:tc>
        <w:tc>
          <w:tcPr>
            <w:tcW w:w="2417" w:type="dxa"/>
            <w:gridSpan w:val="2"/>
            <w:noWrap/>
            <w:vAlign w:val="center"/>
          </w:tcPr>
          <w:p w14:paraId="1CFD41EC">
            <w:pPr>
              <w:pStyle w:val="179"/>
              <w:widowControl w:val="0"/>
              <w:rPr>
                <w:b/>
              </w:rPr>
            </w:pPr>
            <w:r>
              <w:rPr>
                <w:b/>
              </w:rPr>
              <w:t>建设前</w:t>
            </w:r>
          </w:p>
        </w:tc>
        <w:tc>
          <w:tcPr>
            <w:tcW w:w="2872" w:type="dxa"/>
            <w:gridSpan w:val="2"/>
            <w:noWrap/>
            <w:vAlign w:val="center"/>
          </w:tcPr>
          <w:p w14:paraId="1E8D290C">
            <w:pPr>
              <w:pStyle w:val="179"/>
              <w:widowControl w:val="0"/>
              <w:rPr>
                <w:b/>
              </w:rPr>
            </w:pPr>
            <w:r>
              <w:rPr>
                <w:b/>
              </w:rPr>
              <w:t>建设后</w:t>
            </w:r>
          </w:p>
        </w:tc>
        <w:tc>
          <w:tcPr>
            <w:tcW w:w="1108" w:type="dxa"/>
            <w:vMerge w:val="restart"/>
            <w:noWrap/>
            <w:vAlign w:val="center"/>
          </w:tcPr>
          <w:p w14:paraId="69A74629">
            <w:pPr>
              <w:pStyle w:val="179"/>
              <w:widowControl w:val="0"/>
              <w:rPr>
                <w:b/>
              </w:rPr>
            </w:pPr>
            <w:r>
              <w:rPr>
                <w:b/>
              </w:rPr>
              <w:t>变化量（hm</w:t>
            </w:r>
            <w:r>
              <w:rPr>
                <w:b/>
                <w:vertAlign w:val="superscript"/>
              </w:rPr>
              <w:t>2</w:t>
            </w:r>
            <w:r>
              <w:rPr>
                <w:b/>
              </w:rPr>
              <w:t>）</w:t>
            </w:r>
          </w:p>
        </w:tc>
        <w:tc>
          <w:tcPr>
            <w:tcW w:w="1037" w:type="dxa"/>
            <w:vMerge w:val="restart"/>
            <w:noWrap/>
            <w:vAlign w:val="center"/>
          </w:tcPr>
          <w:p w14:paraId="54E996B6">
            <w:pPr>
              <w:pStyle w:val="179"/>
              <w:widowControl w:val="0"/>
              <w:rPr>
                <w:b/>
              </w:rPr>
            </w:pPr>
            <w:r>
              <w:rPr>
                <w:b/>
              </w:rPr>
              <w:t>变化率（%）</w:t>
            </w:r>
          </w:p>
        </w:tc>
      </w:tr>
      <w:tr w14:paraId="1A829A9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853" w:type="dxa"/>
            <w:vMerge w:val="continue"/>
            <w:noWrap/>
            <w:vAlign w:val="center"/>
          </w:tcPr>
          <w:p w14:paraId="2AAA6251">
            <w:pPr>
              <w:pStyle w:val="179"/>
              <w:widowControl w:val="0"/>
              <w:rPr>
                <w:b/>
              </w:rPr>
            </w:pPr>
          </w:p>
        </w:tc>
        <w:tc>
          <w:tcPr>
            <w:tcW w:w="1208" w:type="dxa"/>
            <w:noWrap/>
            <w:vAlign w:val="center"/>
          </w:tcPr>
          <w:p w14:paraId="03F8F2D7">
            <w:pPr>
              <w:pStyle w:val="179"/>
              <w:widowControl w:val="0"/>
              <w:rPr>
                <w:b/>
              </w:rPr>
            </w:pPr>
            <w:r>
              <w:rPr>
                <w:b/>
              </w:rPr>
              <w:t>面积（hm</w:t>
            </w:r>
            <w:r>
              <w:rPr>
                <w:b/>
                <w:vertAlign w:val="superscript"/>
              </w:rPr>
              <w:t>2</w:t>
            </w:r>
            <w:r>
              <w:rPr>
                <w:b/>
              </w:rPr>
              <w:t>）</w:t>
            </w:r>
          </w:p>
        </w:tc>
        <w:tc>
          <w:tcPr>
            <w:tcW w:w="1209" w:type="dxa"/>
            <w:noWrap/>
            <w:vAlign w:val="center"/>
          </w:tcPr>
          <w:p w14:paraId="708245B2">
            <w:pPr>
              <w:pStyle w:val="179"/>
              <w:widowControl w:val="0"/>
              <w:rPr>
                <w:b/>
              </w:rPr>
            </w:pPr>
            <w:r>
              <w:rPr>
                <w:b/>
              </w:rPr>
              <w:t>比例（%）</w:t>
            </w:r>
          </w:p>
        </w:tc>
        <w:tc>
          <w:tcPr>
            <w:tcW w:w="1436" w:type="dxa"/>
            <w:noWrap/>
            <w:vAlign w:val="center"/>
          </w:tcPr>
          <w:p w14:paraId="7F8FBE20">
            <w:pPr>
              <w:pStyle w:val="179"/>
              <w:widowControl w:val="0"/>
              <w:rPr>
                <w:b/>
              </w:rPr>
            </w:pPr>
            <w:r>
              <w:rPr>
                <w:b/>
              </w:rPr>
              <w:t>面积（hm</w:t>
            </w:r>
            <w:r>
              <w:rPr>
                <w:b/>
                <w:vertAlign w:val="superscript"/>
              </w:rPr>
              <w:t>2</w:t>
            </w:r>
            <w:r>
              <w:rPr>
                <w:b/>
              </w:rPr>
              <w:t>）</w:t>
            </w:r>
          </w:p>
        </w:tc>
        <w:tc>
          <w:tcPr>
            <w:tcW w:w="1436" w:type="dxa"/>
            <w:noWrap/>
            <w:vAlign w:val="center"/>
          </w:tcPr>
          <w:p w14:paraId="7DA3F287">
            <w:pPr>
              <w:pStyle w:val="179"/>
              <w:widowControl w:val="0"/>
              <w:rPr>
                <w:b/>
              </w:rPr>
            </w:pPr>
            <w:r>
              <w:rPr>
                <w:b/>
              </w:rPr>
              <w:t>比例（%）</w:t>
            </w:r>
          </w:p>
        </w:tc>
        <w:tc>
          <w:tcPr>
            <w:tcW w:w="1108" w:type="dxa"/>
            <w:vMerge w:val="continue"/>
            <w:noWrap/>
            <w:vAlign w:val="center"/>
          </w:tcPr>
          <w:p w14:paraId="20C3D14F">
            <w:pPr>
              <w:pStyle w:val="179"/>
              <w:widowControl w:val="0"/>
              <w:rPr>
                <w:b/>
              </w:rPr>
            </w:pPr>
          </w:p>
        </w:tc>
        <w:tc>
          <w:tcPr>
            <w:tcW w:w="1037" w:type="dxa"/>
            <w:vMerge w:val="continue"/>
            <w:noWrap/>
            <w:vAlign w:val="center"/>
          </w:tcPr>
          <w:p w14:paraId="379D2FEA">
            <w:pPr>
              <w:pStyle w:val="179"/>
              <w:widowControl w:val="0"/>
              <w:rPr>
                <w:b/>
              </w:rPr>
            </w:pPr>
          </w:p>
        </w:tc>
      </w:tr>
      <w:tr w14:paraId="4E56F94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53" w:type="dxa"/>
            <w:noWrap/>
            <w:vAlign w:val="center"/>
          </w:tcPr>
          <w:p w14:paraId="349160AD">
            <w:pPr>
              <w:pStyle w:val="179"/>
              <w:widowControl w:val="0"/>
            </w:pPr>
            <w:r>
              <w:rPr>
                <w:rFonts w:hint="eastAsia"/>
              </w:rPr>
              <w:t>旱地</w:t>
            </w:r>
          </w:p>
        </w:tc>
        <w:tc>
          <w:tcPr>
            <w:tcW w:w="1208" w:type="dxa"/>
            <w:noWrap/>
            <w:vAlign w:val="center"/>
          </w:tcPr>
          <w:p w14:paraId="2340C725">
            <w:pPr>
              <w:pStyle w:val="179"/>
              <w:widowControl w:val="0"/>
            </w:pPr>
            <w:r>
              <w:rPr>
                <w:rFonts w:hint="eastAsia"/>
              </w:rPr>
              <w:t>121.88</w:t>
            </w:r>
          </w:p>
        </w:tc>
        <w:tc>
          <w:tcPr>
            <w:tcW w:w="1209" w:type="dxa"/>
            <w:noWrap/>
            <w:vAlign w:val="center"/>
          </w:tcPr>
          <w:p w14:paraId="58052641">
            <w:pPr>
              <w:pStyle w:val="179"/>
              <w:widowControl w:val="0"/>
            </w:pPr>
            <w:r>
              <w:rPr>
                <w:rFonts w:hint="eastAsia"/>
              </w:rPr>
              <w:t>24.28</w:t>
            </w:r>
          </w:p>
        </w:tc>
        <w:tc>
          <w:tcPr>
            <w:tcW w:w="1436" w:type="dxa"/>
            <w:noWrap/>
            <w:vAlign w:val="center"/>
          </w:tcPr>
          <w:p w14:paraId="28671CEF">
            <w:pPr>
              <w:pStyle w:val="179"/>
              <w:widowControl w:val="0"/>
            </w:pPr>
            <w:r>
              <w:rPr>
                <w:rFonts w:hint="eastAsia"/>
              </w:rPr>
              <w:t>121.88</w:t>
            </w:r>
          </w:p>
        </w:tc>
        <w:tc>
          <w:tcPr>
            <w:tcW w:w="1436" w:type="dxa"/>
            <w:noWrap/>
            <w:vAlign w:val="center"/>
          </w:tcPr>
          <w:p w14:paraId="78DC1F43">
            <w:pPr>
              <w:pStyle w:val="179"/>
              <w:widowControl w:val="0"/>
            </w:pPr>
            <w:r>
              <w:rPr>
                <w:rFonts w:hint="eastAsia"/>
              </w:rPr>
              <w:t>24.28</w:t>
            </w:r>
          </w:p>
        </w:tc>
        <w:tc>
          <w:tcPr>
            <w:tcW w:w="1108" w:type="dxa"/>
            <w:noWrap/>
            <w:vAlign w:val="center"/>
          </w:tcPr>
          <w:p w14:paraId="09983360">
            <w:pPr>
              <w:pStyle w:val="179"/>
              <w:widowControl w:val="0"/>
            </w:pPr>
            <w:r>
              <w:rPr>
                <w:rFonts w:hint="eastAsia"/>
              </w:rPr>
              <w:t>0</w:t>
            </w:r>
          </w:p>
        </w:tc>
        <w:tc>
          <w:tcPr>
            <w:tcW w:w="1037" w:type="dxa"/>
            <w:noWrap/>
            <w:vAlign w:val="center"/>
          </w:tcPr>
          <w:p w14:paraId="5C50E2C2">
            <w:pPr>
              <w:pStyle w:val="179"/>
              <w:widowControl w:val="0"/>
            </w:pPr>
            <w:r>
              <w:rPr>
                <w:rFonts w:hint="eastAsia"/>
              </w:rPr>
              <w:t>0</w:t>
            </w:r>
          </w:p>
        </w:tc>
      </w:tr>
      <w:tr w14:paraId="7DB92AF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53" w:type="dxa"/>
            <w:noWrap/>
            <w:vAlign w:val="center"/>
          </w:tcPr>
          <w:p w14:paraId="63F624A4">
            <w:pPr>
              <w:pStyle w:val="179"/>
              <w:widowControl w:val="0"/>
            </w:pPr>
            <w:r>
              <w:rPr>
                <w:rFonts w:hint="eastAsia"/>
              </w:rPr>
              <w:t>乔木林地</w:t>
            </w:r>
          </w:p>
        </w:tc>
        <w:tc>
          <w:tcPr>
            <w:tcW w:w="1208" w:type="dxa"/>
            <w:noWrap/>
            <w:vAlign w:val="center"/>
          </w:tcPr>
          <w:p w14:paraId="47D488F6">
            <w:pPr>
              <w:pStyle w:val="179"/>
              <w:widowControl w:val="0"/>
            </w:pPr>
            <w:r>
              <w:rPr>
                <w:rFonts w:hint="eastAsia"/>
              </w:rPr>
              <w:t>274.35</w:t>
            </w:r>
          </w:p>
        </w:tc>
        <w:tc>
          <w:tcPr>
            <w:tcW w:w="1209" w:type="dxa"/>
            <w:noWrap/>
            <w:vAlign w:val="center"/>
          </w:tcPr>
          <w:p w14:paraId="50A65B53">
            <w:pPr>
              <w:pStyle w:val="179"/>
              <w:widowControl w:val="0"/>
            </w:pPr>
            <w:r>
              <w:rPr>
                <w:rFonts w:hint="eastAsia"/>
              </w:rPr>
              <w:t>54.65</w:t>
            </w:r>
          </w:p>
        </w:tc>
        <w:tc>
          <w:tcPr>
            <w:tcW w:w="1436" w:type="dxa"/>
            <w:noWrap/>
            <w:vAlign w:val="center"/>
          </w:tcPr>
          <w:p w14:paraId="386E35FE">
            <w:pPr>
              <w:pStyle w:val="179"/>
              <w:widowControl w:val="0"/>
            </w:pPr>
            <w:r>
              <w:rPr>
                <w:rFonts w:hint="eastAsia"/>
              </w:rPr>
              <w:t>263.35</w:t>
            </w:r>
          </w:p>
        </w:tc>
        <w:tc>
          <w:tcPr>
            <w:tcW w:w="1436" w:type="dxa"/>
            <w:noWrap/>
            <w:vAlign w:val="center"/>
          </w:tcPr>
          <w:p w14:paraId="6F7067F9">
            <w:pPr>
              <w:pStyle w:val="179"/>
              <w:widowControl w:val="0"/>
            </w:pPr>
            <w:r>
              <w:rPr>
                <w:rFonts w:hint="eastAsia"/>
              </w:rPr>
              <w:t>52.46</w:t>
            </w:r>
          </w:p>
        </w:tc>
        <w:tc>
          <w:tcPr>
            <w:tcW w:w="1108" w:type="dxa"/>
            <w:noWrap/>
            <w:vAlign w:val="center"/>
          </w:tcPr>
          <w:p w14:paraId="0923E322">
            <w:pPr>
              <w:pStyle w:val="179"/>
              <w:widowControl w:val="0"/>
            </w:pPr>
            <w:r>
              <w:rPr>
                <w:rFonts w:hint="eastAsia"/>
              </w:rPr>
              <w:t>11</w:t>
            </w:r>
          </w:p>
        </w:tc>
        <w:tc>
          <w:tcPr>
            <w:tcW w:w="1037" w:type="dxa"/>
            <w:noWrap/>
            <w:vAlign w:val="center"/>
          </w:tcPr>
          <w:p w14:paraId="06F915DB">
            <w:pPr>
              <w:pStyle w:val="179"/>
              <w:widowControl w:val="0"/>
            </w:pPr>
            <w:r>
              <w:rPr>
                <w:rFonts w:hint="eastAsia"/>
              </w:rPr>
              <w:t>2.19</w:t>
            </w:r>
          </w:p>
        </w:tc>
      </w:tr>
      <w:tr w14:paraId="5D838A8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53" w:type="dxa"/>
            <w:noWrap/>
            <w:vAlign w:val="center"/>
          </w:tcPr>
          <w:p w14:paraId="21522E5C">
            <w:pPr>
              <w:pStyle w:val="179"/>
              <w:widowControl w:val="0"/>
            </w:pPr>
            <w:r>
              <w:rPr>
                <w:rFonts w:hint="eastAsia"/>
              </w:rPr>
              <w:t>其他草地</w:t>
            </w:r>
          </w:p>
        </w:tc>
        <w:tc>
          <w:tcPr>
            <w:tcW w:w="1208" w:type="dxa"/>
            <w:noWrap/>
            <w:vAlign w:val="center"/>
          </w:tcPr>
          <w:p w14:paraId="2E606A71">
            <w:pPr>
              <w:pStyle w:val="179"/>
              <w:widowControl w:val="0"/>
            </w:pPr>
            <w:r>
              <w:rPr>
                <w:rFonts w:hint="eastAsia"/>
              </w:rPr>
              <w:t>64.63</w:t>
            </w:r>
          </w:p>
        </w:tc>
        <w:tc>
          <w:tcPr>
            <w:tcW w:w="1209" w:type="dxa"/>
            <w:noWrap/>
            <w:vAlign w:val="center"/>
          </w:tcPr>
          <w:p w14:paraId="554910BA">
            <w:pPr>
              <w:pStyle w:val="179"/>
              <w:widowControl w:val="0"/>
            </w:pPr>
            <w:r>
              <w:rPr>
                <w:rFonts w:hint="eastAsia"/>
              </w:rPr>
              <w:t>12.87</w:t>
            </w:r>
          </w:p>
        </w:tc>
        <w:tc>
          <w:tcPr>
            <w:tcW w:w="1436" w:type="dxa"/>
            <w:noWrap/>
            <w:vAlign w:val="center"/>
          </w:tcPr>
          <w:p w14:paraId="4132778A">
            <w:pPr>
              <w:pStyle w:val="179"/>
              <w:widowControl w:val="0"/>
            </w:pPr>
            <w:r>
              <w:rPr>
                <w:rFonts w:hint="eastAsia"/>
              </w:rPr>
              <w:t>64.63</w:t>
            </w:r>
          </w:p>
        </w:tc>
        <w:tc>
          <w:tcPr>
            <w:tcW w:w="1436" w:type="dxa"/>
            <w:noWrap/>
            <w:vAlign w:val="center"/>
          </w:tcPr>
          <w:p w14:paraId="753DC2F2">
            <w:pPr>
              <w:pStyle w:val="179"/>
              <w:widowControl w:val="0"/>
            </w:pPr>
            <w:r>
              <w:rPr>
                <w:rFonts w:hint="eastAsia"/>
              </w:rPr>
              <w:t>12.87</w:t>
            </w:r>
          </w:p>
        </w:tc>
        <w:tc>
          <w:tcPr>
            <w:tcW w:w="1108" w:type="dxa"/>
            <w:noWrap/>
            <w:vAlign w:val="center"/>
          </w:tcPr>
          <w:p w14:paraId="74E2C7A8">
            <w:pPr>
              <w:pStyle w:val="179"/>
              <w:widowControl w:val="0"/>
            </w:pPr>
            <w:r>
              <w:rPr>
                <w:rFonts w:hint="eastAsia"/>
              </w:rPr>
              <w:t>0</w:t>
            </w:r>
          </w:p>
        </w:tc>
        <w:tc>
          <w:tcPr>
            <w:tcW w:w="1037" w:type="dxa"/>
            <w:noWrap/>
            <w:vAlign w:val="center"/>
          </w:tcPr>
          <w:p w14:paraId="037BACA6">
            <w:pPr>
              <w:pStyle w:val="179"/>
              <w:widowControl w:val="0"/>
            </w:pPr>
            <w:r>
              <w:rPr>
                <w:rFonts w:hint="eastAsia"/>
              </w:rPr>
              <w:t>0</w:t>
            </w:r>
          </w:p>
        </w:tc>
      </w:tr>
      <w:tr w14:paraId="657FC4D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53" w:type="dxa"/>
            <w:noWrap/>
            <w:vAlign w:val="center"/>
          </w:tcPr>
          <w:p w14:paraId="28737A17">
            <w:pPr>
              <w:pStyle w:val="179"/>
              <w:widowControl w:val="0"/>
            </w:pPr>
            <w:r>
              <w:rPr>
                <w:rFonts w:hint="eastAsia"/>
              </w:rPr>
              <w:t>公路用地</w:t>
            </w:r>
          </w:p>
        </w:tc>
        <w:tc>
          <w:tcPr>
            <w:tcW w:w="1208" w:type="dxa"/>
            <w:noWrap/>
            <w:vAlign w:val="center"/>
          </w:tcPr>
          <w:p w14:paraId="0180738E">
            <w:pPr>
              <w:pStyle w:val="179"/>
              <w:widowControl w:val="0"/>
            </w:pPr>
            <w:r>
              <w:rPr>
                <w:rFonts w:hint="eastAsia"/>
              </w:rPr>
              <w:t>12.47</w:t>
            </w:r>
          </w:p>
        </w:tc>
        <w:tc>
          <w:tcPr>
            <w:tcW w:w="1209" w:type="dxa"/>
            <w:noWrap/>
            <w:vAlign w:val="center"/>
          </w:tcPr>
          <w:p w14:paraId="7A40FD4E">
            <w:pPr>
              <w:pStyle w:val="179"/>
              <w:widowControl w:val="0"/>
            </w:pPr>
            <w:r>
              <w:rPr>
                <w:rFonts w:hint="eastAsia"/>
              </w:rPr>
              <w:t>2.48</w:t>
            </w:r>
          </w:p>
        </w:tc>
        <w:tc>
          <w:tcPr>
            <w:tcW w:w="1436" w:type="dxa"/>
            <w:noWrap/>
            <w:vAlign w:val="center"/>
          </w:tcPr>
          <w:p w14:paraId="19D52A77">
            <w:pPr>
              <w:pStyle w:val="179"/>
              <w:widowControl w:val="0"/>
            </w:pPr>
            <w:r>
              <w:rPr>
                <w:rFonts w:hint="eastAsia"/>
              </w:rPr>
              <w:t>12.47</w:t>
            </w:r>
          </w:p>
        </w:tc>
        <w:tc>
          <w:tcPr>
            <w:tcW w:w="1436" w:type="dxa"/>
            <w:noWrap/>
            <w:vAlign w:val="center"/>
          </w:tcPr>
          <w:p w14:paraId="6128EC42">
            <w:pPr>
              <w:pStyle w:val="179"/>
              <w:widowControl w:val="0"/>
            </w:pPr>
            <w:r>
              <w:rPr>
                <w:rFonts w:hint="eastAsia"/>
              </w:rPr>
              <w:t>2.48</w:t>
            </w:r>
          </w:p>
        </w:tc>
        <w:tc>
          <w:tcPr>
            <w:tcW w:w="1108" w:type="dxa"/>
            <w:noWrap/>
            <w:vAlign w:val="center"/>
          </w:tcPr>
          <w:p w14:paraId="4DA347EC">
            <w:pPr>
              <w:pStyle w:val="179"/>
              <w:widowControl w:val="0"/>
            </w:pPr>
            <w:r>
              <w:rPr>
                <w:rFonts w:hint="eastAsia"/>
              </w:rPr>
              <w:t>0</w:t>
            </w:r>
          </w:p>
        </w:tc>
        <w:tc>
          <w:tcPr>
            <w:tcW w:w="1037" w:type="dxa"/>
            <w:noWrap/>
            <w:vAlign w:val="center"/>
          </w:tcPr>
          <w:p w14:paraId="0B9603E7">
            <w:pPr>
              <w:pStyle w:val="179"/>
              <w:widowControl w:val="0"/>
            </w:pPr>
            <w:r>
              <w:rPr>
                <w:rFonts w:hint="eastAsia"/>
              </w:rPr>
              <w:t>0</w:t>
            </w:r>
          </w:p>
        </w:tc>
      </w:tr>
      <w:tr w14:paraId="361566A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53" w:type="dxa"/>
            <w:noWrap/>
            <w:vAlign w:val="center"/>
          </w:tcPr>
          <w:p w14:paraId="5B32BD19">
            <w:pPr>
              <w:pStyle w:val="179"/>
              <w:widowControl w:val="0"/>
            </w:pPr>
            <w:r>
              <w:rPr>
                <w:rFonts w:hint="eastAsia"/>
              </w:rPr>
              <w:t>河流水面</w:t>
            </w:r>
          </w:p>
        </w:tc>
        <w:tc>
          <w:tcPr>
            <w:tcW w:w="1208" w:type="dxa"/>
            <w:noWrap/>
            <w:vAlign w:val="center"/>
          </w:tcPr>
          <w:p w14:paraId="384DA349">
            <w:pPr>
              <w:pStyle w:val="179"/>
              <w:widowControl w:val="0"/>
            </w:pPr>
            <w:r>
              <w:rPr>
                <w:rFonts w:hint="eastAsia"/>
              </w:rPr>
              <w:t>13.24</w:t>
            </w:r>
          </w:p>
        </w:tc>
        <w:tc>
          <w:tcPr>
            <w:tcW w:w="1209" w:type="dxa"/>
            <w:noWrap/>
            <w:vAlign w:val="center"/>
          </w:tcPr>
          <w:p w14:paraId="152C3A16">
            <w:pPr>
              <w:pStyle w:val="179"/>
              <w:widowControl w:val="0"/>
            </w:pPr>
            <w:r>
              <w:rPr>
                <w:rFonts w:hint="eastAsia"/>
              </w:rPr>
              <w:t>2.64</w:t>
            </w:r>
          </w:p>
        </w:tc>
        <w:tc>
          <w:tcPr>
            <w:tcW w:w="1436" w:type="dxa"/>
            <w:noWrap/>
            <w:vAlign w:val="center"/>
          </w:tcPr>
          <w:p w14:paraId="116D9DDD">
            <w:pPr>
              <w:pStyle w:val="179"/>
              <w:widowControl w:val="0"/>
            </w:pPr>
            <w:r>
              <w:rPr>
                <w:rFonts w:hint="eastAsia"/>
              </w:rPr>
              <w:t>13.24</w:t>
            </w:r>
          </w:p>
        </w:tc>
        <w:tc>
          <w:tcPr>
            <w:tcW w:w="1436" w:type="dxa"/>
            <w:noWrap/>
            <w:vAlign w:val="center"/>
          </w:tcPr>
          <w:p w14:paraId="3DA7ACA1">
            <w:pPr>
              <w:pStyle w:val="179"/>
              <w:widowControl w:val="0"/>
            </w:pPr>
            <w:r>
              <w:rPr>
                <w:rFonts w:hint="eastAsia"/>
              </w:rPr>
              <w:t>2.64</w:t>
            </w:r>
          </w:p>
        </w:tc>
        <w:tc>
          <w:tcPr>
            <w:tcW w:w="1108" w:type="dxa"/>
            <w:noWrap/>
            <w:vAlign w:val="center"/>
          </w:tcPr>
          <w:p w14:paraId="3376D10A">
            <w:pPr>
              <w:pStyle w:val="179"/>
              <w:widowControl w:val="0"/>
            </w:pPr>
            <w:r>
              <w:rPr>
                <w:rFonts w:hint="eastAsia"/>
              </w:rPr>
              <w:t>0</w:t>
            </w:r>
          </w:p>
        </w:tc>
        <w:tc>
          <w:tcPr>
            <w:tcW w:w="1037" w:type="dxa"/>
            <w:noWrap/>
            <w:vAlign w:val="center"/>
          </w:tcPr>
          <w:p w14:paraId="1B2DBC7B">
            <w:pPr>
              <w:pStyle w:val="179"/>
              <w:widowControl w:val="0"/>
            </w:pPr>
            <w:r>
              <w:rPr>
                <w:rFonts w:hint="eastAsia"/>
              </w:rPr>
              <w:t>0</w:t>
            </w:r>
          </w:p>
        </w:tc>
      </w:tr>
      <w:tr w14:paraId="00768FF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53" w:type="dxa"/>
            <w:noWrap/>
            <w:vAlign w:val="center"/>
          </w:tcPr>
          <w:p w14:paraId="599C836B">
            <w:pPr>
              <w:pStyle w:val="179"/>
              <w:widowControl w:val="0"/>
            </w:pPr>
            <w:r>
              <w:rPr>
                <w:rFonts w:hint="eastAsia"/>
              </w:rPr>
              <w:t>裸土地</w:t>
            </w:r>
          </w:p>
        </w:tc>
        <w:tc>
          <w:tcPr>
            <w:tcW w:w="1208" w:type="dxa"/>
            <w:noWrap/>
            <w:vAlign w:val="center"/>
          </w:tcPr>
          <w:p w14:paraId="3136E2BA">
            <w:pPr>
              <w:pStyle w:val="179"/>
              <w:widowControl w:val="0"/>
            </w:pPr>
            <w:r>
              <w:rPr>
                <w:rFonts w:hint="eastAsia"/>
              </w:rPr>
              <w:t>15.46</w:t>
            </w:r>
          </w:p>
        </w:tc>
        <w:tc>
          <w:tcPr>
            <w:tcW w:w="1209" w:type="dxa"/>
            <w:noWrap/>
            <w:vAlign w:val="center"/>
          </w:tcPr>
          <w:p w14:paraId="04C58170">
            <w:pPr>
              <w:pStyle w:val="179"/>
              <w:widowControl w:val="0"/>
            </w:pPr>
            <w:r>
              <w:rPr>
                <w:rFonts w:hint="eastAsia"/>
              </w:rPr>
              <w:t>3.08</w:t>
            </w:r>
          </w:p>
        </w:tc>
        <w:tc>
          <w:tcPr>
            <w:tcW w:w="1436" w:type="dxa"/>
            <w:noWrap/>
            <w:vAlign w:val="center"/>
          </w:tcPr>
          <w:p w14:paraId="57C46074">
            <w:pPr>
              <w:pStyle w:val="179"/>
              <w:widowControl w:val="0"/>
            </w:pPr>
            <w:r>
              <w:rPr>
                <w:rFonts w:hint="eastAsia"/>
              </w:rPr>
              <w:t>15.46</w:t>
            </w:r>
          </w:p>
        </w:tc>
        <w:tc>
          <w:tcPr>
            <w:tcW w:w="1436" w:type="dxa"/>
            <w:noWrap/>
            <w:vAlign w:val="center"/>
          </w:tcPr>
          <w:p w14:paraId="6969FA06">
            <w:pPr>
              <w:pStyle w:val="179"/>
              <w:widowControl w:val="0"/>
            </w:pPr>
            <w:r>
              <w:rPr>
                <w:rFonts w:hint="eastAsia"/>
              </w:rPr>
              <w:t>3.08</w:t>
            </w:r>
          </w:p>
        </w:tc>
        <w:tc>
          <w:tcPr>
            <w:tcW w:w="1108" w:type="dxa"/>
            <w:noWrap/>
            <w:vAlign w:val="center"/>
          </w:tcPr>
          <w:p w14:paraId="471635C7">
            <w:pPr>
              <w:pStyle w:val="179"/>
              <w:widowControl w:val="0"/>
            </w:pPr>
            <w:r>
              <w:rPr>
                <w:rFonts w:hint="eastAsia"/>
              </w:rPr>
              <w:t>0</w:t>
            </w:r>
          </w:p>
        </w:tc>
        <w:tc>
          <w:tcPr>
            <w:tcW w:w="1037" w:type="dxa"/>
            <w:noWrap/>
            <w:vAlign w:val="center"/>
          </w:tcPr>
          <w:p w14:paraId="0E8E4623">
            <w:pPr>
              <w:pStyle w:val="179"/>
              <w:widowControl w:val="0"/>
            </w:pPr>
            <w:r>
              <w:rPr>
                <w:rFonts w:hint="eastAsia"/>
              </w:rPr>
              <w:t>0</w:t>
            </w:r>
          </w:p>
        </w:tc>
      </w:tr>
      <w:tr w14:paraId="338B015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53" w:type="dxa"/>
            <w:noWrap/>
            <w:vAlign w:val="center"/>
          </w:tcPr>
          <w:p w14:paraId="78E5E580">
            <w:pPr>
              <w:pStyle w:val="179"/>
              <w:widowControl w:val="0"/>
            </w:pPr>
            <w:r>
              <w:rPr>
                <w:rFonts w:hint="eastAsia"/>
              </w:rPr>
              <w:t>工业用地</w:t>
            </w:r>
          </w:p>
        </w:tc>
        <w:tc>
          <w:tcPr>
            <w:tcW w:w="1208" w:type="dxa"/>
            <w:noWrap/>
            <w:vAlign w:val="center"/>
          </w:tcPr>
          <w:p w14:paraId="3B8E3873">
            <w:pPr>
              <w:pStyle w:val="179"/>
              <w:widowControl w:val="0"/>
            </w:pPr>
            <w:r>
              <w:rPr>
                <w:rFonts w:hint="eastAsia"/>
              </w:rPr>
              <w:t>0</w:t>
            </w:r>
          </w:p>
        </w:tc>
        <w:tc>
          <w:tcPr>
            <w:tcW w:w="1209" w:type="dxa"/>
            <w:noWrap/>
            <w:vAlign w:val="center"/>
          </w:tcPr>
          <w:p w14:paraId="7FE9B6EC">
            <w:pPr>
              <w:pStyle w:val="179"/>
              <w:widowControl w:val="0"/>
            </w:pPr>
            <w:r>
              <w:rPr>
                <w:rFonts w:hint="eastAsia"/>
              </w:rPr>
              <w:t>0</w:t>
            </w:r>
          </w:p>
        </w:tc>
        <w:tc>
          <w:tcPr>
            <w:tcW w:w="1436" w:type="dxa"/>
            <w:noWrap/>
            <w:vAlign w:val="center"/>
          </w:tcPr>
          <w:p w14:paraId="4691818A">
            <w:pPr>
              <w:pStyle w:val="179"/>
              <w:widowControl w:val="0"/>
            </w:pPr>
            <w:r>
              <w:rPr>
                <w:rFonts w:hint="eastAsia"/>
              </w:rPr>
              <w:t>11</w:t>
            </w:r>
          </w:p>
        </w:tc>
        <w:tc>
          <w:tcPr>
            <w:tcW w:w="1436" w:type="dxa"/>
            <w:noWrap/>
            <w:vAlign w:val="center"/>
          </w:tcPr>
          <w:p w14:paraId="5FB73573">
            <w:pPr>
              <w:pStyle w:val="179"/>
              <w:widowControl w:val="0"/>
            </w:pPr>
            <w:r>
              <w:rPr>
                <w:rFonts w:hint="eastAsia"/>
              </w:rPr>
              <w:t>2.19</w:t>
            </w:r>
          </w:p>
        </w:tc>
        <w:tc>
          <w:tcPr>
            <w:tcW w:w="1108" w:type="dxa"/>
            <w:noWrap/>
            <w:vAlign w:val="center"/>
          </w:tcPr>
          <w:p w14:paraId="1CAFE85C">
            <w:pPr>
              <w:pStyle w:val="179"/>
              <w:widowControl w:val="0"/>
            </w:pPr>
            <w:r>
              <w:rPr>
                <w:rFonts w:hint="eastAsia"/>
              </w:rPr>
              <w:t>11</w:t>
            </w:r>
          </w:p>
        </w:tc>
        <w:tc>
          <w:tcPr>
            <w:tcW w:w="1037" w:type="dxa"/>
            <w:noWrap/>
            <w:vAlign w:val="center"/>
          </w:tcPr>
          <w:p w14:paraId="212F3101">
            <w:pPr>
              <w:pStyle w:val="179"/>
              <w:widowControl w:val="0"/>
            </w:pPr>
            <w:r>
              <w:rPr>
                <w:rFonts w:hint="eastAsia"/>
              </w:rPr>
              <w:t>2.19</w:t>
            </w:r>
          </w:p>
        </w:tc>
      </w:tr>
    </w:tbl>
    <w:p w14:paraId="18BD07CE">
      <w:pPr>
        <w:ind w:firstLine="480"/>
      </w:pPr>
      <w:r>
        <w:t>此次项目建设导致</w:t>
      </w:r>
      <w:r>
        <w:rPr>
          <w:rFonts w:hint="eastAsia"/>
        </w:rPr>
        <w:t>现状</w:t>
      </w:r>
      <w:r>
        <w:t>部分</w:t>
      </w:r>
      <w:r>
        <w:rPr>
          <w:rFonts w:hint="eastAsia"/>
        </w:rPr>
        <w:t>乔木林地</w:t>
      </w:r>
      <w:r>
        <w:t>转化为</w:t>
      </w:r>
      <w:r>
        <w:rPr>
          <w:rFonts w:hint="eastAsia"/>
        </w:rPr>
        <w:t>工业用地（采石）用地</w:t>
      </w:r>
      <w:r>
        <w:t>，其他土地利用类型</w:t>
      </w:r>
      <w:r>
        <w:rPr>
          <w:rFonts w:hint="eastAsia"/>
        </w:rPr>
        <w:t>无变化</w:t>
      </w:r>
      <w:r>
        <w:t>。</w:t>
      </w:r>
    </w:p>
    <w:p w14:paraId="28847FBA">
      <w:pPr>
        <w:ind w:firstLine="0" w:firstLineChars="0"/>
      </w:pPr>
      <w:r>
        <w:rPr>
          <w:rFonts w:hint="eastAsia"/>
        </w:rPr>
        <w:drawing>
          <wp:inline distT="0" distB="0" distL="114300" distR="114300">
            <wp:extent cx="5228590" cy="4067175"/>
            <wp:effectExtent l="19050" t="0" r="0" b="0"/>
            <wp:docPr id="75" name="图片 1" descr="建设前-土地利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 descr="建设前-土地利用"/>
                    <pic:cNvPicPr>
                      <a:picLocks noChangeAspect="1"/>
                    </pic:cNvPicPr>
                  </pic:nvPicPr>
                  <pic:blipFill>
                    <a:blip r:embed="rId108"/>
                    <a:srcRect l="4004" r="5093"/>
                    <a:stretch>
                      <a:fillRect/>
                    </a:stretch>
                  </pic:blipFill>
                  <pic:spPr>
                    <a:xfrm>
                      <a:off x="0" y="0"/>
                      <a:ext cx="5228764" cy="4067695"/>
                    </a:xfrm>
                    <a:prstGeom prst="rect">
                      <a:avLst/>
                    </a:prstGeom>
                  </pic:spPr>
                </pic:pic>
              </a:graphicData>
            </a:graphic>
          </wp:inline>
        </w:drawing>
      </w:r>
      <w:r>
        <w:rPr>
          <w:rFonts w:hint="eastAsia"/>
        </w:rPr>
        <w:drawing>
          <wp:inline distT="0" distB="0" distL="114300" distR="114300">
            <wp:extent cx="5229225" cy="4067175"/>
            <wp:effectExtent l="19050" t="0" r="9346" b="0"/>
            <wp:docPr id="77" name="图片 18" descr="fe5cb4b368860ca025b94628cdaa31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8" descr="fe5cb4b368860ca025b94628cdaa31d2"/>
                    <pic:cNvPicPr>
                      <a:picLocks noChangeAspect="1"/>
                    </pic:cNvPicPr>
                  </pic:nvPicPr>
                  <pic:blipFill>
                    <a:blip r:embed="rId109" cstate="print"/>
                    <a:srcRect l="4432" r="4667"/>
                    <a:stretch>
                      <a:fillRect/>
                    </a:stretch>
                  </pic:blipFill>
                  <pic:spPr>
                    <a:xfrm>
                      <a:off x="0" y="0"/>
                      <a:ext cx="5229404" cy="4067694"/>
                    </a:xfrm>
                    <a:prstGeom prst="rect">
                      <a:avLst/>
                    </a:prstGeom>
                  </pic:spPr>
                </pic:pic>
              </a:graphicData>
            </a:graphic>
          </wp:inline>
        </w:drawing>
      </w:r>
    </w:p>
    <w:p w14:paraId="6649F05C">
      <w:pPr>
        <w:pStyle w:val="178"/>
      </w:pPr>
      <w:r>
        <w:rPr>
          <w:rFonts w:hint="eastAsia"/>
        </w:rPr>
        <w:t xml:space="preserve">图4.1-1  </w:t>
      </w:r>
      <w:r>
        <w:t>建设后</w:t>
      </w:r>
      <w:r>
        <w:rPr>
          <w:rFonts w:hint="eastAsia"/>
        </w:rPr>
        <w:t>土地利用变化</w:t>
      </w:r>
    </w:p>
    <w:p w14:paraId="3CCAFDDB">
      <w:pPr>
        <w:pStyle w:val="5"/>
        <w:spacing w:before="120" w:after="120"/>
      </w:pPr>
      <w:r>
        <w:rPr>
          <w:rFonts w:hint="eastAsia"/>
        </w:rPr>
        <w:t>施工期对生态系统的影响</w:t>
      </w:r>
    </w:p>
    <w:p w14:paraId="56FAD44D">
      <w:pPr>
        <w:ind w:firstLine="480"/>
      </w:pPr>
      <w:r>
        <w:t>依据《环境影响评价技术导则  生态影响》（HJ19-2022）附录C中生物多样性评价方法，由表</w:t>
      </w:r>
      <w:r>
        <w:rPr>
          <w:rFonts w:hint="eastAsia"/>
        </w:rPr>
        <w:t>5.3-2</w:t>
      </w:r>
      <w:r>
        <w:t>可知，建设前评价范围内</w:t>
      </w:r>
      <w:r>
        <w:rPr>
          <w:rFonts w:hint="eastAsia"/>
        </w:rPr>
        <w:t>森林</w:t>
      </w:r>
      <w:r>
        <w:t>生态系统类型比例所占比较高，为</w:t>
      </w:r>
      <w:r>
        <w:rPr>
          <w:rFonts w:hint="eastAsia"/>
        </w:rPr>
        <w:t>54.65%</w:t>
      </w:r>
      <w:r>
        <w:t>，其次为</w:t>
      </w:r>
      <w:r>
        <w:rPr>
          <w:rFonts w:hint="eastAsia"/>
        </w:rPr>
        <w:t>农田生态系统24.28%</w:t>
      </w:r>
      <w:r>
        <w:t>，项目调查范围内生态系统多样性指数为</w:t>
      </w:r>
      <w:r>
        <w:rPr>
          <w:rFonts w:hint="eastAsia"/>
        </w:rPr>
        <w:t>2.9026</w:t>
      </w:r>
      <w:r>
        <w:t>，建设后各生态类型所占比例变化不大，</w:t>
      </w:r>
      <w:r>
        <w:rPr>
          <w:rFonts w:hint="eastAsia"/>
        </w:rPr>
        <w:t>工业用地</w:t>
      </w:r>
      <w:r>
        <w:t>生态系统类型比例</w:t>
      </w:r>
      <w:r>
        <w:rPr>
          <w:rFonts w:hint="eastAsia"/>
        </w:rPr>
        <w:t>有所上升</w:t>
      </w:r>
      <w:r>
        <w:t>，</w:t>
      </w:r>
      <w:r>
        <w:rPr>
          <w:rFonts w:hint="eastAsia"/>
        </w:rPr>
        <w:t>森林生态系统略有减少，</w:t>
      </w:r>
      <w:r>
        <w:t>其余生态系统类型比例无变化</w:t>
      </w:r>
      <w:r>
        <w:rPr>
          <w:rFonts w:hint="eastAsia"/>
        </w:rPr>
        <w:t>。整体来看</w:t>
      </w:r>
      <w:r>
        <w:t>未改变项目调查范围整体生态系统格局，在施工结束后生态系统多样性依旧比较丰富，且变化面积很小，故项目施工对生态系统影响不大。生态系统类型变化及多样性指数详见表</w:t>
      </w:r>
      <w:r>
        <w:rPr>
          <w:rFonts w:hint="eastAsia"/>
        </w:rPr>
        <w:t>5.3-2</w:t>
      </w:r>
      <w:r>
        <w:t>，生态系统类型图见图</w:t>
      </w:r>
      <w:r>
        <w:rPr>
          <w:rFonts w:hint="eastAsia"/>
        </w:rPr>
        <w:t>5.3-2</w:t>
      </w:r>
      <w:r>
        <w:t>。</w:t>
      </w:r>
    </w:p>
    <w:p w14:paraId="7030BEA6">
      <w:pPr>
        <w:pStyle w:val="178"/>
      </w:pPr>
      <w:r>
        <w:t>表</w:t>
      </w:r>
      <w:r>
        <w:rPr>
          <w:rFonts w:hint="eastAsia"/>
        </w:rPr>
        <w:t>5.3</w:t>
      </w:r>
      <w:r>
        <w:t>-2  建设项目前后项目调查范围生态系统多样性指数变化情况</w:t>
      </w:r>
    </w:p>
    <w:tbl>
      <w:tblPr>
        <w:tblStyle w:val="37"/>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
      <w:tblGrid>
        <w:gridCol w:w="1213"/>
        <w:gridCol w:w="1338"/>
        <w:gridCol w:w="1148"/>
        <w:gridCol w:w="1204"/>
        <w:gridCol w:w="1309"/>
        <w:gridCol w:w="1027"/>
        <w:gridCol w:w="1131"/>
      </w:tblGrid>
      <w:tr w14:paraId="2C7D5D0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tblHeader/>
          <w:jc w:val="center"/>
        </w:trPr>
        <w:tc>
          <w:tcPr>
            <w:tcW w:w="1199" w:type="dxa"/>
            <w:vMerge w:val="restart"/>
            <w:noWrap/>
            <w:vAlign w:val="center"/>
          </w:tcPr>
          <w:p w14:paraId="7056A8B8">
            <w:pPr>
              <w:pStyle w:val="179"/>
              <w:widowControl w:val="0"/>
              <w:rPr>
                <w:b/>
              </w:rPr>
            </w:pPr>
            <w:r>
              <w:rPr>
                <w:b/>
              </w:rPr>
              <w:t>斑块类型</w:t>
            </w:r>
          </w:p>
        </w:tc>
        <w:tc>
          <w:tcPr>
            <w:tcW w:w="3650" w:type="dxa"/>
            <w:gridSpan w:val="3"/>
            <w:noWrap/>
            <w:vAlign w:val="center"/>
          </w:tcPr>
          <w:p w14:paraId="31D06F74">
            <w:pPr>
              <w:pStyle w:val="179"/>
              <w:widowControl w:val="0"/>
              <w:rPr>
                <w:b/>
              </w:rPr>
            </w:pPr>
            <w:r>
              <w:rPr>
                <w:b/>
              </w:rPr>
              <w:t>建设前</w:t>
            </w:r>
          </w:p>
        </w:tc>
        <w:tc>
          <w:tcPr>
            <w:tcW w:w="3430" w:type="dxa"/>
            <w:gridSpan w:val="3"/>
            <w:noWrap/>
            <w:vAlign w:val="center"/>
          </w:tcPr>
          <w:p w14:paraId="6AEAE566">
            <w:pPr>
              <w:pStyle w:val="179"/>
              <w:widowControl w:val="0"/>
              <w:rPr>
                <w:b/>
              </w:rPr>
            </w:pPr>
            <w:r>
              <w:rPr>
                <w:b/>
              </w:rPr>
              <w:t>建设后</w:t>
            </w:r>
          </w:p>
        </w:tc>
      </w:tr>
      <w:tr w14:paraId="100FCFF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tblHeader/>
          <w:jc w:val="center"/>
        </w:trPr>
        <w:tc>
          <w:tcPr>
            <w:tcW w:w="1199" w:type="dxa"/>
            <w:vMerge w:val="continue"/>
            <w:noWrap/>
            <w:vAlign w:val="center"/>
          </w:tcPr>
          <w:p w14:paraId="67F8E511">
            <w:pPr>
              <w:pStyle w:val="179"/>
              <w:widowControl w:val="0"/>
              <w:rPr>
                <w:b/>
              </w:rPr>
            </w:pPr>
          </w:p>
        </w:tc>
        <w:tc>
          <w:tcPr>
            <w:tcW w:w="1323" w:type="dxa"/>
            <w:noWrap/>
            <w:vAlign w:val="center"/>
          </w:tcPr>
          <w:p w14:paraId="6857C38D">
            <w:pPr>
              <w:pStyle w:val="179"/>
              <w:widowControl w:val="0"/>
              <w:rPr>
                <w:b/>
              </w:rPr>
            </w:pPr>
            <w:r>
              <w:rPr>
                <w:b/>
              </w:rPr>
              <w:t>面积（hm</w:t>
            </w:r>
            <w:r>
              <w:rPr>
                <w:b/>
                <w:vertAlign w:val="superscript"/>
              </w:rPr>
              <w:t>2</w:t>
            </w:r>
            <w:r>
              <w:rPr>
                <w:b/>
              </w:rPr>
              <w:t>）</w:t>
            </w:r>
          </w:p>
        </w:tc>
        <w:tc>
          <w:tcPr>
            <w:tcW w:w="1136" w:type="dxa"/>
            <w:noWrap/>
            <w:vAlign w:val="center"/>
          </w:tcPr>
          <w:p w14:paraId="67740F3D">
            <w:pPr>
              <w:pStyle w:val="179"/>
              <w:widowControl w:val="0"/>
              <w:rPr>
                <w:b/>
              </w:rPr>
            </w:pPr>
            <w:r>
              <w:rPr>
                <w:b/>
              </w:rPr>
              <w:t>斑块个数</w:t>
            </w:r>
          </w:p>
        </w:tc>
        <w:tc>
          <w:tcPr>
            <w:tcW w:w="1191" w:type="dxa"/>
            <w:noWrap/>
            <w:vAlign w:val="center"/>
          </w:tcPr>
          <w:p w14:paraId="2DE0E07F">
            <w:pPr>
              <w:pStyle w:val="179"/>
              <w:widowControl w:val="0"/>
              <w:rPr>
                <w:b/>
              </w:rPr>
            </w:pPr>
            <w:r>
              <w:rPr>
                <w:b/>
              </w:rPr>
              <w:t>多样性指数</w:t>
            </w:r>
          </w:p>
        </w:tc>
        <w:tc>
          <w:tcPr>
            <w:tcW w:w="1295" w:type="dxa"/>
            <w:noWrap/>
            <w:vAlign w:val="center"/>
          </w:tcPr>
          <w:p w14:paraId="300EE7C1">
            <w:pPr>
              <w:pStyle w:val="179"/>
              <w:widowControl w:val="0"/>
              <w:rPr>
                <w:b/>
              </w:rPr>
            </w:pPr>
            <w:r>
              <w:rPr>
                <w:b/>
              </w:rPr>
              <w:t>面积（hm</w:t>
            </w:r>
            <w:r>
              <w:rPr>
                <w:b/>
                <w:vertAlign w:val="superscript"/>
              </w:rPr>
              <w:t>2</w:t>
            </w:r>
            <w:r>
              <w:rPr>
                <w:b/>
              </w:rPr>
              <w:t>）</w:t>
            </w:r>
          </w:p>
        </w:tc>
        <w:tc>
          <w:tcPr>
            <w:tcW w:w="1016" w:type="dxa"/>
            <w:noWrap/>
            <w:vAlign w:val="center"/>
          </w:tcPr>
          <w:p w14:paraId="308309B9">
            <w:pPr>
              <w:pStyle w:val="179"/>
              <w:widowControl w:val="0"/>
              <w:rPr>
                <w:b/>
              </w:rPr>
            </w:pPr>
            <w:r>
              <w:rPr>
                <w:b/>
              </w:rPr>
              <w:t>斑块个数</w:t>
            </w:r>
          </w:p>
        </w:tc>
        <w:tc>
          <w:tcPr>
            <w:tcW w:w="1119" w:type="dxa"/>
            <w:noWrap/>
            <w:vAlign w:val="center"/>
          </w:tcPr>
          <w:p w14:paraId="67B2FFAA">
            <w:pPr>
              <w:pStyle w:val="179"/>
              <w:widowControl w:val="0"/>
              <w:rPr>
                <w:b/>
              </w:rPr>
            </w:pPr>
            <w:r>
              <w:rPr>
                <w:b/>
              </w:rPr>
              <w:t>多样性指数</w:t>
            </w:r>
          </w:p>
        </w:tc>
      </w:tr>
      <w:tr w14:paraId="60B2939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1199" w:type="dxa"/>
            <w:noWrap/>
            <w:vAlign w:val="center"/>
          </w:tcPr>
          <w:p w14:paraId="270F200B">
            <w:pPr>
              <w:pStyle w:val="179"/>
              <w:widowControl w:val="0"/>
            </w:pPr>
            <w:r>
              <w:rPr>
                <w:rFonts w:hint="eastAsia"/>
              </w:rPr>
              <w:t>水域</w:t>
            </w:r>
          </w:p>
        </w:tc>
        <w:tc>
          <w:tcPr>
            <w:tcW w:w="1323" w:type="dxa"/>
            <w:noWrap/>
            <w:vAlign w:val="center"/>
          </w:tcPr>
          <w:p w14:paraId="423C7042">
            <w:pPr>
              <w:pStyle w:val="179"/>
              <w:widowControl w:val="0"/>
            </w:pPr>
            <w:r>
              <w:rPr>
                <w:rFonts w:hint="eastAsia"/>
              </w:rPr>
              <w:t>13.24</w:t>
            </w:r>
          </w:p>
        </w:tc>
        <w:tc>
          <w:tcPr>
            <w:tcW w:w="1136" w:type="dxa"/>
            <w:noWrap/>
            <w:vAlign w:val="center"/>
          </w:tcPr>
          <w:p w14:paraId="254616BD">
            <w:pPr>
              <w:pStyle w:val="179"/>
              <w:widowControl w:val="0"/>
            </w:pPr>
            <w:r>
              <w:rPr>
                <w:rFonts w:hint="eastAsia"/>
              </w:rPr>
              <w:t>2</w:t>
            </w:r>
          </w:p>
        </w:tc>
        <w:tc>
          <w:tcPr>
            <w:tcW w:w="1191" w:type="dxa"/>
            <w:vMerge w:val="restart"/>
            <w:noWrap/>
            <w:vAlign w:val="center"/>
          </w:tcPr>
          <w:p w14:paraId="4B71EC8C">
            <w:pPr>
              <w:pStyle w:val="179"/>
              <w:widowControl w:val="0"/>
            </w:pPr>
            <w:r>
              <w:rPr>
                <w:rFonts w:hint="eastAsia"/>
              </w:rPr>
              <w:t>2.9016</w:t>
            </w:r>
          </w:p>
        </w:tc>
        <w:tc>
          <w:tcPr>
            <w:tcW w:w="1295" w:type="dxa"/>
            <w:noWrap/>
            <w:vAlign w:val="center"/>
          </w:tcPr>
          <w:p w14:paraId="0FD1603D">
            <w:pPr>
              <w:pStyle w:val="179"/>
              <w:widowControl w:val="0"/>
            </w:pPr>
            <w:r>
              <w:rPr>
                <w:rFonts w:hint="eastAsia"/>
              </w:rPr>
              <w:t>13.24</w:t>
            </w:r>
          </w:p>
        </w:tc>
        <w:tc>
          <w:tcPr>
            <w:tcW w:w="1016" w:type="dxa"/>
            <w:noWrap/>
            <w:vAlign w:val="center"/>
          </w:tcPr>
          <w:p w14:paraId="20CA645F">
            <w:pPr>
              <w:pStyle w:val="179"/>
              <w:widowControl w:val="0"/>
            </w:pPr>
            <w:r>
              <w:rPr>
                <w:rFonts w:hint="eastAsia"/>
              </w:rPr>
              <w:t>2</w:t>
            </w:r>
          </w:p>
        </w:tc>
        <w:tc>
          <w:tcPr>
            <w:tcW w:w="1119" w:type="dxa"/>
            <w:vMerge w:val="restart"/>
            <w:noWrap/>
            <w:vAlign w:val="center"/>
          </w:tcPr>
          <w:p w14:paraId="0196F2CF">
            <w:pPr>
              <w:pStyle w:val="179"/>
              <w:widowControl w:val="0"/>
            </w:pPr>
            <w:r>
              <w:rPr>
                <w:rFonts w:hint="eastAsia"/>
              </w:rPr>
              <w:t>2.8923</w:t>
            </w:r>
          </w:p>
        </w:tc>
      </w:tr>
      <w:tr w14:paraId="3EF260E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1199" w:type="dxa"/>
            <w:noWrap/>
            <w:vAlign w:val="center"/>
          </w:tcPr>
          <w:p w14:paraId="2DFC1F99">
            <w:pPr>
              <w:pStyle w:val="179"/>
              <w:widowControl w:val="0"/>
            </w:pPr>
            <w:r>
              <w:rPr>
                <w:rFonts w:hint="eastAsia"/>
              </w:rPr>
              <w:t>农作物</w:t>
            </w:r>
          </w:p>
        </w:tc>
        <w:tc>
          <w:tcPr>
            <w:tcW w:w="1323" w:type="dxa"/>
            <w:noWrap/>
            <w:vAlign w:val="center"/>
          </w:tcPr>
          <w:p w14:paraId="406FE2F4">
            <w:pPr>
              <w:pStyle w:val="179"/>
              <w:widowControl w:val="0"/>
            </w:pPr>
            <w:r>
              <w:rPr>
                <w:rFonts w:hint="eastAsia"/>
              </w:rPr>
              <w:t>121.88</w:t>
            </w:r>
          </w:p>
        </w:tc>
        <w:tc>
          <w:tcPr>
            <w:tcW w:w="1136" w:type="dxa"/>
            <w:noWrap/>
            <w:vAlign w:val="center"/>
          </w:tcPr>
          <w:p w14:paraId="76C9CF70">
            <w:pPr>
              <w:pStyle w:val="179"/>
              <w:widowControl w:val="0"/>
            </w:pPr>
            <w:r>
              <w:rPr>
                <w:rFonts w:hint="eastAsia"/>
              </w:rPr>
              <w:t>23</w:t>
            </w:r>
          </w:p>
        </w:tc>
        <w:tc>
          <w:tcPr>
            <w:tcW w:w="1191" w:type="dxa"/>
            <w:vMerge w:val="continue"/>
            <w:noWrap/>
            <w:vAlign w:val="center"/>
          </w:tcPr>
          <w:p w14:paraId="356F59D1">
            <w:pPr>
              <w:pStyle w:val="179"/>
              <w:widowControl w:val="0"/>
            </w:pPr>
          </w:p>
        </w:tc>
        <w:tc>
          <w:tcPr>
            <w:tcW w:w="1295" w:type="dxa"/>
            <w:noWrap/>
            <w:vAlign w:val="center"/>
          </w:tcPr>
          <w:p w14:paraId="150BCE16">
            <w:pPr>
              <w:pStyle w:val="179"/>
              <w:widowControl w:val="0"/>
            </w:pPr>
            <w:r>
              <w:rPr>
                <w:rFonts w:hint="eastAsia"/>
              </w:rPr>
              <w:t>121.88</w:t>
            </w:r>
          </w:p>
        </w:tc>
        <w:tc>
          <w:tcPr>
            <w:tcW w:w="1016" w:type="dxa"/>
            <w:noWrap/>
            <w:vAlign w:val="center"/>
          </w:tcPr>
          <w:p w14:paraId="37C23ADB">
            <w:pPr>
              <w:pStyle w:val="179"/>
              <w:widowControl w:val="0"/>
            </w:pPr>
            <w:r>
              <w:rPr>
                <w:rFonts w:hint="eastAsia"/>
              </w:rPr>
              <w:t>23</w:t>
            </w:r>
          </w:p>
        </w:tc>
        <w:tc>
          <w:tcPr>
            <w:tcW w:w="1119" w:type="dxa"/>
            <w:vMerge w:val="continue"/>
            <w:noWrap/>
            <w:vAlign w:val="center"/>
          </w:tcPr>
          <w:p w14:paraId="5A3224A8">
            <w:pPr>
              <w:pStyle w:val="179"/>
              <w:widowControl w:val="0"/>
            </w:pPr>
          </w:p>
        </w:tc>
      </w:tr>
      <w:tr w14:paraId="3B1354A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1199" w:type="dxa"/>
            <w:noWrap/>
            <w:vAlign w:val="center"/>
          </w:tcPr>
          <w:p w14:paraId="215BDEC3">
            <w:pPr>
              <w:pStyle w:val="179"/>
              <w:widowControl w:val="0"/>
            </w:pPr>
            <w:r>
              <w:rPr>
                <w:rFonts w:hint="eastAsia"/>
              </w:rPr>
              <w:t>阔叶林</w:t>
            </w:r>
          </w:p>
        </w:tc>
        <w:tc>
          <w:tcPr>
            <w:tcW w:w="1323" w:type="dxa"/>
            <w:noWrap/>
            <w:vAlign w:val="center"/>
          </w:tcPr>
          <w:p w14:paraId="52A1326D">
            <w:pPr>
              <w:pStyle w:val="179"/>
              <w:widowControl w:val="0"/>
            </w:pPr>
            <w:r>
              <w:rPr>
                <w:rFonts w:hint="eastAsia"/>
              </w:rPr>
              <w:t>102.19</w:t>
            </w:r>
          </w:p>
        </w:tc>
        <w:tc>
          <w:tcPr>
            <w:tcW w:w="1136" w:type="dxa"/>
            <w:noWrap/>
            <w:vAlign w:val="center"/>
          </w:tcPr>
          <w:p w14:paraId="3065F5BA">
            <w:pPr>
              <w:pStyle w:val="179"/>
              <w:widowControl w:val="0"/>
            </w:pPr>
            <w:r>
              <w:rPr>
                <w:rFonts w:hint="eastAsia"/>
              </w:rPr>
              <w:t>8</w:t>
            </w:r>
          </w:p>
        </w:tc>
        <w:tc>
          <w:tcPr>
            <w:tcW w:w="1191" w:type="dxa"/>
            <w:vMerge w:val="continue"/>
            <w:noWrap/>
            <w:vAlign w:val="center"/>
          </w:tcPr>
          <w:p w14:paraId="1BF61216">
            <w:pPr>
              <w:pStyle w:val="179"/>
              <w:widowControl w:val="0"/>
            </w:pPr>
          </w:p>
        </w:tc>
        <w:tc>
          <w:tcPr>
            <w:tcW w:w="1295" w:type="dxa"/>
            <w:noWrap/>
            <w:vAlign w:val="center"/>
          </w:tcPr>
          <w:p w14:paraId="0EEB08B6">
            <w:pPr>
              <w:pStyle w:val="179"/>
              <w:widowControl w:val="0"/>
            </w:pPr>
            <w:r>
              <w:rPr>
                <w:rFonts w:hint="eastAsia"/>
              </w:rPr>
              <w:t>91.19</w:t>
            </w:r>
          </w:p>
        </w:tc>
        <w:tc>
          <w:tcPr>
            <w:tcW w:w="1016" w:type="dxa"/>
            <w:noWrap/>
            <w:vAlign w:val="center"/>
          </w:tcPr>
          <w:p w14:paraId="07849E28">
            <w:pPr>
              <w:pStyle w:val="179"/>
              <w:widowControl w:val="0"/>
            </w:pPr>
            <w:r>
              <w:rPr>
                <w:rFonts w:hint="eastAsia"/>
              </w:rPr>
              <w:t>7</w:t>
            </w:r>
          </w:p>
        </w:tc>
        <w:tc>
          <w:tcPr>
            <w:tcW w:w="1119" w:type="dxa"/>
            <w:vMerge w:val="continue"/>
            <w:noWrap/>
            <w:vAlign w:val="center"/>
          </w:tcPr>
          <w:p w14:paraId="28067F80">
            <w:pPr>
              <w:pStyle w:val="179"/>
              <w:widowControl w:val="0"/>
            </w:pPr>
          </w:p>
        </w:tc>
      </w:tr>
      <w:tr w14:paraId="4EEEC52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1199" w:type="dxa"/>
            <w:noWrap/>
            <w:vAlign w:val="center"/>
          </w:tcPr>
          <w:p w14:paraId="2A5C2E6E">
            <w:pPr>
              <w:pStyle w:val="179"/>
              <w:widowControl w:val="0"/>
            </w:pPr>
            <w:r>
              <w:rPr>
                <w:rFonts w:hint="eastAsia"/>
              </w:rPr>
              <w:t>裸地</w:t>
            </w:r>
          </w:p>
        </w:tc>
        <w:tc>
          <w:tcPr>
            <w:tcW w:w="1323" w:type="dxa"/>
            <w:noWrap/>
            <w:vAlign w:val="center"/>
          </w:tcPr>
          <w:p w14:paraId="02264ECB">
            <w:pPr>
              <w:pStyle w:val="179"/>
              <w:widowControl w:val="0"/>
            </w:pPr>
            <w:r>
              <w:rPr>
                <w:rFonts w:hint="eastAsia"/>
              </w:rPr>
              <w:t>15.46</w:t>
            </w:r>
          </w:p>
        </w:tc>
        <w:tc>
          <w:tcPr>
            <w:tcW w:w="1136" w:type="dxa"/>
            <w:noWrap/>
            <w:vAlign w:val="center"/>
          </w:tcPr>
          <w:p w14:paraId="1507D167">
            <w:pPr>
              <w:pStyle w:val="179"/>
              <w:widowControl w:val="0"/>
            </w:pPr>
            <w:r>
              <w:rPr>
                <w:rFonts w:hint="eastAsia"/>
              </w:rPr>
              <w:t>1</w:t>
            </w:r>
          </w:p>
        </w:tc>
        <w:tc>
          <w:tcPr>
            <w:tcW w:w="1191" w:type="dxa"/>
            <w:vMerge w:val="continue"/>
            <w:noWrap/>
            <w:vAlign w:val="center"/>
          </w:tcPr>
          <w:p w14:paraId="700B49D3">
            <w:pPr>
              <w:pStyle w:val="179"/>
              <w:widowControl w:val="0"/>
            </w:pPr>
          </w:p>
        </w:tc>
        <w:tc>
          <w:tcPr>
            <w:tcW w:w="1295" w:type="dxa"/>
            <w:noWrap/>
            <w:vAlign w:val="center"/>
          </w:tcPr>
          <w:p w14:paraId="4DD17FD2">
            <w:pPr>
              <w:pStyle w:val="179"/>
              <w:widowControl w:val="0"/>
            </w:pPr>
            <w:r>
              <w:rPr>
                <w:rFonts w:hint="eastAsia"/>
              </w:rPr>
              <w:t>15.46</w:t>
            </w:r>
          </w:p>
        </w:tc>
        <w:tc>
          <w:tcPr>
            <w:tcW w:w="1016" w:type="dxa"/>
            <w:noWrap/>
            <w:vAlign w:val="center"/>
          </w:tcPr>
          <w:p w14:paraId="0A6789EC">
            <w:pPr>
              <w:pStyle w:val="179"/>
              <w:widowControl w:val="0"/>
            </w:pPr>
            <w:r>
              <w:rPr>
                <w:rFonts w:hint="eastAsia"/>
              </w:rPr>
              <w:t>1</w:t>
            </w:r>
          </w:p>
        </w:tc>
        <w:tc>
          <w:tcPr>
            <w:tcW w:w="1119" w:type="dxa"/>
            <w:vMerge w:val="continue"/>
            <w:noWrap/>
            <w:vAlign w:val="center"/>
          </w:tcPr>
          <w:p w14:paraId="229C4F68">
            <w:pPr>
              <w:pStyle w:val="179"/>
              <w:widowControl w:val="0"/>
            </w:pPr>
          </w:p>
        </w:tc>
      </w:tr>
      <w:tr w14:paraId="0375065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1199" w:type="dxa"/>
            <w:noWrap/>
            <w:vAlign w:val="center"/>
          </w:tcPr>
          <w:p w14:paraId="53E9F0C8">
            <w:pPr>
              <w:pStyle w:val="179"/>
              <w:widowControl w:val="0"/>
            </w:pPr>
            <w:r>
              <w:rPr>
                <w:rFonts w:hint="eastAsia"/>
              </w:rPr>
              <w:t>公路用地</w:t>
            </w:r>
          </w:p>
        </w:tc>
        <w:tc>
          <w:tcPr>
            <w:tcW w:w="1323" w:type="dxa"/>
            <w:noWrap/>
            <w:vAlign w:val="center"/>
          </w:tcPr>
          <w:p w14:paraId="5C53F006">
            <w:pPr>
              <w:pStyle w:val="179"/>
              <w:widowControl w:val="0"/>
            </w:pPr>
            <w:r>
              <w:rPr>
                <w:rFonts w:hint="eastAsia"/>
              </w:rPr>
              <w:t>12.47</w:t>
            </w:r>
          </w:p>
        </w:tc>
        <w:tc>
          <w:tcPr>
            <w:tcW w:w="1136" w:type="dxa"/>
            <w:noWrap/>
            <w:vAlign w:val="center"/>
          </w:tcPr>
          <w:p w14:paraId="6E545390">
            <w:pPr>
              <w:pStyle w:val="179"/>
              <w:widowControl w:val="0"/>
            </w:pPr>
            <w:r>
              <w:rPr>
                <w:rFonts w:hint="eastAsia"/>
              </w:rPr>
              <w:t>4</w:t>
            </w:r>
          </w:p>
        </w:tc>
        <w:tc>
          <w:tcPr>
            <w:tcW w:w="1191" w:type="dxa"/>
            <w:vMerge w:val="continue"/>
            <w:noWrap/>
            <w:vAlign w:val="center"/>
          </w:tcPr>
          <w:p w14:paraId="74F61E46">
            <w:pPr>
              <w:pStyle w:val="179"/>
              <w:widowControl w:val="0"/>
            </w:pPr>
          </w:p>
        </w:tc>
        <w:tc>
          <w:tcPr>
            <w:tcW w:w="1295" w:type="dxa"/>
            <w:noWrap/>
            <w:vAlign w:val="center"/>
          </w:tcPr>
          <w:p w14:paraId="5839029F">
            <w:pPr>
              <w:pStyle w:val="179"/>
              <w:widowControl w:val="0"/>
            </w:pPr>
            <w:r>
              <w:rPr>
                <w:rFonts w:hint="eastAsia"/>
              </w:rPr>
              <w:t>12.47</w:t>
            </w:r>
          </w:p>
        </w:tc>
        <w:tc>
          <w:tcPr>
            <w:tcW w:w="1016" w:type="dxa"/>
            <w:noWrap/>
            <w:vAlign w:val="center"/>
          </w:tcPr>
          <w:p w14:paraId="24D5FECE">
            <w:pPr>
              <w:pStyle w:val="179"/>
              <w:widowControl w:val="0"/>
            </w:pPr>
            <w:r>
              <w:rPr>
                <w:rFonts w:hint="eastAsia"/>
              </w:rPr>
              <w:t>4</w:t>
            </w:r>
          </w:p>
        </w:tc>
        <w:tc>
          <w:tcPr>
            <w:tcW w:w="1119" w:type="dxa"/>
            <w:vMerge w:val="continue"/>
            <w:noWrap/>
            <w:vAlign w:val="center"/>
          </w:tcPr>
          <w:p w14:paraId="6A30C916">
            <w:pPr>
              <w:pStyle w:val="179"/>
              <w:widowControl w:val="0"/>
            </w:pPr>
          </w:p>
        </w:tc>
      </w:tr>
      <w:tr w14:paraId="09327B9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1199" w:type="dxa"/>
            <w:noWrap/>
            <w:vAlign w:val="center"/>
          </w:tcPr>
          <w:p w14:paraId="2CAFC4F2">
            <w:pPr>
              <w:pStyle w:val="179"/>
              <w:widowControl w:val="0"/>
            </w:pPr>
            <w:r>
              <w:rPr>
                <w:rFonts w:hint="eastAsia"/>
              </w:rPr>
              <w:t>针叶林</w:t>
            </w:r>
          </w:p>
        </w:tc>
        <w:tc>
          <w:tcPr>
            <w:tcW w:w="1323" w:type="dxa"/>
            <w:noWrap/>
            <w:vAlign w:val="center"/>
          </w:tcPr>
          <w:p w14:paraId="4F5977EB">
            <w:pPr>
              <w:pStyle w:val="179"/>
              <w:widowControl w:val="0"/>
            </w:pPr>
            <w:r>
              <w:rPr>
                <w:rFonts w:hint="eastAsia"/>
              </w:rPr>
              <w:t>172.16</w:t>
            </w:r>
          </w:p>
        </w:tc>
        <w:tc>
          <w:tcPr>
            <w:tcW w:w="1136" w:type="dxa"/>
            <w:noWrap/>
            <w:vAlign w:val="center"/>
          </w:tcPr>
          <w:p w14:paraId="2EC0FCE9">
            <w:pPr>
              <w:pStyle w:val="179"/>
              <w:widowControl w:val="0"/>
            </w:pPr>
            <w:r>
              <w:rPr>
                <w:rFonts w:hint="eastAsia"/>
              </w:rPr>
              <w:t>8</w:t>
            </w:r>
          </w:p>
        </w:tc>
        <w:tc>
          <w:tcPr>
            <w:tcW w:w="1191" w:type="dxa"/>
            <w:vMerge w:val="continue"/>
            <w:noWrap/>
            <w:vAlign w:val="center"/>
          </w:tcPr>
          <w:p w14:paraId="0B0A74AE">
            <w:pPr>
              <w:pStyle w:val="179"/>
              <w:widowControl w:val="0"/>
            </w:pPr>
          </w:p>
        </w:tc>
        <w:tc>
          <w:tcPr>
            <w:tcW w:w="1295" w:type="dxa"/>
            <w:noWrap/>
            <w:vAlign w:val="center"/>
          </w:tcPr>
          <w:p w14:paraId="2FE62B2C">
            <w:pPr>
              <w:pStyle w:val="179"/>
              <w:widowControl w:val="0"/>
            </w:pPr>
            <w:r>
              <w:rPr>
                <w:rFonts w:hint="eastAsia"/>
              </w:rPr>
              <w:t>172.16</w:t>
            </w:r>
          </w:p>
        </w:tc>
        <w:tc>
          <w:tcPr>
            <w:tcW w:w="1016" w:type="dxa"/>
            <w:noWrap/>
            <w:vAlign w:val="center"/>
          </w:tcPr>
          <w:p w14:paraId="5E145958">
            <w:pPr>
              <w:pStyle w:val="179"/>
              <w:widowControl w:val="0"/>
            </w:pPr>
            <w:r>
              <w:rPr>
                <w:rFonts w:hint="eastAsia"/>
              </w:rPr>
              <w:t>8</w:t>
            </w:r>
          </w:p>
        </w:tc>
        <w:tc>
          <w:tcPr>
            <w:tcW w:w="1119" w:type="dxa"/>
            <w:vMerge w:val="continue"/>
            <w:noWrap/>
            <w:vAlign w:val="center"/>
          </w:tcPr>
          <w:p w14:paraId="29704627">
            <w:pPr>
              <w:pStyle w:val="179"/>
              <w:widowControl w:val="0"/>
            </w:pPr>
          </w:p>
        </w:tc>
      </w:tr>
      <w:tr w14:paraId="547E64D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1199" w:type="dxa"/>
            <w:noWrap/>
            <w:vAlign w:val="center"/>
          </w:tcPr>
          <w:p w14:paraId="3854B12C">
            <w:pPr>
              <w:pStyle w:val="179"/>
              <w:widowControl w:val="0"/>
            </w:pPr>
            <w:r>
              <w:rPr>
                <w:rFonts w:hint="eastAsia"/>
              </w:rPr>
              <w:t>杂草草甸</w:t>
            </w:r>
          </w:p>
        </w:tc>
        <w:tc>
          <w:tcPr>
            <w:tcW w:w="1323" w:type="dxa"/>
            <w:noWrap/>
            <w:vAlign w:val="center"/>
          </w:tcPr>
          <w:p w14:paraId="7D231550">
            <w:pPr>
              <w:pStyle w:val="179"/>
              <w:widowControl w:val="0"/>
            </w:pPr>
            <w:r>
              <w:rPr>
                <w:rFonts w:hint="eastAsia"/>
              </w:rPr>
              <w:t>64.63</w:t>
            </w:r>
          </w:p>
        </w:tc>
        <w:tc>
          <w:tcPr>
            <w:tcW w:w="1136" w:type="dxa"/>
            <w:noWrap/>
            <w:vAlign w:val="center"/>
          </w:tcPr>
          <w:p w14:paraId="6E5DDB04">
            <w:pPr>
              <w:pStyle w:val="179"/>
              <w:widowControl w:val="0"/>
            </w:pPr>
            <w:r>
              <w:rPr>
                <w:rFonts w:hint="eastAsia"/>
              </w:rPr>
              <w:t>18</w:t>
            </w:r>
          </w:p>
        </w:tc>
        <w:tc>
          <w:tcPr>
            <w:tcW w:w="1191" w:type="dxa"/>
            <w:vMerge w:val="continue"/>
            <w:noWrap/>
            <w:vAlign w:val="center"/>
          </w:tcPr>
          <w:p w14:paraId="2792CB80">
            <w:pPr>
              <w:pStyle w:val="179"/>
              <w:widowControl w:val="0"/>
            </w:pPr>
          </w:p>
        </w:tc>
        <w:tc>
          <w:tcPr>
            <w:tcW w:w="1295" w:type="dxa"/>
            <w:noWrap/>
            <w:vAlign w:val="center"/>
          </w:tcPr>
          <w:p w14:paraId="6651E0EF">
            <w:pPr>
              <w:pStyle w:val="179"/>
              <w:widowControl w:val="0"/>
            </w:pPr>
            <w:r>
              <w:rPr>
                <w:rFonts w:hint="eastAsia"/>
              </w:rPr>
              <w:t>64.631</w:t>
            </w:r>
          </w:p>
        </w:tc>
        <w:tc>
          <w:tcPr>
            <w:tcW w:w="1016" w:type="dxa"/>
            <w:noWrap/>
            <w:vAlign w:val="center"/>
          </w:tcPr>
          <w:p w14:paraId="54DED029">
            <w:pPr>
              <w:pStyle w:val="179"/>
              <w:widowControl w:val="0"/>
            </w:pPr>
            <w:r>
              <w:rPr>
                <w:rFonts w:hint="eastAsia"/>
              </w:rPr>
              <w:t>18</w:t>
            </w:r>
          </w:p>
        </w:tc>
        <w:tc>
          <w:tcPr>
            <w:tcW w:w="1119" w:type="dxa"/>
            <w:vMerge w:val="continue"/>
            <w:noWrap/>
            <w:vAlign w:val="center"/>
          </w:tcPr>
          <w:p w14:paraId="0970885D">
            <w:pPr>
              <w:pStyle w:val="179"/>
              <w:widowControl w:val="0"/>
            </w:pPr>
          </w:p>
        </w:tc>
      </w:tr>
    </w:tbl>
    <w:p w14:paraId="2FD9D8D5">
      <w:pPr>
        <w:pStyle w:val="178"/>
      </w:pPr>
      <w:r>
        <w:rPr>
          <w:rFonts w:hint="eastAsia"/>
        </w:rPr>
        <w:drawing>
          <wp:inline distT="0" distB="0" distL="114300" distR="114300">
            <wp:extent cx="4698365" cy="3599815"/>
            <wp:effectExtent l="19050" t="0" r="6504" b="0"/>
            <wp:docPr id="78" name="图片 3" descr="建设前-生态系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3" descr="建设前-生态系统"/>
                    <pic:cNvPicPr>
                      <a:picLocks noChangeAspect="1"/>
                    </pic:cNvPicPr>
                  </pic:nvPicPr>
                  <pic:blipFill>
                    <a:blip r:embed="rId110"/>
                    <a:srcRect l="3524" r="4129"/>
                    <a:stretch>
                      <a:fillRect/>
                    </a:stretch>
                  </pic:blipFill>
                  <pic:spPr>
                    <a:xfrm>
                      <a:off x="0" y="0"/>
                      <a:ext cx="4698846" cy="3600000"/>
                    </a:xfrm>
                    <a:prstGeom prst="rect">
                      <a:avLst/>
                    </a:prstGeom>
                  </pic:spPr>
                </pic:pic>
              </a:graphicData>
            </a:graphic>
          </wp:inline>
        </w:drawing>
      </w:r>
    </w:p>
    <w:p w14:paraId="11FDC7B0">
      <w:pPr>
        <w:pStyle w:val="178"/>
      </w:pPr>
      <w:r>
        <w:rPr>
          <w:rFonts w:hint="eastAsia"/>
        </w:rPr>
        <w:drawing>
          <wp:inline distT="0" distB="0" distL="114300" distR="114300">
            <wp:extent cx="4704715" cy="3601720"/>
            <wp:effectExtent l="19050" t="0" r="346" b="0"/>
            <wp:docPr id="79" name="图片 4" descr="生态系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4" descr="生态系统"/>
                    <pic:cNvPicPr>
                      <a:picLocks noChangeAspect="1"/>
                    </pic:cNvPicPr>
                  </pic:nvPicPr>
                  <pic:blipFill>
                    <a:blip r:embed="rId80"/>
                    <a:srcRect l="3872" r="3701"/>
                    <a:stretch>
                      <a:fillRect/>
                    </a:stretch>
                  </pic:blipFill>
                  <pic:spPr>
                    <a:xfrm>
                      <a:off x="0" y="0"/>
                      <a:ext cx="4705004" cy="3602182"/>
                    </a:xfrm>
                    <a:prstGeom prst="rect">
                      <a:avLst/>
                    </a:prstGeom>
                  </pic:spPr>
                </pic:pic>
              </a:graphicData>
            </a:graphic>
          </wp:inline>
        </w:drawing>
      </w:r>
    </w:p>
    <w:p w14:paraId="10488FCC">
      <w:pPr>
        <w:pStyle w:val="178"/>
      </w:pPr>
      <w:r>
        <w:rPr>
          <w:rFonts w:hint="eastAsia"/>
        </w:rPr>
        <w:t xml:space="preserve">图5.3-2  </w:t>
      </w:r>
      <w:r>
        <w:t>建设后</w:t>
      </w:r>
      <w:r>
        <w:rPr>
          <w:rFonts w:hint="eastAsia"/>
        </w:rPr>
        <w:t>生态系统变化</w:t>
      </w:r>
    </w:p>
    <w:p w14:paraId="4F3300D1">
      <w:pPr>
        <w:ind w:left="480" w:firstLine="0" w:firstLineChars="0"/>
        <w:rPr>
          <w:b/>
        </w:rPr>
      </w:pPr>
      <w:r>
        <w:rPr>
          <w:rFonts w:hint="eastAsia"/>
          <w:b/>
        </w:rPr>
        <w:t>1、对生产力影响</w:t>
      </w:r>
    </w:p>
    <w:p w14:paraId="764CDF8D">
      <w:pPr>
        <w:ind w:firstLine="480"/>
      </w:pPr>
      <w:r>
        <w:rPr>
          <w:rFonts w:hint="eastAsia"/>
        </w:rPr>
        <w:t>自然生态系统的稳定性，可以根据净生产力的多少度量。如果植被净生产力高，则其恢复稳定性强，反之则弱。工程占用一定面积的植被，项目建成后，评价范围自然生态系统的生产力随之有一定程度减少，以其变化来分析建设项目对区域生态系统稳定性的影响。评价范围内植被生产力变化情况见表5.3-3。</w:t>
      </w:r>
    </w:p>
    <w:p w14:paraId="5633C7B7">
      <w:pPr>
        <w:pStyle w:val="178"/>
      </w:pPr>
      <w:r>
        <w:t>表5.3-</w:t>
      </w:r>
      <w:r>
        <w:rPr>
          <w:rFonts w:hint="eastAsia"/>
        </w:rPr>
        <w:t>3</w:t>
      </w:r>
      <w:r>
        <w:t xml:space="preserve">  工程占地区</w:t>
      </w:r>
      <w:r>
        <w:rPr>
          <w:rFonts w:hint="eastAsia"/>
        </w:rPr>
        <w:t>生产力</w:t>
      </w:r>
      <w:r>
        <w:t>统计表</w:t>
      </w:r>
    </w:p>
    <w:tbl>
      <w:tblPr>
        <w:tblStyle w:val="37"/>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446"/>
        <w:gridCol w:w="1420"/>
        <w:gridCol w:w="1308"/>
        <w:gridCol w:w="1687"/>
        <w:gridCol w:w="1251"/>
        <w:gridCol w:w="1360"/>
      </w:tblGrid>
      <w:tr w14:paraId="36BE0B7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527" w:type="dxa"/>
            <w:vAlign w:val="center"/>
          </w:tcPr>
          <w:p w14:paraId="4A54AB8E">
            <w:pPr>
              <w:pStyle w:val="179"/>
              <w:widowControl w:val="0"/>
              <w:rPr>
                <w:b/>
              </w:rPr>
            </w:pPr>
            <w:r>
              <w:rPr>
                <w:rFonts w:hint="eastAsia"/>
                <w:b/>
              </w:rPr>
              <w:t>建设前植被面积（hm</w:t>
            </w:r>
            <w:r>
              <w:rPr>
                <w:rFonts w:hint="eastAsia"/>
                <w:b/>
                <w:vertAlign w:val="superscript"/>
              </w:rPr>
              <w:t>2</w:t>
            </w:r>
            <w:r>
              <w:rPr>
                <w:rFonts w:hint="eastAsia"/>
                <w:b/>
              </w:rPr>
              <w:t>）</w:t>
            </w:r>
          </w:p>
        </w:tc>
        <w:tc>
          <w:tcPr>
            <w:tcW w:w="1500" w:type="dxa"/>
            <w:vAlign w:val="center"/>
          </w:tcPr>
          <w:p w14:paraId="071BC139">
            <w:pPr>
              <w:pStyle w:val="179"/>
              <w:widowControl w:val="0"/>
              <w:rPr>
                <w:b/>
              </w:rPr>
            </w:pPr>
            <w:r>
              <w:rPr>
                <w:rFonts w:hint="eastAsia"/>
                <w:b/>
              </w:rPr>
              <w:t>平均生产力（t/ hm</w:t>
            </w:r>
            <w:r>
              <w:rPr>
                <w:rFonts w:hint="eastAsia"/>
                <w:b/>
                <w:vertAlign w:val="superscript"/>
              </w:rPr>
              <w:t>2</w:t>
            </w:r>
            <w:r>
              <w:rPr>
                <w:b/>
              </w:rPr>
              <w:t>·a</w:t>
            </w:r>
            <w:r>
              <w:rPr>
                <w:rFonts w:hint="eastAsia"/>
                <w:b/>
              </w:rPr>
              <w:t>）</w:t>
            </w:r>
          </w:p>
        </w:tc>
        <w:tc>
          <w:tcPr>
            <w:tcW w:w="1380" w:type="dxa"/>
            <w:vAlign w:val="center"/>
          </w:tcPr>
          <w:p w14:paraId="4948E3E6">
            <w:pPr>
              <w:pStyle w:val="179"/>
              <w:widowControl w:val="0"/>
              <w:rPr>
                <w:b/>
              </w:rPr>
            </w:pPr>
            <w:r>
              <w:rPr>
                <w:rFonts w:hint="eastAsia"/>
                <w:b/>
              </w:rPr>
              <w:t>建设前生产力（t）</w:t>
            </w:r>
          </w:p>
        </w:tc>
        <w:tc>
          <w:tcPr>
            <w:tcW w:w="1785" w:type="dxa"/>
            <w:vAlign w:val="center"/>
          </w:tcPr>
          <w:p w14:paraId="20A94245">
            <w:pPr>
              <w:pStyle w:val="179"/>
              <w:widowControl w:val="0"/>
              <w:rPr>
                <w:b/>
              </w:rPr>
            </w:pPr>
            <w:r>
              <w:rPr>
                <w:rFonts w:hint="eastAsia"/>
                <w:b/>
              </w:rPr>
              <w:t>建设后植被面积（hm</w:t>
            </w:r>
            <w:r>
              <w:rPr>
                <w:rFonts w:hint="eastAsia"/>
                <w:b/>
                <w:vertAlign w:val="superscript"/>
              </w:rPr>
              <w:t>2</w:t>
            </w:r>
            <w:r>
              <w:rPr>
                <w:rFonts w:hint="eastAsia"/>
                <w:b/>
              </w:rPr>
              <w:t>）</w:t>
            </w:r>
          </w:p>
        </w:tc>
        <w:tc>
          <w:tcPr>
            <w:tcW w:w="1320" w:type="dxa"/>
            <w:vAlign w:val="center"/>
          </w:tcPr>
          <w:p w14:paraId="6B503C8B">
            <w:pPr>
              <w:pStyle w:val="179"/>
              <w:widowControl w:val="0"/>
              <w:rPr>
                <w:b/>
              </w:rPr>
            </w:pPr>
            <w:r>
              <w:rPr>
                <w:rFonts w:hint="eastAsia"/>
                <w:b/>
              </w:rPr>
              <w:t>生产力（t/ hm</w:t>
            </w:r>
            <w:r>
              <w:rPr>
                <w:rFonts w:hint="eastAsia"/>
                <w:b/>
                <w:vertAlign w:val="superscript"/>
              </w:rPr>
              <w:t>2</w:t>
            </w:r>
            <w:r>
              <w:rPr>
                <w:b/>
              </w:rPr>
              <w:t>·a</w:t>
            </w:r>
            <w:r>
              <w:rPr>
                <w:rFonts w:hint="eastAsia"/>
                <w:b/>
              </w:rPr>
              <w:t>）</w:t>
            </w:r>
          </w:p>
        </w:tc>
        <w:tc>
          <w:tcPr>
            <w:tcW w:w="1436" w:type="dxa"/>
            <w:vAlign w:val="center"/>
          </w:tcPr>
          <w:p w14:paraId="78BC5274">
            <w:pPr>
              <w:pStyle w:val="179"/>
              <w:widowControl w:val="0"/>
              <w:rPr>
                <w:b/>
              </w:rPr>
            </w:pPr>
            <w:r>
              <w:rPr>
                <w:rFonts w:hint="eastAsia"/>
                <w:b/>
              </w:rPr>
              <w:t>建设后生产力（t）</w:t>
            </w:r>
          </w:p>
        </w:tc>
      </w:tr>
      <w:tr w14:paraId="009F031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527" w:type="dxa"/>
            <w:vAlign w:val="center"/>
          </w:tcPr>
          <w:p w14:paraId="3A12BEAA">
            <w:pPr>
              <w:pStyle w:val="179"/>
              <w:widowControl w:val="0"/>
            </w:pPr>
            <w:r>
              <w:rPr>
                <w:rFonts w:hint="eastAsia"/>
              </w:rPr>
              <w:t>338.98</w:t>
            </w:r>
          </w:p>
        </w:tc>
        <w:tc>
          <w:tcPr>
            <w:tcW w:w="1500" w:type="dxa"/>
            <w:vAlign w:val="center"/>
          </w:tcPr>
          <w:p w14:paraId="46823E7B">
            <w:pPr>
              <w:pStyle w:val="179"/>
              <w:widowControl w:val="0"/>
            </w:pPr>
            <w:r>
              <w:rPr>
                <w:rFonts w:hint="eastAsia"/>
              </w:rPr>
              <w:t>10.74</w:t>
            </w:r>
          </w:p>
        </w:tc>
        <w:tc>
          <w:tcPr>
            <w:tcW w:w="1380" w:type="dxa"/>
            <w:vAlign w:val="center"/>
          </w:tcPr>
          <w:p w14:paraId="7CA637C9">
            <w:pPr>
              <w:pStyle w:val="179"/>
              <w:widowControl w:val="0"/>
            </w:pPr>
            <w:r>
              <w:rPr>
                <w:rFonts w:hint="eastAsia"/>
              </w:rPr>
              <w:t>3640.6452</w:t>
            </w:r>
          </w:p>
        </w:tc>
        <w:tc>
          <w:tcPr>
            <w:tcW w:w="1785" w:type="dxa"/>
            <w:vAlign w:val="center"/>
          </w:tcPr>
          <w:p w14:paraId="1D1F1EEC">
            <w:pPr>
              <w:pStyle w:val="179"/>
              <w:widowControl w:val="0"/>
            </w:pPr>
            <w:r>
              <w:rPr>
                <w:rFonts w:hint="eastAsia"/>
              </w:rPr>
              <w:t>327.98</w:t>
            </w:r>
          </w:p>
        </w:tc>
        <w:tc>
          <w:tcPr>
            <w:tcW w:w="1320" w:type="dxa"/>
            <w:vAlign w:val="center"/>
          </w:tcPr>
          <w:p w14:paraId="7DA6FD41">
            <w:pPr>
              <w:pStyle w:val="179"/>
              <w:widowControl w:val="0"/>
            </w:pPr>
            <w:r>
              <w:rPr>
                <w:rFonts w:hint="eastAsia"/>
              </w:rPr>
              <w:t>10.74</w:t>
            </w:r>
          </w:p>
        </w:tc>
        <w:tc>
          <w:tcPr>
            <w:tcW w:w="1436" w:type="dxa"/>
            <w:vAlign w:val="center"/>
          </w:tcPr>
          <w:p w14:paraId="1176669B">
            <w:pPr>
              <w:pStyle w:val="179"/>
              <w:widowControl w:val="0"/>
            </w:pPr>
            <w:r>
              <w:rPr>
                <w:rFonts w:hint="eastAsia"/>
              </w:rPr>
              <w:t>3522.5052</w:t>
            </w:r>
          </w:p>
        </w:tc>
      </w:tr>
    </w:tbl>
    <w:p w14:paraId="4E934CB3">
      <w:pPr>
        <w:widowControl/>
        <w:ind w:firstLine="480"/>
      </w:pPr>
      <w:r>
        <w:rPr>
          <w:kern w:val="0"/>
        </w:rPr>
        <w:t>评价范围植被总面积</w:t>
      </w:r>
      <w:r>
        <w:rPr>
          <w:rFonts w:hint="eastAsia"/>
          <w:kern w:val="0"/>
        </w:rPr>
        <w:t>338.98</w:t>
      </w:r>
      <w:r>
        <w:t>hm</w:t>
      </w:r>
      <w:r>
        <w:rPr>
          <w:vertAlign w:val="superscript"/>
        </w:rPr>
        <w:t>2</w:t>
      </w:r>
      <w:r>
        <w:rPr>
          <w:kern w:val="0"/>
        </w:rPr>
        <w:t>，</w:t>
      </w:r>
      <w:r>
        <w:t>项目</w:t>
      </w:r>
      <w:r>
        <w:rPr>
          <w:rFonts w:hint="eastAsia"/>
        </w:rPr>
        <w:t>不新增占地</w:t>
      </w:r>
      <w:r>
        <w:t>，评价范围生产力</w:t>
      </w:r>
      <w:r>
        <w:rPr>
          <w:rFonts w:hint="eastAsia"/>
        </w:rPr>
        <w:t>变化较小</w:t>
      </w:r>
      <w:r>
        <w:t>，因此以生产力为参数对评价范围生态环境稳定性进行分析，建设项目对生态系统稳定性</w:t>
      </w:r>
      <w:r>
        <w:rPr>
          <w:rFonts w:hint="eastAsia"/>
        </w:rPr>
        <w:t>几乎无</w:t>
      </w:r>
      <w:r>
        <w:t>影响</w:t>
      </w:r>
      <w:r>
        <w:rPr>
          <w:kern w:val="0"/>
        </w:rPr>
        <w:t>。</w:t>
      </w:r>
    </w:p>
    <w:p w14:paraId="0317786A">
      <w:pPr>
        <w:ind w:left="480" w:firstLine="0" w:firstLineChars="0"/>
        <w:rPr>
          <w:b/>
        </w:rPr>
      </w:pPr>
      <w:r>
        <w:rPr>
          <w:rFonts w:hint="eastAsia"/>
          <w:b/>
        </w:rPr>
        <w:t>2、生态系统服务功能影响</w:t>
      </w:r>
    </w:p>
    <w:p w14:paraId="65113FE3">
      <w:pPr>
        <w:ind w:firstLine="480"/>
      </w:pPr>
      <w:r>
        <w:rPr>
          <w:rFonts w:hint="eastAsia"/>
        </w:rPr>
        <w:t>生态系统服务功能可通过“生态系统服务价值”进行定量分析。生态系统服务价值是通过货币的形式表征生态系统的各项服务功能的大小。</w:t>
      </w:r>
    </w:p>
    <w:p w14:paraId="7C87A52B">
      <w:pPr>
        <w:ind w:firstLine="480"/>
      </w:pPr>
    </w:p>
    <w:p w14:paraId="4ADC45A7">
      <w:pPr>
        <w:ind w:firstLine="480"/>
      </w:pPr>
    </w:p>
    <w:p w14:paraId="518B25B4">
      <w:pPr>
        <w:ind w:firstLine="480"/>
      </w:pPr>
    </w:p>
    <w:p w14:paraId="25B2C856">
      <w:pPr>
        <w:pStyle w:val="178"/>
      </w:pPr>
      <w:r>
        <w:t>表5.3</w:t>
      </w:r>
      <w:r>
        <w:rPr>
          <w:rFonts w:hint="eastAsia"/>
        </w:rPr>
        <w:t>-4 评价区陆地生态系统服务价值</w:t>
      </w:r>
    </w:p>
    <w:tbl>
      <w:tblPr>
        <w:tblStyle w:val="37"/>
        <w:tblW w:w="4996"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
      <w:tblGrid>
        <w:gridCol w:w="1080"/>
        <w:gridCol w:w="976"/>
        <w:gridCol w:w="1251"/>
        <w:gridCol w:w="1361"/>
        <w:gridCol w:w="1058"/>
        <w:gridCol w:w="1274"/>
        <w:gridCol w:w="1363"/>
      </w:tblGrid>
      <w:tr w14:paraId="5419F1E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tblHeader/>
          <w:jc w:val="center"/>
        </w:trPr>
        <w:tc>
          <w:tcPr>
            <w:tcW w:w="1080" w:type="dxa"/>
            <w:vMerge w:val="restart"/>
            <w:vAlign w:val="center"/>
          </w:tcPr>
          <w:p w14:paraId="62C2E0CE">
            <w:pPr>
              <w:pStyle w:val="179"/>
              <w:widowControl w:val="0"/>
              <w:rPr>
                <w:b/>
              </w:rPr>
            </w:pPr>
            <w:r>
              <w:rPr>
                <w:rFonts w:hint="eastAsia"/>
                <w:b/>
              </w:rPr>
              <w:t>生态系统类型</w:t>
            </w:r>
          </w:p>
        </w:tc>
        <w:tc>
          <w:tcPr>
            <w:tcW w:w="976" w:type="dxa"/>
            <w:vAlign w:val="center"/>
          </w:tcPr>
          <w:p w14:paraId="34451B9F">
            <w:pPr>
              <w:pStyle w:val="179"/>
              <w:widowControl w:val="0"/>
              <w:rPr>
                <w:b/>
              </w:rPr>
            </w:pPr>
            <w:r>
              <w:rPr>
                <w:rFonts w:hint="eastAsia"/>
                <w:b/>
              </w:rPr>
              <w:t>面积（hm</w:t>
            </w:r>
            <w:r>
              <w:rPr>
                <w:rFonts w:hint="eastAsia"/>
                <w:b/>
                <w:vertAlign w:val="superscript"/>
              </w:rPr>
              <w:t>2</w:t>
            </w:r>
            <w:r>
              <w:rPr>
                <w:rFonts w:hint="eastAsia"/>
                <w:b/>
              </w:rPr>
              <w:t>）</w:t>
            </w:r>
          </w:p>
        </w:tc>
        <w:tc>
          <w:tcPr>
            <w:tcW w:w="1251" w:type="dxa"/>
            <w:vAlign w:val="center"/>
          </w:tcPr>
          <w:p w14:paraId="5068A24B">
            <w:pPr>
              <w:pStyle w:val="179"/>
              <w:widowControl w:val="0"/>
              <w:rPr>
                <w:b/>
              </w:rPr>
            </w:pPr>
            <w:r>
              <w:rPr>
                <w:rFonts w:hint="eastAsia"/>
                <w:b/>
              </w:rPr>
              <w:t>生态系统服务价值单价（元/hm</w:t>
            </w:r>
            <w:r>
              <w:rPr>
                <w:rFonts w:hint="eastAsia"/>
                <w:b/>
                <w:vertAlign w:val="superscript"/>
              </w:rPr>
              <w:t>2</w:t>
            </w:r>
            <w:r>
              <w:rPr>
                <w:rFonts w:hint="eastAsia"/>
                <w:b/>
              </w:rPr>
              <w:t>）</w:t>
            </w:r>
          </w:p>
        </w:tc>
        <w:tc>
          <w:tcPr>
            <w:tcW w:w="1361" w:type="dxa"/>
            <w:vAlign w:val="center"/>
          </w:tcPr>
          <w:p w14:paraId="23071151">
            <w:pPr>
              <w:pStyle w:val="179"/>
              <w:widowControl w:val="0"/>
              <w:rPr>
                <w:b/>
              </w:rPr>
            </w:pPr>
            <w:r>
              <w:rPr>
                <w:rFonts w:hint="eastAsia"/>
                <w:b/>
              </w:rPr>
              <w:t>生态系统服务价值（元）</w:t>
            </w:r>
          </w:p>
        </w:tc>
        <w:tc>
          <w:tcPr>
            <w:tcW w:w="1058" w:type="dxa"/>
            <w:vAlign w:val="center"/>
          </w:tcPr>
          <w:p w14:paraId="0027D70F">
            <w:pPr>
              <w:pStyle w:val="179"/>
              <w:widowControl w:val="0"/>
              <w:rPr>
                <w:b/>
              </w:rPr>
            </w:pPr>
            <w:r>
              <w:rPr>
                <w:rFonts w:hint="eastAsia"/>
                <w:b/>
              </w:rPr>
              <w:t>面积（hm</w:t>
            </w:r>
            <w:r>
              <w:rPr>
                <w:rFonts w:hint="eastAsia"/>
                <w:b/>
                <w:vertAlign w:val="superscript"/>
              </w:rPr>
              <w:t>2</w:t>
            </w:r>
            <w:r>
              <w:rPr>
                <w:rFonts w:hint="eastAsia"/>
                <w:b/>
              </w:rPr>
              <w:t>）</w:t>
            </w:r>
          </w:p>
        </w:tc>
        <w:tc>
          <w:tcPr>
            <w:tcW w:w="1274" w:type="dxa"/>
            <w:vAlign w:val="center"/>
          </w:tcPr>
          <w:p w14:paraId="5FBBBBB2">
            <w:pPr>
              <w:pStyle w:val="179"/>
              <w:widowControl w:val="0"/>
              <w:rPr>
                <w:b/>
              </w:rPr>
            </w:pPr>
            <w:r>
              <w:rPr>
                <w:rFonts w:hint="eastAsia"/>
                <w:b/>
              </w:rPr>
              <w:t>生态系统服务价值单价（元/hm</w:t>
            </w:r>
            <w:r>
              <w:rPr>
                <w:rFonts w:hint="eastAsia"/>
                <w:b/>
                <w:vertAlign w:val="superscript"/>
              </w:rPr>
              <w:t>2</w:t>
            </w:r>
            <w:r>
              <w:rPr>
                <w:rFonts w:hint="eastAsia"/>
                <w:b/>
              </w:rPr>
              <w:t>）</w:t>
            </w:r>
          </w:p>
        </w:tc>
        <w:tc>
          <w:tcPr>
            <w:tcW w:w="1363" w:type="dxa"/>
            <w:vAlign w:val="center"/>
          </w:tcPr>
          <w:p w14:paraId="0B6E7142">
            <w:pPr>
              <w:pStyle w:val="179"/>
              <w:widowControl w:val="0"/>
              <w:rPr>
                <w:b/>
              </w:rPr>
            </w:pPr>
            <w:r>
              <w:rPr>
                <w:rFonts w:hint="eastAsia"/>
                <w:b/>
              </w:rPr>
              <w:t>生态系统服务价值（元）</w:t>
            </w:r>
          </w:p>
        </w:tc>
      </w:tr>
      <w:tr w14:paraId="7F73C41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tblHeader/>
          <w:jc w:val="center"/>
        </w:trPr>
        <w:tc>
          <w:tcPr>
            <w:tcW w:w="1080" w:type="dxa"/>
            <w:vMerge w:val="continue"/>
            <w:vAlign w:val="center"/>
          </w:tcPr>
          <w:p w14:paraId="5E7ACED0">
            <w:pPr>
              <w:pStyle w:val="179"/>
              <w:widowControl w:val="0"/>
              <w:rPr>
                <w:b/>
              </w:rPr>
            </w:pPr>
          </w:p>
        </w:tc>
        <w:tc>
          <w:tcPr>
            <w:tcW w:w="3588" w:type="dxa"/>
            <w:gridSpan w:val="3"/>
            <w:vAlign w:val="center"/>
          </w:tcPr>
          <w:p w14:paraId="47061765">
            <w:pPr>
              <w:pStyle w:val="179"/>
              <w:widowControl w:val="0"/>
              <w:rPr>
                <w:b/>
              </w:rPr>
            </w:pPr>
            <w:r>
              <w:rPr>
                <w:rFonts w:hint="eastAsia"/>
                <w:b/>
              </w:rPr>
              <w:t>建设前</w:t>
            </w:r>
          </w:p>
        </w:tc>
        <w:tc>
          <w:tcPr>
            <w:tcW w:w="3695" w:type="dxa"/>
            <w:gridSpan w:val="3"/>
            <w:vAlign w:val="center"/>
          </w:tcPr>
          <w:p w14:paraId="10B9E9DD">
            <w:pPr>
              <w:pStyle w:val="179"/>
              <w:widowControl w:val="0"/>
              <w:rPr>
                <w:b/>
              </w:rPr>
            </w:pPr>
            <w:r>
              <w:rPr>
                <w:rFonts w:hint="eastAsia"/>
                <w:b/>
              </w:rPr>
              <w:t>建设后</w:t>
            </w:r>
          </w:p>
        </w:tc>
      </w:tr>
      <w:tr w14:paraId="5846793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1080" w:type="dxa"/>
            <w:vAlign w:val="center"/>
          </w:tcPr>
          <w:p w14:paraId="5F0CB7E6">
            <w:pPr>
              <w:pStyle w:val="179"/>
              <w:widowControl w:val="0"/>
            </w:pPr>
            <w:r>
              <w:t>森林生态系统</w:t>
            </w:r>
          </w:p>
        </w:tc>
        <w:tc>
          <w:tcPr>
            <w:tcW w:w="976" w:type="dxa"/>
            <w:vAlign w:val="center"/>
          </w:tcPr>
          <w:p w14:paraId="1CC346B3">
            <w:pPr>
              <w:pStyle w:val="179"/>
              <w:widowControl w:val="0"/>
            </w:pPr>
            <w:r>
              <w:rPr>
                <w:rFonts w:hint="eastAsia"/>
              </w:rPr>
              <w:t>338.98</w:t>
            </w:r>
          </w:p>
        </w:tc>
        <w:tc>
          <w:tcPr>
            <w:tcW w:w="1251" w:type="dxa"/>
            <w:vAlign w:val="center"/>
          </w:tcPr>
          <w:p w14:paraId="5F6350CE">
            <w:pPr>
              <w:pStyle w:val="179"/>
              <w:widowControl w:val="0"/>
            </w:pPr>
            <w:r>
              <w:rPr>
                <w:rFonts w:hint="eastAsia"/>
              </w:rPr>
              <w:t>19335</w:t>
            </w:r>
          </w:p>
        </w:tc>
        <w:tc>
          <w:tcPr>
            <w:tcW w:w="1361" w:type="dxa"/>
            <w:vAlign w:val="center"/>
          </w:tcPr>
          <w:p w14:paraId="3C3AFD17">
            <w:pPr>
              <w:pStyle w:val="179"/>
              <w:widowControl w:val="0"/>
            </w:pPr>
            <w:r>
              <w:rPr>
                <w:rFonts w:hint="eastAsia"/>
              </w:rPr>
              <w:t>6554178.3</w:t>
            </w:r>
          </w:p>
        </w:tc>
        <w:tc>
          <w:tcPr>
            <w:tcW w:w="1058" w:type="dxa"/>
            <w:vAlign w:val="center"/>
          </w:tcPr>
          <w:p w14:paraId="41650310">
            <w:pPr>
              <w:pStyle w:val="179"/>
              <w:widowControl w:val="0"/>
            </w:pPr>
            <w:r>
              <w:rPr>
                <w:rFonts w:hint="eastAsia"/>
              </w:rPr>
              <w:t>327.98</w:t>
            </w:r>
          </w:p>
        </w:tc>
        <w:tc>
          <w:tcPr>
            <w:tcW w:w="1274" w:type="dxa"/>
            <w:vAlign w:val="center"/>
          </w:tcPr>
          <w:p w14:paraId="3287724F">
            <w:pPr>
              <w:pStyle w:val="179"/>
              <w:widowControl w:val="0"/>
            </w:pPr>
            <w:r>
              <w:rPr>
                <w:rFonts w:hint="eastAsia"/>
              </w:rPr>
              <w:t>19335</w:t>
            </w:r>
          </w:p>
        </w:tc>
        <w:tc>
          <w:tcPr>
            <w:tcW w:w="1363" w:type="dxa"/>
            <w:shd w:val="clear" w:color="auto" w:fill="auto"/>
            <w:vAlign w:val="center"/>
          </w:tcPr>
          <w:p w14:paraId="2ED314CF">
            <w:pPr>
              <w:pStyle w:val="179"/>
              <w:widowControl w:val="0"/>
            </w:pPr>
            <w:r>
              <w:rPr>
                <w:rFonts w:hint="eastAsia"/>
              </w:rPr>
              <w:t>6341493.3</w:t>
            </w:r>
          </w:p>
        </w:tc>
      </w:tr>
      <w:tr w14:paraId="6496427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1080" w:type="dxa"/>
            <w:vAlign w:val="center"/>
          </w:tcPr>
          <w:p w14:paraId="01F68B4C">
            <w:pPr>
              <w:pStyle w:val="179"/>
              <w:widowControl w:val="0"/>
            </w:pPr>
            <w:r>
              <w:t>城镇生态系统</w:t>
            </w:r>
          </w:p>
        </w:tc>
        <w:tc>
          <w:tcPr>
            <w:tcW w:w="976" w:type="dxa"/>
            <w:vAlign w:val="center"/>
          </w:tcPr>
          <w:p w14:paraId="6A36388C">
            <w:pPr>
              <w:pStyle w:val="179"/>
              <w:widowControl w:val="0"/>
            </w:pPr>
            <w:r>
              <w:rPr>
                <w:rFonts w:hint="eastAsia"/>
              </w:rPr>
              <w:t>12.47</w:t>
            </w:r>
          </w:p>
        </w:tc>
        <w:tc>
          <w:tcPr>
            <w:tcW w:w="1251" w:type="dxa"/>
            <w:vAlign w:val="center"/>
          </w:tcPr>
          <w:p w14:paraId="2DD2F8BB">
            <w:pPr>
              <w:pStyle w:val="179"/>
              <w:widowControl w:val="0"/>
            </w:pPr>
            <w:r>
              <w:rPr>
                <w:rFonts w:hint="eastAsia"/>
              </w:rPr>
              <w:t>-1000</w:t>
            </w:r>
          </w:p>
        </w:tc>
        <w:tc>
          <w:tcPr>
            <w:tcW w:w="1361" w:type="dxa"/>
            <w:vAlign w:val="center"/>
          </w:tcPr>
          <w:p w14:paraId="26F215C1">
            <w:pPr>
              <w:pStyle w:val="179"/>
              <w:widowControl w:val="0"/>
            </w:pPr>
            <w:r>
              <w:rPr>
                <w:rFonts w:hint="eastAsia"/>
              </w:rPr>
              <w:t>-12470</w:t>
            </w:r>
          </w:p>
        </w:tc>
        <w:tc>
          <w:tcPr>
            <w:tcW w:w="1058" w:type="dxa"/>
            <w:vAlign w:val="center"/>
          </w:tcPr>
          <w:p w14:paraId="47CDBD2E">
            <w:pPr>
              <w:pStyle w:val="179"/>
              <w:widowControl w:val="0"/>
            </w:pPr>
            <w:r>
              <w:rPr>
                <w:rFonts w:hint="eastAsia"/>
              </w:rPr>
              <w:t>23.47</w:t>
            </w:r>
          </w:p>
        </w:tc>
        <w:tc>
          <w:tcPr>
            <w:tcW w:w="1274" w:type="dxa"/>
            <w:vAlign w:val="center"/>
          </w:tcPr>
          <w:p w14:paraId="4EC1D357">
            <w:pPr>
              <w:pStyle w:val="179"/>
              <w:widowControl w:val="0"/>
            </w:pPr>
            <w:r>
              <w:rPr>
                <w:rFonts w:hint="eastAsia"/>
              </w:rPr>
              <w:t>-1000</w:t>
            </w:r>
          </w:p>
        </w:tc>
        <w:tc>
          <w:tcPr>
            <w:tcW w:w="1363" w:type="dxa"/>
            <w:shd w:val="clear" w:color="auto" w:fill="auto"/>
            <w:vAlign w:val="center"/>
          </w:tcPr>
          <w:p w14:paraId="4915D759">
            <w:pPr>
              <w:pStyle w:val="179"/>
              <w:widowControl w:val="0"/>
            </w:pPr>
            <w:r>
              <w:rPr>
                <w:rFonts w:hint="eastAsia"/>
              </w:rPr>
              <w:t>-23470</w:t>
            </w:r>
          </w:p>
        </w:tc>
      </w:tr>
      <w:tr w14:paraId="0329503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1080" w:type="dxa"/>
            <w:vAlign w:val="center"/>
          </w:tcPr>
          <w:p w14:paraId="76430E28">
            <w:pPr>
              <w:pStyle w:val="179"/>
              <w:widowControl w:val="0"/>
            </w:pPr>
            <w:r>
              <w:rPr>
                <w:rFonts w:hint="eastAsia"/>
              </w:rPr>
              <w:t>湿地生态系统</w:t>
            </w:r>
          </w:p>
        </w:tc>
        <w:tc>
          <w:tcPr>
            <w:tcW w:w="976" w:type="dxa"/>
            <w:vAlign w:val="center"/>
          </w:tcPr>
          <w:p w14:paraId="703A1531">
            <w:pPr>
              <w:pStyle w:val="179"/>
              <w:widowControl w:val="0"/>
            </w:pPr>
            <w:r>
              <w:rPr>
                <w:rFonts w:hint="eastAsia"/>
              </w:rPr>
              <w:t>13.24</w:t>
            </w:r>
          </w:p>
        </w:tc>
        <w:tc>
          <w:tcPr>
            <w:tcW w:w="1251" w:type="dxa"/>
            <w:vAlign w:val="center"/>
          </w:tcPr>
          <w:p w14:paraId="5F1EE945">
            <w:pPr>
              <w:pStyle w:val="179"/>
              <w:widowControl w:val="0"/>
            </w:pPr>
            <w:r>
              <w:rPr>
                <w:rFonts w:hint="eastAsia"/>
              </w:rPr>
              <w:t>40676.4</w:t>
            </w:r>
          </w:p>
        </w:tc>
        <w:tc>
          <w:tcPr>
            <w:tcW w:w="1361" w:type="dxa"/>
            <w:vAlign w:val="center"/>
          </w:tcPr>
          <w:p w14:paraId="32071700">
            <w:pPr>
              <w:pStyle w:val="179"/>
              <w:widowControl w:val="0"/>
            </w:pPr>
            <w:r>
              <w:rPr>
                <w:rFonts w:hint="eastAsia"/>
              </w:rPr>
              <w:t>538555.536</w:t>
            </w:r>
          </w:p>
        </w:tc>
        <w:tc>
          <w:tcPr>
            <w:tcW w:w="1058" w:type="dxa"/>
            <w:vAlign w:val="center"/>
          </w:tcPr>
          <w:p w14:paraId="0184C399">
            <w:pPr>
              <w:pStyle w:val="179"/>
              <w:widowControl w:val="0"/>
            </w:pPr>
            <w:r>
              <w:rPr>
                <w:rFonts w:hint="eastAsia"/>
              </w:rPr>
              <w:t>13.24</w:t>
            </w:r>
          </w:p>
        </w:tc>
        <w:tc>
          <w:tcPr>
            <w:tcW w:w="1274" w:type="dxa"/>
            <w:vAlign w:val="center"/>
          </w:tcPr>
          <w:p w14:paraId="37ED001F">
            <w:pPr>
              <w:pStyle w:val="179"/>
              <w:widowControl w:val="0"/>
            </w:pPr>
            <w:r>
              <w:rPr>
                <w:rFonts w:hint="eastAsia"/>
              </w:rPr>
              <w:t>40676.4</w:t>
            </w:r>
          </w:p>
        </w:tc>
        <w:tc>
          <w:tcPr>
            <w:tcW w:w="1363" w:type="dxa"/>
            <w:vAlign w:val="center"/>
          </w:tcPr>
          <w:p w14:paraId="0EDEE4B7">
            <w:pPr>
              <w:pStyle w:val="179"/>
              <w:widowControl w:val="0"/>
            </w:pPr>
            <w:r>
              <w:rPr>
                <w:rFonts w:hint="eastAsia"/>
              </w:rPr>
              <w:t>538555.536</w:t>
            </w:r>
          </w:p>
        </w:tc>
      </w:tr>
      <w:tr w14:paraId="6318B02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1080" w:type="dxa"/>
            <w:vAlign w:val="center"/>
          </w:tcPr>
          <w:p w14:paraId="3322AFD5">
            <w:pPr>
              <w:pStyle w:val="179"/>
              <w:widowControl w:val="0"/>
            </w:pPr>
            <w:r>
              <w:rPr>
                <w:rFonts w:hint="eastAsia"/>
              </w:rPr>
              <w:t>总计</w:t>
            </w:r>
          </w:p>
        </w:tc>
        <w:tc>
          <w:tcPr>
            <w:tcW w:w="976" w:type="dxa"/>
            <w:vAlign w:val="center"/>
          </w:tcPr>
          <w:p w14:paraId="41C60510">
            <w:pPr>
              <w:pStyle w:val="179"/>
              <w:widowControl w:val="0"/>
            </w:pPr>
            <w:r>
              <w:rPr>
                <w:rFonts w:hint="eastAsia"/>
              </w:rPr>
              <w:t>364.69</w:t>
            </w:r>
          </w:p>
        </w:tc>
        <w:tc>
          <w:tcPr>
            <w:tcW w:w="1251" w:type="dxa"/>
            <w:vAlign w:val="center"/>
          </w:tcPr>
          <w:p w14:paraId="675B76B5">
            <w:pPr>
              <w:pStyle w:val="179"/>
              <w:widowControl w:val="0"/>
            </w:pPr>
            <w:r>
              <w:rPr>
                <w:rFonts w:hint="eastAsia"/>
              </w:rPr>
              <w:t>/</w:t>
            </w:r>
          </w:p>
        </w:tc>
        <w:tc>
          <w:tcPr>
            <w:tcW w:w="1361" w:type="dxa"/>
            <w:shd w:val="clear" w:color="auto" w:fill="auto"/>
            <w:vAlign w:val="center"/>
          </w:tcPr>
          <w:p w14:paraId="70FBF5BB">
            <w:pPr>
              <w:pStyle w:val="179"/>
              <w:widowControl w:val="0"/>
            </w:pPr>
            <w:r>
              <w:rPr>
                <w:rFonts w:hint="eastAsia"/>
              </w:rPr>
              <w:t>7080263.836</w:t>
            </w:r>
          </w:p>
        </w:tc>
        <w:tc>
          <w:tcPr>
            <w:tcW w:w="1058" w:type="dxa"/>
            <w:vAlign w:val="center"/>
          </w:tcPr>
          <w:p w14:paraId="041991DE">
            <w:pPr>
              <w:pStyle w:val="179"/>
              <w:widowControl w:val="0"/>
            </w:pPr>
            <w:r>
              <w:rPr>
                <w:rFonts w:hint="eastAsia"/>
              </w:rPr>
              <w:t>364.69</w:t>
            </w:r>
          </w:p>
        </w:tc>
        <w:tc>
          <w:tcPr>
            <w:tcW w:w="1274" w:type="dxa"/>
            <w:vAlign w:val="center"/>
          </w:tcPr>
          <w:p w14:paraId="5BD06713">
            <w:pPr>
              <w:pStyle w:val="179"/>
              <w:widowControl w:val="0"/>
            </w:pPr>
            <w:r>
              <w:rPr>
                <w:rFonts w:hint="eastAsia"/>
              </w:rPr>
              <w:t>/</w:t>
            </w:r>
          </w:p>
        </w:tc>
        <w:tc>
          <w:tcPr>
            <w:tcW w:w="1363" w:type="dxa"/>
            <w:shd w:val="clear" w:color="auto" w:fill="auto"/>
            <w:vAlign w:val="center"/>
          </w:tcPr>
          <w:p w14:paraId="046BA766">
            <w:pPr>
              <w:pStyle w:val="179"/>
              <w:widowControl w:val="0"/>
            </w:pPr>
            <w:r>
              <w:rPr>
                <w:rFonts w:hint="eastAsia"/>
              </w:rPr>
              <w:t>6856578.836</w:t>
            </w:r>
          </w:p>
        </w:tc>
      </w:tr>
    </w:tbl>
    <w:p w14:paraId="5B0C3263">
      <w:pPr>
        <w:ind w:firstLine="480"/>
      </w:pPr>
      <w:r>
        <w:rPr>
          <w:rFonts w:hint="eastAsia"/>
        </w:rPr>
        <w:t>项目不新增占地，因此建设项目对生态服务价值几乎无影响。</w:t>
      </w:r>
    </w:p>
    <w:p w14:paraId="4922AF19">
      <w:pPr>
        <w:pStyle w:val="5"/>
        <w:spacing w:before="120" w:after="120"/>
      </w:pPr>
      <w:r>
        <w:rPr>
          <w:rFonts w:hint="eastAsia"/>
        </w:rPr>
        <w:t>施工期对陆生植被的影响</w:t>
      </w:r>
    </w:p>
    <w:p w14:paraId="1BB30E9D">
      <w:pPr>
        <w:ind w:left="480" w:firstLine="0" w:firstLineChars="0"/>
        <w:rPr>
          <w:b/>
        </w:rPr>
      </w:pPr>
      <w:r>
        <w:rPr>
          <w:rFonts w:hint="eastAsia"/>
          <w:b/>
        </w:rPr>
        <w:t>1、对保护植物的影响</w:t>
      </w:r>
    </w:p>
    <w:p w14:paraId="61008B6D">
      <w:pPr>
        <w:ind w:firstLine="480"/>
      </w:pPr>
      <w:r>
        <w:rPr>
          <w:rFonts w:hint="eastAsia"/>
        </w:rPr>
        <w:t>根据现状评价，经现场植被调查发现保护野生植物数量分布很少且远离项目占地区，经调查，占地范围内未见国家级保护植物，项目建设对保护植物没有影响。</w:t>
      </w:r>
    </w:p>
    <w:p w14:paraId="57BF1823">
      <w:pPr>
        <w:ind w:left="480" w:firstLine="0" w:firstLineChars="0"/>
        <w:rPr>
          <w:b/>
        </w:rPr>
      </w:pPr>
      <w:r>
        <w:rPr>
          <w:rFonts w:hint="eastAsia"/>
          <w:b/>
        </w:rPr>
        <w:t>2、其他影响</w:t>
      </w:r>
    </w:p>
    <w:p w14:paraId="3E7E0C7A">
      <w:pPr>
        <w:ind w:firstLine="480"/>
      </w:pPr>
      <w:r>
        <w:t>①</w:t>
      </w:r>
      <w:r>
        <w:rPr>
          <w:rFonts w:hint="eastAsia"/>
        </w:rPr>
        <w:t>项目</w:t>
      </w:r>
      <w:r>
        <w:t>施工期由于机械碾压、施工人员践踏等，施工作业周围的植被将遭到破坏。施工区反复侵扰，将改变土壤的紧实度，不利于植被生长。但这种影响在施工结束后通过及时恢复，在减少了人为干扰的情况下，区域植被能够恢复到施工前状态，因此，施工活动的影响是暂时的。</w:t>
      </w:r>
    </w:p>
    <w:p w14:paraId="36DC0D41">
      <w:pPr>
        <w:ind w:firstLine="480"/>
      </w:pPr>
      <w:r>
        <w:t>②</w:t>
      </w:r>
      <w:r>
        <w:rPr>
          <w:rFonts w:hint="eastAsia"/>
        </w:rPr>
        <w:t>项目</w:t>
      </w:r>
      <w:r>
        <w:t>施工期由于机械运输、施工人员活动等产生大量的扬尘，这些大量的扬尘沉积在植物叶的表层，不但影响其外观，而且妨碍光合作用，进而影响其生长发育及正常的繁殖。</w:t>
      </w:r>
    </w:p>
    <w:p w14:paraId="3582D436">
      <w:pPr>
        <w:ind w:firstLine="480"/>
      </w:pPr>
      <w:r>
        <w:t>③施工期工程区人流、车流量加大，人员出入及材料的运输等传播途径可能带来一些外来物种，外来物种在一定范围内若形成优势群落，将对土著物种产生一定的排斥，使区域内植被类型受到一定的影响。</w:t>
      </w:r>
    </w:p>
    <w:p w14:paraId="45943798">
      <w:pPr>
        <w:ind w:left="480" w:firstLine="0" w:firstLineChars="0"/>
        <w:rPr>
          <w:b/>
        </w:rPr>
      </w:pPr>
      <w:r>
        <w:rPr>
          <w:rFonts w:hint="eastAsia"/>
          <w:b/>
        </w:rPr>
        <w:t>3、植被覆盖度影响</w:t>
      </w:r>
    </w:p>
    <w:p w14:paraId="784F957A">
      <w:pPr>
        <w:ind w:firstLine="480"/>
        <w:rPr>
          <w:szCs w:val="28"/>
        </w:rPr>
      </w:pPr>
      <w:r>
        <w:t>依据《环境影响评价技术导则  生态影响》（HJ19-2022），采用植被指数法计算植被覆盖度，植被指数法主要是通过对各像元中植被类型及分布特征的分析，建立植被指数与植被覆盖度的转换关系。采用归一化植被指数（NDVI）估算植被覆盖度的结果如下，建设前</w:t>
      </w:r>
      <w:r>
        <w:rPr>
          <w:rFonts w:hint="eastAsia"/>
        </w:rPr>
        <w:t>低</w:t>
      </w:r>
      <w:r>
        <w:t>植被覆盖度面积为</w:t>
      </w:r>
      <w:r>
        <w:rPr>
          <w:rFonts w:hint="eastAsia"/>
        </w:rPr>
        <w:t>24.21</w:t>
      </w:r>
      <w:r>
        <w:t>hm</w:t>
      </w:r>
      <w:r>
        <w:rPr>
          <w:vertAlign w:val="superscript"/>
        </w:rPr>
        <w:t>2</w:t>
      </w:r>
      <w:r>
        <w:t>，</w:t>
      </w:r>
      <w:r>
        <w:rPr>
          <w:rFonts w:hint="eastAsia"/>
        </w:rPr>
        <w:t>项目</w:t>
      </w:r>
      <w:r>
        <w:t>建设后</w:t>
      </w:r>
      <w:r>
        <w:rPr>
          <w:rFonts w:hint="eastAsia"/>
        </w:rPr>
        <w:t>由于工程占地导致无植被覆盖度增加，故无</w:t>
      </w:r>
      <w:r>
        <w:t>植被覆盖度面积上升至</w:t>
      </w:r>
      <w:r>
        <w:rPr>
          <w:rFonts w:hint="eastAsia"/>
        </w:rPr>
        <w:t>25.71</w:t>
      </w:r>
      <w:r>
        <w:t>hm</w:t>
      </w:r>
      <w:r>
        <w:rPr>
          <w:vertAlign w:val="superscript"/>
        </w:rPr>
        <w:t>2</w:t>
      </w:r>
      <w:r>
        <w:t>，建设</w:t>
      </w:r>
      <w:r>
        <w:rPr>
          <w:rFonts w:hint="eastAsia"/>
        </w:rPr>
        <w:t>前后植被覆盖度面积</w:t>
      </w:r>
      <w:r>
        <w:t>详见表</w:t>
      </w:r>
      <w:r>
        <w:rPr>
          <w:rFonts w:hint="eastAsia"/>
        </w:rPr>
        <w:t>5.3-5，</w:t>
      </w:r>
    </w:p>
    <w:p w14:paraId="39FF5E13">
      <w:pPr>
        <w:pStyle w:val="178"/>
      </w:pPr>
      <w:r>
        <w:rPr>
          <w:rFonts w:hint="eastAsia"/>
        </w:rPr>
        <w:t xml:space="preserve">表5.3-5  </w:t>
      </w:r>
      <w:r>
        <w:t>建设项目前后植被覆盖度变化情况</w:t>
      </w:r>
    </w:p>
    <w:tbl>
      <w:tblPr>
        <w:tblStyle w:val="37"/>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2823"/>
        <w:gridCol w:w="2823"/>
        <w:gridCol w:w="2826"/>
      </w:tblGrid>
      <w:tr w14:paraId="1AF2110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37" w:type="dxa"/>
            <w:noWrap/>
            <w:vAlign w:val="center"/>
          </w:tcPr>
          <w:p w14:paraId="07F3BD4B">
            <w:pPr>
              <w:pStyle w:val="179"/>
              <w:widowControl w:val="0"/>
              <w:rPr>
                <w:b/>
              </w:rPr>
            </w:pPr>
            <w:r>
              <w:rPr>
                <w:b/>
              </w:rPr>
              <w:t>植被覆盖度</w:t>
            </w:r>
          </w:p>
        </w:tc>
        <w:tc>
          <w:tcPr>
            <w:tcW w:w="3037" w:type="dxa"/>
            <w:noWrap/>
            <w:vAlign w:val="center"/>
          </w:tcPr>
          <w:p w14:paraId="65A324B2">
            <w:pPr>
              <w:pStyle w:val="179"/>
              <w:widowControl w:val="0"/>
              <w:rPr>
                <w:b/>
              </w:rPr>
            </w:pPr>
            <w:r>
              <w:rPr>
                <w:b/>
              </w:rPr>
              <w:t>建设前（hm</w:t>
            </w:r>
            <w:r>
              <w:rPr>
                <w:b/>
                <w:vertAlign w:val="superscript"/>
              </w:rPr>
              <w:t>2</w:t>
            </w:r>
            <w:r>
              <w:rPr>
                <w:b/>
              </w:rPr>
              <w:t>）</w:t>
            </w:r>
          </w:p>
        </w:tc>
        <w:tc>
          <w:tcPr>
            <w:tcW w:w="3039" w:type="dxa"/>
            <w:noWrap/>
            <w:vAlign w:val="center"/>
          </w:tcPr>
          <w:p w14:paraId="4D02C1AA">
            <w:pPr>
              <w:pStyle w:val="179"/>
              <w:widowControl w:val="0"/>
              <w:rPr>
                <w:b/>
              </w:rPr>
            </w:pPr>
            <w:r>
              <w:rPr>
                <w:b/>
              </w:rPr>
              <w:t>建设后（hm</w:t>
            </w:r>
            <w:r>
              <w:rPr>
                <w:b/>
                <w:vertAlign w:val="superscript"/>
              </w:rPr>
              <w:t>2</w:t>
            </w:r>
            <w:r>
              <w:rPr>
                <w:b/>
              </w:rPr>
              <w:t>）</w:t>
            </w:r>
          </w:p>
        </w:tc>
      </w:tr>
      <w:tr w14:paraId="0AC1338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37" w:type="dxa"/>
            <w:noWrap/>
            <w:vAlign w:val="center"/>
          </w:tcPr>
          <w:p w14:paraId="42A72C06">
            <w:pPr>
              <w:pStyle w:val="179"/>
              <w:widowControl w:val="0"/>
            </w:pPr>
            <w:r>
              <w:t>低植被覆盖度（&lt;20%）</w:t>
            </w:r>
          </w:p>
        </w:tc>
        <w:tc>
          <w:tcPr>
            <w:tcW w:w="3037" w:type="dxa"/>
            <w:noWrap/>
            <w:vAlign w:val="center"/>
          </w:tcPr>
          <w:p w14:paraId="12EE9EAC">
            <w:pPr>
              <w:pStyle w:val="179"/>
              <w:widowControl w:val="0"/>
            </w:pPr>
            <w:r>
              <w:rPr>
                <w:rFonts w:hint="eastAsia"/>
              </w:rPr>
              <w:t>14.71</w:t>
            </w:r>
          </w:p>
        </w:tc>
        <w:tc>
          <w:tcPr>
            <w:tcW w:w="3039" w:type="dxa"/>
            <w:noWrap/>
            <w:vAlign w:val="center"/>
          </w:tcPr>
          <w:p w14:paraId="0942F70E">
            <w:pPr>
              <w:pStyle w:val="179"/>
              <w:widowControl w:val="0"/>
            </w:pPr>
            <w:r>
              <w:rPr>
                <w:rFonts w:hint="eastAsia"/>
              </w:rPr>
              <w:t>25.71</w:t>
            </w:r>
          </w:p>
        </w:tc>
      </w:tr>
      <w:tr w14:paraId="3DC9385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37" w:type="dxa"/>
            <w:noWrap/>
            <w:vAlign w:val="center"/>
          </w:tcPr>
          <w:p w14:paraId="1B574DD4">
            <w:pPr>
              <w:pStyle w:val="179"/>
              <w:widowControl w:val="0"/>
            </w:pPr>
            <w:r>
              <w:t>较低植被覆盖度（20%-40%）</w:t>
            </w:r>
          </w:p>
        </w:tc>
        <w:tc>
          <w:tcPr>
            <w:tcW w:w="3037" w:type="dxa"/>
            <w:noWrap/>
            <w:vAlign w:val="center"/>
          </w:tcPr>
          <w:p w14:paraId="7497AFD1">
            <w:pPr>
              <w:pStyle w:val="179"/>
              <w:widowControl w:val="0"/>
            </w:pPr>
            <w:r>
              <w:rPr>
                <w:rFonts w:hint="eastAsia"/>
              </w:rPr>
              <w:t>15.46</w:t>
            </w:r>
          </w:p>
        </w:tc>
        <w:tc>
          <w:tcPr>
            <w:tcW w:w="3039" w:type="dxa"/>
            <w:noWrap/>
            <w:vAlign w:val="center"/>
          </w:tcPr>
          <w:p w14:paraId="7EB9653E">
            <w:pPr>
              <w:pStyle w:val="179"/>
              <w:widowControl w:val="0"/>
            </w:pPr>
            <w:r>
              <w:rPr>
                <w:rFonts w:hint="eastAsia"/>
              </w:rPr>
              <w:t>15.46</w:t>
            </w:r>
          </w:p>
        </w:tc>
      </w:tr>
      <w:tr w14:paraId="438AA3D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37" w:type="dxa"/>
            <w:noWrap/>
            <w:vAlign w:val="center"/>
          </w:tcPr>
          <w:p w14:paraId="303156FA">
            <w:pPr>
              <w:pStyle w:val="179"/>
              <w:widowControl w:val="0"/>
            </w:pPr>
            <w:r>
              <w:t>中度植被覆盖度（40%-60%）</w:t>
            </w:r>
          </w:p>
        </w:tc>
        <w:tc>
          <w:tcPr>
            <w:tcW w:w="3037" w:type="dxa"/>
            <w:noWrap/>
            <w:vAlign w:val="center"/>
          </w:tcPr>
          <w:p w14:paraId="7BFE910B">
            <w:pPr>
              <w:pStyle w:val="179"/>
              <w:widowControl w:val="0"/>
            </w:pPr>
            <w:r>
              <w:rPr>
                <w:rFonts w:hint="eastAsia"/>
              </w:rPr>
              <w:t>121.88</w:t>
            </w:r>
          </w:p>
        </w:tc>
        <w:tc>
          <w:tcPr>
            <w:tcW w:w="3039" w:type="dxa"/>
            <w:noWrap/>
            <w:vAlign w:val="center"/>
          </w:tcPr>
          <w:p w14:paraId="18409902">
            <w:pPr>
              <w:pStyle w:val="179"/>
              <w:widowControl w:val="0"/>
            </w:pPr>
            <w:r>
              <w:rPr>
                <w:rFonts w:hint="eastAsia"/>
              </w:rPr>
              <w:t>121.88</w:t>
            </w:r>
          </w:p>
        </w:tc>
      </w:tr>
      <w:tr w14:paraId="25A6871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37" w:type="dxa"/>
            <w:noWrap/>
            <w:vAlign w:val="center"/>
          </w:tcPr>
          <w:p w14:paraId="4FBBD2C7">
            <w:pPr>
              <w:pStyle w:val="179"/>
              <w:widowControl w:val="0"/>
            </w:pPr>
            <w:r>
              <w:t>较高植被覆盖度（60%-80%）</w:t>
            </w:r>
          </w:p>
        </w:tc>
        <w:tc>
          <w:tcPr>
            <w:tcW w:w="3037" w:type="dxa"/>
            <w:noWrap/>
            <w:vAlign w:val="center"/>
          </w:tcPr>
          <w:p w14:paraId="0059FD92">
            <w:pPr>
              <w:pStyle w:val="179"/>
              <w:widowControl w:val="0"/>
            </w:pPr>
            <w:r>
              <w:rPr>
                <w:rFonts w:hint="eastAsia"/>
              </w:rPr>
              <w:t>64.63</w:t>
            </w:r>
          </w:p>
        </w:tc>
        <w:tc>
          <w:tcPr>
            <w:tcW w:w="3039" w:type="dxa"/>
            <w:noWrap/>
            <w:vAlign w:val="center"/>
          </w:tcPr>
          <w:p w14:paraId="04A5E88F">
            <w:pPr>
              <w:pStyle w:val="179"/>
              <w:widowControl w:val="0"/>
            </w:pPr>
            <w:r>
              <w:rPr>
                <w:rFonts w:hint="eastAsia"/>
              </w:rPr>
              <w:t>64.63</w:t>
            </w:r>
          </w:p>
        </w:tc>
      </w:tr>
      <w:tr w14:paraId="240D105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37" w:type="dxa"/>
            <w:noWrap/>
            <w:vAlign w:val="center"/>
          </w:tcPr>
          <w:p w14:paraId="5347111B">
            <w:pPr>
              <w:pStyle w:val="179"/>
              <w:widowControl w:val="0"/>
            </w:pPr>
            <w:r>
              <w:t>高植被覆盖度（&gt;80%）</w:t>
            </w:r>
          </w:p>
        </w:tc>
        <w:tc>
          <w:tcPr>
            <w:tcW w:w="3037" w:type="dxa"/>
            <w:noWrap/>
            <w:vAlign w:val="center"/>
          </w:tcPr>
          <w:p w14:paraId="7BD57513">
            <w:pPr>
              <w:pStyle w:val="179"/>
              <w:widowControl w:val="0"/>
            </w:pPr>
            <w:r>
              <w:rPr>
                <w:rFonts w:hint="eastAsia"/>
              </w:rPr>
              <w:t>285.35</w:t>
            </w:r>
          </w:p>
        </w:tc>
        <w:tc>
          <w:tcPr>
            <w:tcW w:w="3039" w:type="dxa"/>
            <w:noWrap/>
            <w:vAlign w:val="center"/>
          </w:tcPr>
          <w:p w14:paraId="366144B4">
            <w:pPr>
              <w:pStyle w:val="179"/>
              <w:widowControl w:val="0"/>
            </w:pPr>
            <w:r>
              <w:rPr>
                <w:rFonts w:hint="eastAsia"/>
              </w:rPr>
              <w:t>274.35</w:t>
            </w:r>
          </w:p>
        </w:tc>
      </w:tr>
    </w:tbl>
    <w:p w14:paraId="34D62EAA">
      <w:pPr>
        <w:pStyle w:val="5"/>
        <w:spacing w:before="120" w:after="120"/>
      </w:pPr>
      <w:r>
        <w:rPr>
          <w:rFonts w:hint="eastAsia"/>
        </w:rPr>
        <w:t>施工期对动物的影响</w:t>
      </w:r>
    </w:p>
    <w:p w14:paraId="6FCBCBBD">
      <w:pPr>
        <w:ind w:left="480" w:firstLine="0" w:firstLineChars="0"/>
        <w:rPr>
          <w:b/>
        </w:rPr>
      </w:pPr>
      <w:bookmarkStart w:id="465" w:name="_Toc18954"/>
      <w:r>
        <w:rPr>
          <w:rFonts w:hint="eastAsia"/>
          <w:b/>
        </w:rPr>
        <w:t>1、</w:t>
      </w:r>
      <w:r>
        <w:rPr>
          <w:b/>
        </w:rPr>
        <w:t>对陆生动物的影响</w:t>
      </w:r>
      <w:bookmarkEnd w:id="465"/>
    </w:p>
    <w:p w14:paraId="698E9A44">
      <w:pPr>
        <w:ind w:firstLine="480"/>
      </w:pPr>
      <w:r>
        <w:t>工程施工期间，对陆生动物主要是</w:t>
      </w:r>
      <w:r>
        <w:rPr>
          <w:rFonts w:hint="eastAsia"/>
        </w:rPr>
        <w:t>项目</w:t>
      </w:r>
      <w:r>
        <w:t>施工占地，导致部分动物栖息地破坏和丧失，以及施工机械运行和施工人员活动带来的干扰影响，影响范围主要为施工场地及周边地区。</w:t>
      </w:r>
    </w:p>
    <w:p w14:paraId="5DC2D70B">
      <w:pPr>
        <w:ind w:firstLine="480"/>
      </w:pPr>
      <w:bookmarkStart w:id="466" w:name="_Toc25595"/>
      <w:bookmarkStart w:id="467" w:name="_Toc12194"/>
      <w:bookmarkStart w:id="468" w:name="_Toc13871"/>
      <w:r>
        <w:rPr>
          <w:rFonts w:hint="eastAsia"/>
        </w:rPr>
        <w:t>（1）</w:t>
      </w:r>
      <w:r>
        <w:t>压缩了陆栖动物的栖息生境</w:t>
      </w:r>
      <w:bookmarkEnd w:id="466"/>
      <w:bookmarkEnd w:id="467"/>
      <w:bookmarkEnd w:id="468"/>
    </w:p>
    <w:p w14:paraId="0B7ED385">
      <w:pPr>
        <w:ind w:firstLine="480"/>
      </w:pPr>
      <w:r>
        <w:rPr>
          <w:rFonts w:hint="eastAsia"/>
        </w:rPr>
        <w:t>项目</w:t>
      </w:r>
      <w:r>
        <w:t>建设主要不良影响表现在缩小了动物的生境。由于当地各种动物的种群数量低，动物多样性也不高，生境的压缩，将迫使动物从原生境后退或转移到周围相近的生境（陆栖动物的趋避本能），因此原动物区系将不会有明显变化，也不会导致动物多样性的明显降低。只要项目区以外的环境不遭破坏，当地的动物会选择适宜的生境继续生存和繁衍，而随着植被的恢复和新生态系统的建立，施工区动物区系也将得到恢复和发展。</w:t>
      </w:r>
    </w:p>
    <w:p w14:paraId="7B97A867">
      <w:pPr>
        <w:ind w:firstLine="480"/>
      </w:pPr>
      <w:bookmarkStart w:id="469" w:name="_Toc28828"/>
      <w:bookmarkStart w:id="470" w:name="_Toc27914"/>
      <w:bookmarkStart w:id="471" w:name="_Toc19397"/>
      <w:r>
        <w:rPr>
          <w:rFonts w:hint="eastAsia"/>
        </w:rPr>
        <w:t>（2）</w:t>
      </w:r>
      <w:r>
        <w:t>施工人口增加及施工活动频繁对动物生存和数量产生不利影响</w:t>
      </w:r>
      <w:bookmarkEnd w:id="469"/>
      <w:bookmarkEnd w:id="470"/>
      <w:bookmarkEnd w:id="471"/>
    </w:p>
    <w:p w14:paraId="0937C578">
      <w:pPr>
        <w:ind w:firstLine="480"/>
      </w:pPr>
      <w:r>
        <w:t>施工期导致当地人口增长，但是相对当地原有人口来说，只是小幅度增长，但同样存在对野生动物的猎捕压力，不过这种不良影响可以控制的。评价区的动物全是小型常见种类，但仍有少数具有一定的食用或药用等经济价值的物种将面临更大的偷捕压力，如两栖类中的蛙</w:t>
      </w:r>
      <w:r>
        <w:rPr>
          <w:rFonts w:hint="eastAsia"/>
        </w:rPr>
        <w:t>类</w:t>
      </w:r>
      <w:r>
        <w:t>，蛇类等。所以，应加强野生动物保护法规的宣传和教育，严禁猎捕野生动物的行为以有效地降低这种不利影响。</w:t>
      </w:r>
    </w:p>
    <w:p w14:paraId="56AC9068">
      <w:pPr>
        <w:ind w:firstLine="480"/>
      </w:pPr>
      <w:bookmarkStart w:id="472" w:name="_Toc19822"/>
      <w:bookmarkStart w:id="473" w:name="_Toc22007"/>
      <w:bookmarkStart w:id="474" w:name="_Toc31867"/>
      <w:r>
        <w:rPr>
          <w:rFonts w:hint="eastAsia"/>
        </w:rPr>
        <w:t>（3）</w:t>
      </w:r>
      <w:r>
        <w:t>施工产生的各种污染对陆栖动物的不良影响</w:t>
      </w:r>
      <w:bookmarkEnd w:id="472"/>
      <w:bookmarkEnd w:id="473"/>
      <w:bookmarkEnd w:id="474"/>
    </w:p>
    <w:p w14:paraId="039B373B">
      <w:pPr>
        <w:ind w:firstLine="480"/>
      </w:pPr>
      <w:r>
        <w:t>基础开挖、交通运输、机械的运行产生噪声污染；施工产生的粉尘与扬尘形成粉尘污染；燃油燃烧产生废气导致气体污染。这些污染导致的不良影响迫使动物迁出施工区，动物迁出将向非施工区或者向后方移动，由于动物具有运动能力，鸟类则具有快速转移能力，施工不会造成动物的死亡。因此，这种不良影响表现为短期的或者为压缩生境同样的效果。</w:t>
      </w:r>
    </w:p>
    <w:p w14:paraId="0AFECF61">
      <w:pPr>
        <w:ind w:left="480" w:firstLine="0" w:firstLineChars="0"/>
        <w:rPr>
          <w:b/>
        </w:rPr>
      </w:pPr>
      <w:r>
        <w:rPr>
          <w:rFonts w:hint="eastAsia"/>
          <w:b/>
        </w:rPr>
        <w:t>2、</w:t>
      </w:r>
      <w:r>
        <w:rPr>
          <w:b/>
        </w:rPr>
        <w:t>对两栖和爬行类动物的影响</w:t>
      </w:r>
    </w:p>
    <w:p w14:paraId="20E3AAF0">
      <w:pPr>
        <w:ind w:firstLine="480"/>
      </w:pPr>
      <w:r>
        <w:rPr>
          <w:rFonts w:hint="eastAsia"/>
        </w:rPr>
        <w:t>项目</w:t>
      </w:r>
      <w:r>
        <w:t>施工占地、基础开挖和交通运输等产生的噪声污染、施工污废水不当排放等对施工区内的两栖和爬行类动物均有直接不利影响，影响的方式主要表现在适宜生境的暂时破坏或局部丧失；影响程度由工程性质、规模等决定。</w:t>
      </w:r>
    </w:p>
    <w:p w14:paraId="51CC6EC6">
      <w:pPr>
        <w:ind w:firstLine="480"/>
      </w:pPr>
      <w:r>
        <w:t>施工期，如果缺乏管理，部分施工人员可能会对周围蛙类进行捕食，捕食范围以施工生活区为中心周围地区扩展，可能造成可食用蛙类动物种群数量的下降，建设临时性建筑，将使原有的两栖动物活动范围缩小，但影响比较有限。爬行动物运动能力较两栖类为强，开挖等机械噪声将迫使它们逃离施工区。</w:t>
      </w:r>
    </w:p>
    <w:p w14:paraId="571C8534">
      <w:pPr>
        <w:ind w:firstLine="480"/>
      </w:pPr>
      <w:r>
        <w:t>总之，因为两栖类和爬行类种群量占整个评价区种群量的比例小，且分布范围较广泛，所以施工活动不会造成整个评价区的两栖和爬行类动物出现地方性灭绝。</w:t>
      </w:r>
    </w:p>
    <w:p w14:paraId="0A3CCAE0">
      <w:pPr>
        <w:ind w:left="480" w:firstLine="0" w:firstLineChars="0"/>
        <w:rPr>
          <w:b/>
        </w:rPr>
      </w:pPr>
      <w:bookmarkStart w:id="475" w:name="_Toc6513"/>
      <w:r>
        <w:rPr>
          <w:rFonts w:hint="eastAsia"/>
          <w:b/>
        </w:rPr>
        <w:t>3、</w:t>
      </w:r>
      <w:r>
        <w:rPr>
          <w:b/>
        </w:rPr>
        <w:t>对兽类的影响</w:t>
      </w:r>
      <w:bookmarkEnd w:id="475"/>
    </w:p>
    <w:p w14:paraId="0153BFD6">
      <w:pPr>
        <w:ind w:firstLine="480"/>
      </w:pPr>
      <w:r>
        <w:t>本工程哺乳动物资源较少，经调查评价区出现的均为小型哺乳动物，如黄鼬、</w:t>
      </w:r>
      <w:r>
        <w:rPr>
          <w:rFonts w:hint="eastAsia"/>
        </w:rPr>
        <w:t>草兔</w:t>
      </w:r>
      <w:r>
        <w:t>、黑线仓鼠、普通田鼠、褐家鼠等。这一区域内没有国家重点保护哺乳动物分布。</w:t>
      </w:r>
    </w:p>
    <w:p w14:paraId="1ABDF848">
      <w:pPr>
        <w:ind w:firstLine="480"/>
      </w:pPr>
      <w:r>
        <w:t>施工时期人类活动频繁，存在大量的人为干扰，将使大型兽类的栖息生境受到干扰了，但大型兽类迁移能力较强，它们会主动逃离施工现场，栖息于附近地区，施工过程影响不大。施工过程对中小型兽类造成的影响相对较大。由于工程施工，对部分兽类的栖息地造成影响，迫使它们迁移，种群数量减少。根据野外调查可知，在此区域中活动的都是啮齿目、食肉目鼬科的中小型兽类，工程建设产生的人为干扰将会对其原有栖息地造成影响，但由于食虫目和啮齿目的兽类都具有较强的适应能力，加之施工人员的进入，生活垃圾的增多，为它们提供了新的食物来源，不会对它们造大的不利影响。</w:t>
      </w:r>
    </w:p>
    <w:p w14:paraId="3B3B91E9">
      <w:pPr>
        <w:ind w:left="480" w:firstLine="0" w:firstLineChars="0"/>
        <w:rPr>
          <w:b/>
        </w:rPr>
      </w:pPr>
      <w:bookmarkStart w:id="476" w:name="_Toc12289"/>
      <w:r>
        <w:rPr>
          <w:rFonts w:hint="eastAsia"/>
          <w:b/>
        </w:rPr>
        <w:t>4、</w:t>
      </w:r>
      <w:r>
        <w:rPr>
          <w:b/>
        </w:rPr>
        <w:t>对鸟类的影响</w:t>
      </w:r>
      <w:bookmarkEnd w:id="476"/>
    </w:p>
    <w:p w14:paraId="6E9CFC4E">
      <w:pPr>
        <w:ind w:firstLine="480"/>
      </w:pPr>
      <w:r>
        <w:t>施工期间，施工活动产生的噪声，对鸟类造成惊吓，迫使它们迁离原来的栖息地，导致施工区中大型鸟类种类减少，种群数量下降。</w:t>
      </w:r>
    </w:p>
    <w:p w14:paraId="36F05EF9">
      <w:pPr>
        <w:ind w:firstLine="480"/>
      </w:pPr>
      <w:r>
        <w:t>评价区鸟类的种类虽多，但在施工区的种类和数量较少。由于鸟类的活动范围大，飞行力强，在施工期间绝大多数中大型鸟类飞离施工区，可在附近地区活动取食和营巢繁殖，可能有隼形目鸟类在施工区高空飞翔，鸟类不在施工区内繁殖。因此，工程施工期对鸟类的影响不明显。在施工期间，可能有小型雀形目鸟类在施工现场附近营巢繁殖，应注意保护。</w:t>
      </w:r>
    </w:p>
    <w:p w14:paraId="12E13166">
      <w:pPr>
        <w:ind w:left="480" w:firstLine="0" w:firstLineChars="0"/>
      </w:pPr>
      <w:bookmarkStart w:id="477" w:name="_Toc8342"/>
      <w:r>
        <w:rPr>
          <w:rFonts w:hint="eastAsia"/>
        </w:rPr>
        <w:t>5、</w:t>
      </w:r>
      <w:r>
        <w:t>对重点保护动物的影响</w:t>
      </w:r>
      <w:bookmarkEnd w:id="477"/>
    </w:p>
    <w:p w14:paraId="2E19B786">
      <w:pPr>
        <w:ind w:firstLine="480"/>
      </w:pPr>
      <w:r>
        <w:t>据统计，评价范围内拥有国家</w:t>
      </w:r>
      <w:r>
        <w:rPr>
          <w:rFonts w:hint="eastAsia"/>
        </w:rPr>
        <w:t>二</w:t>
      </w:r>
      <w:r>
        <w:t>级重点保护动物</w:t>
      </w:r>
      <w:r>
        <w:rPr>
          <w:rFonts w:hint="eastAsia"/>
        </w:rPr>
        <w:t>3</w:t>
      </w:r>
      <w:r>
        <w:t>种，</w:t>
      </w:r>
      <w:r>
        <w:rPr>
          <w:rFonts w:hint="eastAsia"/>
        </w:rPr>
        <w:t>雪兔，苍鹰和红隼</w:t>
      </w:r>
      <w:r>
        <w:t>。</w:t>
      </w:r>
    </w:p>
    <w:p w14:paraId="5781066B">
      <w:pPr>
        <w:ind w:firstLine="480"/>
      </w:pPr>
      <w:r>
        <w:t>评价范围内主要为森林，经现场踏勘及专家咨询，评价范围内偶见</w:t>
      </w:r>
      <w:r>
        <w:rPr>
          <w:rFonts w:hint="eastAsia"/>
        </w:rPr>
        <w:t>红隼</w:t>
      </w:r>
      <w:r>
        <w:t>重要物种在此区域活动，数量较少，本次</w:t>
      </w:r>
      <w:r>
        <w:rPr>
          <w:rFonts w:hint="eastAsia"/>
        </w:rPr>
        <w:t>项目</w:t>
      </w:r>
      <w:r>
        <w:t>占地</w:t>
      </w:r>
      <w:r>
        <w:rPr>
          <w:rFonts w:hint="eastAsia"/>
        </w:rPr>
        <w:t>面积较小</w:t>
      </w:r>
      <w:r>
        <w:t>，未发现重要保护鸟类的营巢地，评价范围内未发现重要保护兽类巢穴。重要保护鸟类</w:t>
      </w:r>
      <w:r>
        <w:rPr>
          <w:rFonts w:hint="eastAsia"/>
        </w:rPr>
        <w:t>红隼</w:t>
      </w:r>
      <w:r>
        <w:t>在评价区森林区域捕食鼠类、雀形目鸟类等小型脊椎动物，</w:t>
      </w:r>
      <w:r>
        <w:rPr>
          <w:rFonts w:hint="eastAsia"/>
        </w:rPr>
        <w:t>区域内森林生态系统分布广泛，且鸟类迁徙能力较强，受人类活动影响，</w:t>
      </w:r>
      <w:r>
        <w:t>使其远离</w:t>
      </w:r>
      <w:r>
        <w:rPr>
          <w:rFonts w:hint="eastAsia"/>
        </w:rPr>
        <w:t>工程区域</w:t>
      </w:r>
      <w:r>
        <w:t>活动。</w:t>
      </w:r>
      <w:r>
        <w:rPr>
          <w:rFonts w:hint="eastAsia"/>
        </w:rPr>
        <w:t>故</w:t>
      </w:r>
      <w:r>
        <w:t>受工程影响有限。</w:t>
      </w:r>
    </w:p>
    <w:p w14:paraId="4E1613E2">
      <w:pPr>
        <w:ind w:firstLine="480"/>
      </w:pPr>
      <w:r>
        <w:t>工程施工及运营期干扰对该区域重要野生动物种类及数量的分布基本无影响，因此工程建设对重要野生动物的影响可被环境所接受。</w:t>
      </w:r>
    </w:p>
    <w:p w14:paraId="55438978">
      <w:pPr>
        <w:pStyle w:val="5"/>
        <w:spacing w:before="120" w:after="120"/>
      </w:pPr>
      <w:bookmarkStart w:id="478" w:name="_Toc23337"/>
      <w:bookmarkStart w:id="479" w:name="_Toc29489"/>
      <w:r>
        <w:t>对</w:t>
      </w:r>
      <w:r>
        <w:rPr>
          <w:rFonts w:hint="eastAsia"/>
        </w:rPr>
        <w:t>生境</w:t>
      </w:r>
      <w:r>
        <w:t>影响</w:t>
      </w:r>
      <w:bookmarkEnd w:id="478"/>
      <w:bookmarkEnd w:id="479"/>
    </w:p>
    <w:p w14:paraId="086D9A1A">
      <w:pPr>
        <w:ind w:firstLine="480"/>
      </w:pPr>
      <w:r>
        <w:t>本项目评价区生境面积为</w:t>
      </w:r>
      <w:r>
        <w:rPr>
          <w:rFonts w:hint="eastAsia"/>
        </w:rPr>
        <w:t>502.03</w:t>
      </w:r>
      <w:r>
        <w:t>hm</w:t>
      </w:r>
      <w:r>
        <w:rPr>
          <w:vertAlign w:val="superscript"/>
        </w:rPr>
        <w:t>2</w:t>
      </w:r>
      <w:r>
        <w:t>，生境类型主要为</w:t>
      </w:r>
      <w:r>
        <w:rPr>
          <w:rFonts w:hint="eastAsia"/>
        </w:rPr>
        <w:t>乔木林地</w:t>
      </w:r>
      <w:r>
        <w:t>，</w:t>
      </w:r>
      <w:r>
        <w:rPr>
          <w:rFonts w:hint="eastAsia"/>
        </w:rPr>
        <w:t>本</w:t>
      </w:r>
      <w:r>
        <w:t>项目</w:t>
      </w:r>
      <w:r>
        <w:rPr>
          <w:rFonts w:hint="eastAsia"/>
        </w:rPr>
        <w:t>占用灌丛面积较小，</w:t>
      </w:r>
      <w:r>
        <w:t>生境连通性的影响在原有基础上变化不大。综上所述，本项目对生境的影响在环境可接受范围内。</w:t>
      </w:r>
    </w:p>
    <w:p w14:paraId="6A0A36B6">
      <w:pPr>
        <w:pStyle w:val="5"/>
        <w:spacing w:before="120" w:after="120"/>
      </w:pPr>
      <w:bookmarkStart w:id="480" w:name="_Toc17663"/>
      <w:bookmarkStart w:id="481" w:name="_Toc26280"/>
      <w:r>
        <w:rPr>
          <w:rFonts w:hint="eastAsia"/>
        </w:rPr>
        <w:t>对生物多样性影响</w:t>
      </w:r>
      <w:bookmarkEnd w:id="480"/>
      <w:bookmarkEnd w:id="481"/>
    </w:p>
    <w:p w14:paraId="20C727AC">
      <w:pPr>
        <w:widowControl/>
        <w:ind w:firstLine="480"/>
        <w:jc w:val="left"/>
      </w:pPr>
      <w:r>
        <w:rPr>
          <w:rFonts w:hint="eastAsia"/>
        </w:rPr>
        <w:t>施工及运营期永久占地造成局部地段植被破坏，对生态环境产生干扰与影响，工程占地范围内未发现国家重点保护植物分布，分布植被为人工种植林，分布植被基本均为常见物种，周边区域都有大量分布，所以工程施工和运行对评价范围内植物物种多样性基本无影响。</w:t>
      </w:r>
    </w:p>
    <w:p w14:paraId="0E9B4427">
      <w:pPr>
        <w:ind w:firstLine="480"/>
      </w:pPr>
      <w:r>
        <w:rPr>
          <w:rFonts w:hint="eastAsia"/>
        </w:rPr>
        <w:t>工程施工时，可能会影响周围分布的</w:t>
      </w:r>
      <w:r>
        <w:t>黄鼬、</w:t>
      </w:r>
      <w:r>
        <w:rPr>
          <w:rFonts w:hint="eastAsia"/>
        </w:rPr>
        <w:t>草兔</w:t>
      </w:r>
      <w:r>
        <w:t>、黑线仓鼠、普通田鼠、褐家鼠</w:t>
      </w:r>
      <w:r>
        <w:rPr>
          <w:rFonts w:hint="eastAsia"/>
        </w:rPr>
        <w:t>等啮齿类动物和中小型动物的生存，也会影响灰喜鹊、麻雀等鸟类动物的活动，导致施工区域内的野生动物迁移到其他区域，野生动物数量在一定的时期内有所变化。</w:t>
      </w:r>
      <w:r>
        <w:t>运营期时开采活动作业设备噪声和人为活动的干扰，导致项目周边栖息的动物主要为抗干扰性较强的鸟类和中小型兽类等，部分适应性相对较差的野生动物会迁移到周边区域适宜的相似生境中。本项目运营期作业中采取一定的降噪、减振措施，减小运营期设备产生的噪声对野生动物的影响。随着矿区生态绿化工程建设，动物可逐渐适应周边环境的变化，</w:t>
      </w:r>
      <w:r>
        <w:rPr>
          <w:rFonts w:hint="eastAsia"/>
        </w:rPr>
        <w:t>开采</w:t>
      </w:r>
      <w:r>
        <w:t>作业对动物的影响也逐渐减弱，对区域内野生动物的种类和数量基本无影响。</w:t>
      </w:r>
    </w:p>
    <w:p w14:paraId="607CBBBF">
      <w:pPr>
        <w:ind w:firstLine="480"/>
      </w:pPr>
      <w:r>
        <w:rPr>
          <w:rFonts w:hint="eastAsia"/>
        </w:rPr>
        <w:t>综上所述，施工期及运营期可能会对区域内生物多样性产生影响，但影响区域仅限工程占地范围内。总体对评价范围内动物物种多样性影响不大。</w:t>
      </w:r>
    </w:p>
    <w:p w14:paraId="450614D9">
      <w:pPr>
        <w:pStyle w:val="5"/>
        <w:spacing w:before="120" w:after="120"/>
      </w:pPr>
      <w:r>
        <w:rPr>
          <w:rFonts w:hint="eastAsia"/>
        </w:rPr>
        <w:t>对生态敏感区的影响</w:t>
      </w:r>
    </w:p>
    <w:p w14:paraId="0DD56959">
      <w:pPr>
        <w:ind w:left="480" w:firstLine="0" w:firstLineChars="0"/>
        <w:rPr>
          <w:b/>
        </w:rPr>
      </w:pPr>
      <w:r>
        <w:rPr>
          <w:rFonts w:hint="eastAsia"/>
          <w:b/>
        </w:rPr>
        <w:t>1、对生态保护红线的影响分析</w:t>
      </w:r>
    </w:p>
    <w:p w14:paraId="3D60F5E0">
      <w:pPr>
        <w:ind w:firstLine="480"/>
      </w:pPr>
      <w:r>
        <w:rPr>
          <w:rFonts w:hint="eastAsia" w:hAnsi="Times New Roman" w:cs="Times New Roman"/>
        </w:rPr>
        <w:t>本项目矿区及1km评价范围不占用、不侵入水源涵养与生物多样性维护生态保护红线，矿区</w:t>
      </w:r>
      <w:r>
        <w:rPr>
          <w:rFonts w:hint="eastAsia" w:cs="Times New Roman"/>
        </w:rPr>
        <w:t>临近生态保护红线区</w:t>
      </w:r>
      <w:r>
        <w:rPr>
          <w:rFonts w:hint="eastAsia" w:hAnsi="Times New Roman" w:cs="Times New Roman"/>
        </w:rPr>
        <w:t>，中间连片次生林、农田形成天然缓冲隔离带，无开挖、堆渣、排污等工程直接扰动红线内河谷灌丛、苔草湿地；施工、运营阶段全部生产废水收集沉淀后循环洒水抑尘不外排，场区配套完善截排水沟、临时拦渣设施，严控土石方流失，湿式开采、密闭堆料、道路洒水等抑尘措施可大幅削减粉尘扩散，爆破、机械噪声经长距离林地阻隔快速衰减，不会干扰红线内红隼等保护物种栖息觅食；矿山开采仅局部损毁</w:t>
      </w:r>
      <w:r>
        <w:rPr>
          <w:rFonts w:hint="eastAsia" w:cs="Times New Roman"/>
        </w:rPr>
        <w:t>乔木林地</w:t>
      </w:r>
      <w:r>
        <w:rPr>
          <w:rFonts w:hint="eastAsia" w:hAnsi="Times New Roman" w:cs="Times New Roman"/>
        </w:rPr>
        <w:t>，不切断马厂河上下游生态连通廊道，闭坑后将开展边坡治理、覆土并栽植蒙古栎、榛等本地乡土植被，彻底消除扬尘、水土流失扰动源，综合来看项目施工、运营及闭坑全过程对红线水源涵养、生物多样性维护核心功能扰动程度极低，影响可控且可恢复，符合生态保护红线管控要求。</w:t>
      </w:r>
    </w:p>
    <w:p w14:paraId="0D855EBB">
      <w:pPr>
        <w:pStyle w:val="4"/>
        <w:spacing w:before="180" w:after="120"/>
      </w:pPr>
      <w:bookmarkStart w:id="482" w:name="_Toc2172"/>
      <w:r>
        <w:t>运营期生态环境影响分析</w:t>
      </w:r>
      <w:bookmarkEnd w:id="482"/>
    </w:p>
    <w:p w14:paraId="761484B5">
      <w:pPr>
        <w:pStyle w:val="5"/>
        <w:spacing w:before="120" w:after="120"/>
      </w:pPr>
      <w:r>
        <w:t>土地利用</w:t>
      </w:r>
    </w:p>
    <w:p w14:paraId="7A7AED0A">
      <w:pPr>
        <w:ind w:firstLine="480"/>
      </w:pPr>
      <w:r>
        <w:rPr>
          <w:rFonts w:hint="eastAsia"/>
        </w:rPr>
        <w:t>本项目施工后，将由原来的乔木林地变为工矿仓储用地，项目建设区的土地利用性质以及功能、土壤的理化性质、土地利用格局均造成影响。</w:t>
      </w:r>
    </w:p>
    <w:p w14:paraId="51B465FB">
      <w:pPr>
        <w:ind w:firstLine="480"/>
      </w:pPr>
      <w:r>
        <w:t>矿山服务期满后，通过对</w:t>
      </w:r>
      <w:r>
        <w:rPr>
          <w:rFonts w:hint="eastAsia"/>
        </w:rPr>
        <w:t>开采区</w:t>
      </w:r>
      <w:r>
        <w:t>进行生态恢复，通过人为的措施恢复由于</w:t>
      </w:r>
      <w:r>
        <w:rPr>
          <w:rFonts w:hint="eastAsia"/>
        </w:rPr>
        <w:t>开采区</w:t>
      </w:r>
      <w:r>
        <w:t>所占用的土地、破坏的植被，重建新的植物群落。闭矿后按照水土保持的要求进行绿化，</w:t>
      </w:r>
      <w:r>
        <w:rPr>
          <w:rFonts w:hint="eastAsia"/>
        </w:rPr>
        <w:t>开采区</w:t>
      </w:r>
      <w:r>
        <w:t>服务完后进行土地整理和生态恢复。建议业主方充分利用矿山服务期满后的地形地貌，保持自然长期进行修复，目标是建立人工复合生态系统，维护和增强</w:t>
      </w:r>
      <w:r>
        <w:rPr>
          <w:rFonts w:hint="eastAsia"/>
        </w:rPr>
        <w:t>开采区</w:t>
      </w:r>
      <w:r>
        <w:t>的可持续发展能力，达到资源的充分利用与最优化配置，恢复后的生态系统整体上没有发生大的变化，</w:t>
      </w:r>
      <w:r>
        <w:rPr>
          <w:rFonts w:hint="eastAsia"/>
        </w:rPr>
        <w:t>经过一段时间后，项目区的生态环境将逐渐趋近于项目建设前的原生状态</w:t>
      </w:r>
      <w:r>
        <w:t>。</w:t>
      </w:r>
    </w:p>
    <w:p w14:paraId="62B7C2A7">
      <w:pPr>
        <w:pStyle w:val="5"/>
        <w:spacing w:before="120" w:after="120"/>
      </w:pPr>
      <w:r>
        <w:t>运营期</w:t>
      </w:r>
      <w:r>
        <w:rPr>
          <w:rFonts w:hint="eastAsia"/>
        </w:rPr>
        <w:t>对陆生植被的影响</w:t>
      </w:r>
    </w:p>
    <w:p w14:paraId="61245A14">
      <w:pPr>
        <w:ind w:firstLine="480"/>
      </w:pPr>
      <w:r>
        <w:rPr>
          <w:rFonts w:hint="eastAsia"/>
        </w:rPr>
        <w:t>本项目永久占地仅损毁11.01hm</w:t>
      </w:r>
      <w:r>
        <w:rPr>
          <w:rFonts w:hint="eastAsia" w:ascii="宋体" w:hAnsi="宋体" w:eastAsia="宋体"/>
        </w:rPr>
        <w:t>²</w:t>
      </w:r>
      <w:r>
        <w:rPr>
          <w:rFonts w:hint="eastAsia"/>
        </w:rPr>
        <w:t>乔木林地，开采作业严格限定采矿许可范围内，不超边界扰动外围植被；生产、石料转运全过程持续洒水抑尘，料场设置密闭围挡，大幅削减粉尘沉降对周边蒙古栎、白桦林及河谷草甸的叶面覆盖、光合作用抑制影响，区域广布乡土植被受粉尘干扰轻微；开采形成岩质边坡与弃渣堆同步布设截排水、拦挡防护设施，减少坡面冲刷造成周边植被土壤流失；项目服务期内同步开展矿区内部及边界绿化带建设，选用本地灌木草本恢复地表；区域黄檗、水曲柳等国家二级保护植物均分布于远离矿区的远端林地，开采活动不会对其生境造成破坏；矿山服务期满后对开采宕口、弃渣堆全面覆土，栽植蒙古栎、榛灌等乡土树种完成植被修复，长期来看运营阶段对区域陆生植被群落结构、覆盖度及整体生物量无显著不利影响，在落实各项植被保护措施后影响可接受。</w:t>
      </w:r>
    </w:p>
    <w:p w14:paraId="396F08A9">
      <w:pPr>
        <w:pStyle w:val="5"/>
        <w:spacing w:before="120" w:after="120"/>
      </w:pPr>
      <w:r>
        <w:t>运营期</w:t>
      </w:r>
      <w:r>
        <w:rPr>
          <w:rFonts w:hint="eastAsia"/>
        </w:rPr>
        <w:t>对陆生动物的影响</w:t>
      </w:r>
    </w:p>
    <w:p w14:paraId="078F8224">
      <w:pPr>
        <w:ind w:firstLine="480"/>
      </w:pPr>
      <w:r>
        <w:t>本项目所在区域分布有大面积的林地，但矿山开采活动已</w:t>
      </w:r>
      <w:r>
        <w:rPr>
          <w:rFonts w:hint="eastAsia"/>
        </w:rPr>
        <w:t>在此地存在</w:t>
      </w:r>
      <w:r>
        <w:t>一定时期，</w:t>
      </w:r>
      <w:r>
        <w:rPr>
          <w:rFonts w:hint="eastAsia"/>
        </w:rPr>
        <w:t>且</w:t>
      </w:r>
      <w:r>
        <w:t>存在人类活动，对周围动物的分布已经产生一定的影响，使该区域原有分布的野生大型动物逐渐远离该区域。运营期时开采活动作业设备噪声和人为活动的干扰，导致项目周边栖息的动物主要为抗干扰性较强的鸟类和中小型兽类等，部分适应性相对较差的野生动物会迁移到周边区域适宜的相似生境中。本项目运营期作业中采取一定的降噪、减振措施，减小运营期设备产生的噪声对野生动物的影响。</w:t>
      </w:r>
    </w:p>
    <w:p w14:paraId="43D85884">
      <w:pPr>
        <w:ind w:firstLine="480"/>
      </w:pPr>
      <w:r>
        <w:t>随着矿区生态绿化工程建设，动物可逐渐适应周边环境的变化，采矿作业对动物的影响也逐渐减弱，对区域内野生动物的种类和数量基本无影响。</w:t>
      </w:r>
    </w:p>
    <w:p w14:paraId="3092A3D3">
      <w:pPr>
        <w:pStyle w:val="5"/>
        <w:spacing w:before="120" w:after="120"/>
      </w:pPr>
      <w:r>
        <w:t>运营期</w:t>
      </w:r>
      <w:r>
        <w:rPr>
          <w:rFonts w:hint="eastAsia"/>
        </w:rPr>
        <w:t>对</w:t>
      </w:r>
      <w:r>
        <w:t>生态系统影响</w:t>
      </w:r>
    </w:p>
    <w:p w14:paraId="3D1A3DB2">
      <w:pPr>
        <w:ind w:firstLine="480"/>
      </w:pPr>
      <w:r>
        <w:t>本</w:t>
      </w:r>
      <w:r>
        <w:rPr>
          <w:rFonts w:hint="eastAsia"/>
        </w:rPr>
        <w:t>项目</w:t>
      </w:r>
      <w:r>
        <w:t>占地范围内生态系统类型为森林生态系统</w:t>
      </w:r>
      <w:r>
        <w:rPr>
          <w:rFonts w:hint="eastAsia"/>
        </w:rPr>
        <w:t>、城镇生态系统</w:t>
      </w:r>
      <w:r>
        <w:t>。</w:t>
      </w:r>
    </w:p>
    <w:p w14:paraId="0D0AE5D8">
      <w:pPr>
        <w:ind w:firstLine="480"/>
      </w:pPr>
      <w:r>
        <w:t>本</w:t>
      </w:r>
      <w:r>
        <w:rPr>
          <w:rFonts w:hint="eastAsia"/>
        </w:rPr>
        <w:t>项目所占林地为灌丛，灌丛</w:t>
      </w:r>
      <w:r>
        <w:t>主要是天然次生林，种类</w:t>
      </w:r>
      <w:r>
        <w:rPr>
          <w:rFonts w:hint="eastAsia"/>
        </w:rPr>
        <w:t>主要为蒿柳。矿体上部无覆盖层，可直接进行开采，无需清理地表、剥离表土。露天开采</w:t>
      </w:r>
      <w:r>
        <w:t>对局部自然生态环境造成一定的破坏，生产力有所降低。但生态破坏面积不大，对整个评价区域自然体系的稳定性不会造成明显影响，使局部区域</w:t>
      </w:r>
      <w:r>
        <w:rPr>
          <w:rFonts w:hint="eastAsia"/>
        </w:rPr>
        <w:t>土地利用类型、地形地貌发生变化，</w:t>
      </w:r>
      <w:r>
        <w:t>动物迁徒、水土流失侵蚀度增加，使局部生物量为0，局部自然生态环境遭到一定的破坏。</w:t>
      </w:r>
      <w:r>
        <w:rPr>
          <w:rFonts w:hint="eastAsia"/>
        </w:rPr>
        <w:t>评价范围内</w:t>
      </w:r>
      <w:r>
        <w:t>森林类型的广布性特征明显，其建群种和优势种的种群更新、年龄结构和层片分异等都不会有大的影响</w:t>
      </w:r>
      <w:r>
        <w:rPr>
          <w:rFonts w:hint="eastAsia"/>
        </w:rPr>
        <w:t>，</w:t>
      </w:r>
      <w:r>
        <w:t>工程建设不会对该区域植被分布情况和森林植物群落结构造成大的改变，森林生态系统类型完整性、结构稳定性和功能多样性基本能够维持在原有水平。</w:t>
      </w:r>
    </w:p>
    <w:p w14:paraId="136FBBE0">
      <w:pPr>
        <w:pStyle w:val="5"/>
        <w:spacing w:before="120" w:after="120"/>
      </w:pPr>
      <w:r>
        <w:t>运营期</w:t>
      </w:r>
      <w:r>
        <w:rPr>
          <w:rFonts w:hint="eastAsia"/>
        </w:rPr>
        <w:t>对</w:t>
      </w:r>
      <w:r>
        <w:t>生物多样性影响</w:t>
      </w:r>
    </w:p>
    <w:p w14:paraId="43BA6828">
      <w:pPr>
        <w:ind w:firstLine="480"/>
      </w:pPr>
      <w:r>
        <w:t>本工程</w:t>
      </w:r>
      <w:r>
        <w:rPr>
          <w:rFonts w:hint="eastAsia"/>
        </w:rPr>
        <w:t>现有</w:t>
      </w:r>
      <w:r>
        <w:t>占地类型为</w:t>
      </w:r>
      <w:r>
        <w:rPr>
          <w:rFonts w:hint="eastAsia"/>
        </w:rPr>
        <w:t>灌丛，</w:t>
      </w:r>
      <w:r>
        <w:t>种类</w:t>
      </w:r>
      <w:r>
        <w:rPr>
          <w:rFonts w:hint="eastAsia"/>
        </w:rPr>
        <w:t>主要为蒿柳，</w:t>
      </w:r>
      <w:r>
        <w:t xml:space="preserve">这些物种均属于分布比较广的种类，生境范围并不十分局限，在评价区周边地区较大范围内都有分布，种质资源的可替代性强，本工程建设不会对这些资源植物种质资源产生潜在影响。评价区域的物种类型多属于广泛分布于评价区域及其周边区域的常见物种，物种分布格局呈现随机分布的态势。由于工程占地的生境具有一定的可替代性，部分土地利用性质的改变不会引起特有物种生境的消失。因此，工程建设基本不会导致分布在该地块的物种消失。 </w:t>
      </w:r>
    </w:p>
    <w:p w14:paraId="288CE8C0">
      <w:pPr>
        <w:ind w:firstLine="480"/>
      </w:pPr>
      <w:r>
        <w:t>工程所在区域属浅山区，人为活动频繁，运输车辆在林区通过，使区周边动物自动向深山区迁移，使得工程建设区野生动物相对减少。不具备国家和省级重点保护野生动物的生长、栖息条件。项目</w:t>
      </w:r>
      <w:r>
        <w:rPr>
          <w:rFonts w:hint="eastAsia"/>
        </w:rPr>
        <w:t>占地范围</w:t>
      </w:r>
      <w:r>
        <w:t>内没有国家级</w:t>
      </w:r>
      <w:r>
        <w:rPr>
          <w:rFonts w:hint="eastAsia"/>
        </w:rPr>
        <w:t>及</w:t>
      </w:r>
      <w:r>
        <w:t>省级重点保护野生动物，项目</w:t>
      </w:r>
      <w:r>
        <w:rPr>
          <w:rFonts w:hint="eastAsia"/>
        </w:rPr>
        <w:t>占地范围内</w:t>
      </w:r>
      <w:r>
        <w:t>常见主要动物有野兔、</w:t>
      </w:r>
      <w:r>
        <w:rPr>
          <w:rFonts w:hint="eastAsia"/>
        </w:rPr>
        <w:t>家鼠</w:t>
      </w:r>
      <w:r>
        <w:t>、</w:t>
      </w:r>
      <w:r>
        <w:rPr>
          <w:rFonts w:hint="eastAsia"/>
        </w:rPr>
        <w:t>林蛙</w:t>
      </w:r>
      <w:r>
        <w:t>等，均属当地常见野生动物。工程建设占用土地资源，减少动物的栖息地和生存环境，迫使某一区域的种群密度有所改变。设施的建设会破坏地表植被，占据野生动物栖息和繁殖场所，形成迁移阻碍，影响动物取食、繁殖等行为，使野生动物原有的栖息生境破坏或消失。当然，由于施工活动一般具有暂时性，随着施工结束，施工不利影响会得到消减，且动物一般在施工周围具有替代栖息地，在一定程度上可以转移和避让</w:t>
      </w:r>
      <w:r>
        <w:rPr>
          <w:rFonts w:hint="eastAsia"/>
        </w:rPr>
        <w:t>工程</w:t>
      </w:r>
      <w:r>
        <w:t>施</w:t>
      </w:r>
      <w:r>
        <w:rPr>
          <w:rFonts w:hint="eastAsia"/>
        </w:rPr>
        <w:t>工</w:t>
      </w:r>
      <w:r>
        <w:t>带来的不利影响。施工过程对不同野生动物类别的影响略有差异，但是对评价区域野生动物的种群数量和种群密度会有间接的影响。工程建设基本不会导致分布在该地块的物种消失。</w:t>
      </w:r>
    </w:p>
    <w:p w14:paraId="1E9A2217">
      <w:pPr>
        <w:ind w:firstLine="480"/>
      </w:pPr>
      <w:bookmarkStart w:id="483" w:name="_Hlk112143613"/>
      <w:bookmarkStart w:id="484" w:name="_Hlk112140478"/>
      <w:r>
        <w:t>项目</w:t>
      </w:r>
      <w:r>
        <w:rPr>
          <w:rFonts w:hint="eastAsia"/>
        </w:rPr>
        <w:t>采矿作业</w:t>
      </w:r>
      <w:r>
        <w:t>施工</w:t>
      </w:r>
      <w:r>
        <w:rPr>
          <w:rFonts w:hint="eastAsia"/>
        </w:rPr>
        <w:t>时，</w:t>
      </w:r>
      <w:bookmarkEnd w:id="483"/>
      <w:bookmarkEnd w:id="484"/>
      <w:r>
        <w:t xml:space="preserve">加强员工宣传教育及管理禁止乱砍乱伐、捕杀野生动物，采取上述措施后，对生物多样性保护功能影响较小。 </w:t>
      </w:r>
    </w:p>
    <w:p w14:paraId="5C718031">
      <w:pPr>
        <w:pStyle w:val="5"/>
        <w:spacing w:before="120" w:after="120"/>
      </w:pPr>
      <w:r>
        <w:t>运营期</w:t>
      </w:r>
      <w:r>
        <w:rPr>
          <w:rFonts w:hint="eastAsia"/>
        </w:rPr>
        <w:t>对生态敏感区的影响</w:t>
      </w:r>
    </w:p>
    <w:p w14:paraId="2025B19C">
      <w:pPr>
        <w:ind w:firstLine="482"/>
        <w:rPr>
          <w:b/>
        </w:rPr>
      </w:pPr>
      <w:r>
        <w:rPr>
          <w:rFonts w:hint="eastAsia"/>
          <w:b/>
        </w:rPr>
        <w:t>1、</w:t>
      </w:r>
      <w:r>
        <w:rPr>
          <w:b/>
        </w:rPr>
        <w:t>水源涵养功能的影响</w:t>
      </w:r>
    </w:p>
    <w:p w14:paraId="386AFB0B">
      <w:pPr>
        <w:ind w:firstLine="480"/>
      </w:pPr>
      <w:r>
        <w:t>林地生态系统对水源涵养区的影响主要是通过森林对于降水的分配形式进行改变,其中林冠层、林下灌草层、林地土壤层等能够对降水进行拦截和吸收，并将这些水分储蓄起来</w:t>
      </w:r>
      <w:r>
        <w:rPr>
          <w:rFonts w:hint="eastAsia"/>
        </w:rPr>
        <w:t>，</w:t>
      </w:r>
      <w:r>
        <w:t>这样就涵养了充足的水分，从而达到水源涵养的目的。</w:t>
      </w:r>
    </w:p>
    <w:p w14:paraId="2FF65770">
      <w:pPr>
        <w:ind w:firstLine="480"/>
      </w:pPr>
      <w:r>
        <w:t>从生态系统水源涵养的功能性来分析，按照“占一补一”的原则，对所占用的</w:t>
      </w:r>
      <w:r>
        <w:rPr>
          <w:rFonts w:hint="eastAsia"/>
        </w:rPr>
        <w:t>灌木</w:t>
      </w:r>
      <w:r>
        <w:t>林地按实际占用面积实行异地恢复造林，保持原有的林地面积总值不变。因此</w:t>
      </w:r>
      <w:r>
        <w:rPr>
          <w:rFonts w:hint="eastAsia"/>
        </w:rPr>
        <w:t>，</w:t>
      </w:r>
      <w:r>
        <w:t>项目对水源涵养功能极重要区生态保护红线产生较小影响。对占地</w:t>
      </w:r>
      <w:r>
        <w:rPr>
          <w:rFonts w:hint="eastAsia"/>
        </w:rPr>
        <w:t>范围内及占地范围</w:t>
      </w:r>
      <w:r>
        <w:t>外生态系统的水源涵养性功能影响</w:t>
      </w:r>
      <w:r>
        <w:rPr>
          <w:rFonts w:hint="eastAsia"/>
        </w:rPr>
        <w:t>较小</w:t>
      </w:r>
      <w:r>
        <w:t>。</w:t>
      </w:r>
    </w:p>
    <w:p w14:paraId="4553BB84">
      <w:pPr>
        <w:pStyle w:val="3"/>
        <w:spacing w:before="180" w:after="120"/>
        <w:rPr>
          <w:rFonts w:cs="Times New Roman"/>
          <w:bCs/>
        </w:rPr>
      </w:pPr>
      <w:bookmarkStart w:id="485" w:name="_Toc12649375"/>
      <w:bookmarkStart w:id="486" w:name="_Toc61013932"/>
      <w:bookmarkStart w:id="487" w:name="_Toc61013522"/>
      <w:bookmarkStart w:id="488" w:name="_Toc61012960"/>
      <w:bookmarkStart w:id="489" w:name="_Toc61013727"/>
      <w:bookmarkStart w:id="490" w:name="_Toc61012636"/>
      <w:bookmarkStart w:id="491" w:name="_Toc61013317"/>
      <w:bookmarkStart w:id="492" w:name="_Toc76395504"/>
      <w:bookmarkStart w:id="493" w:name="_Toc61013112"/>
      <w:bookmarkStart w:id="494" w:name="_Toc234927706"/>
      <w:r>
        <w:rPr>
          <w:rFonts w:cs="Times New Roman"/>
        </w:rPr>
        <w:t>环境风险</w:t>
      </w:r>
      <w:bookmarkEnd w:id="485"/>
      <w:bookmarkEnd w:id="486"/>
      <w:bookmarkEnd w:id="487"/>
      <w:bookmarkEnd w:id="488"/>
      <w:bookmarkEnd w:id="489"/>
      <w:bookmarkEnd w:id="490"/>
      <w:bookmarkEnd w:id="491"/>
      <w:bookmarkEnd w:id="492"/>
      <w:bookmarkEnd w:id="493"/>
      <w:r>
        <w:rPr>
          <w:rFonts w:cs="Times New Roman"/>
        </w:rPr>
        <w:t>评价</w:t>
      </w:r>
      <w:bookmarkEnd w:id="494"/>
    </w:p>
    <w:p w14:paraId="0DB5FE2C">
      <w:pPr>
        <w:pStyle w:val="4"/>
        <w:spacing w:before="180" w:after="120"/>
        <w:rPr>
          <w:rFonts w:hAnsi="Times New Roman" w:cs="Times New Roman"/>
        </w:rPr>
      </w:pPr>
      <w:r>
        <w:rPr>
          <w:rFonts w:hAnsi="Times New Roman" w:cs="Times New Roman"/>
        </w:rPr>
        <w:t>评价依据</w:t>
      </w:r>
    </w:p>
    <w:p w14:paraId="547DAEA4">
      <w:pPr>
        <w:ind w:firstLine="480"/>
      </w:pPr>
      <w:r>
        <w:rPr>
          <w:rFonts w:hint="eastAsia"/>
        </w:rPr>
        <w:t>本项目矿区内不存放柴油，矿区将车辆与设备维修保养全部委托给塔溪乡的修理厂，产生的废机油不落地，直接由修理厂委托有资质单位处理处置，本项目不涉及《建设项目环境风险评价技术导则》（HJ169-2018）附录B所关注的风险物质，</w:t>
      </w:r>
      <w:r>
        <w:t>环境风险潜势为Ⅰ，进行简单分析。</w:t>
      </w:r>
    </w:p>
    <w:p w14:paraId="79055A00">
      <w:pPr>
        <w:pStyle w:val="4"/>
        <w:spacing w:before="180" w:after="120"/>
        <w:rPr>
          <w:rFonts w:hAnsi="Times New Roman" w:cs="Times New Roman"/>
        </w:rPr>
      </w:pPr>
      <w:r>
        <w:rPr>
          <w:rFonts w:hAnsi="Times New Roman" w:cs="Times New Roman"/>
        </w:rPr>
        <w:t>环境敏感目标概况</w:t>
      </w:r>
    </w:p>
    <w:p w14:paraId="5A855803">
      <w:pPr>
        <w:ind w:firstLine="480"/>
      </w:pPr>
      <w:r>
        <w:t>本项目周围主要为林地，周边无常住居民，距离本项目最近的大气环境敏感目标为项目西侧</w:t>
      </w:r>
      <w:r>
        <w:rPr>
          <w:rFonts w:hint="eastAsia"/>
        </w:rPr>
        <w:t>4.8</w:t>
      </w:r>
      <w:r>
        <w:t>km处的</w:t>
      </w:r>
      <w:r>
        <w:rPr>
          <w:rFonts w:hint="eastAsia"/>
        </w:rPr>
        <w:t>塔溪乡</w:t>
      </w:r>
      <w:r>
        <w:t>，最近的地表水敏感目标为矿区西南侧</w:t>
      </w:r>
      <w:r>
        <w:rPr>
          <w:rFonts w:hint="eastAsia"/>
        </w:rPr>
        <w:t>50</w:t>
      </w:r>
      <w:r>
        <w:t>m的马厂河。</w:t>
      </w:r>
    </w:p>
    <w:p w14:paraId="49896004">
      <w:pPr>
        <w:pStyle w:val="4"/>
        <w:spacing w:before="180" w:after="120"/>
        <w:rPr>
          <w:rFonts w:hAnsi="Times New Roman" w:cs="Times New Roman"/>
        </w:rPr>
      </w:pPr>
      <w:r>
        <w:rPr>
          <w:rFonts w:hAnsi="Times New Roman" w:cs="Times New Roman"/>
        </w:rPr>
        <w:t>环境风险识别</w:t>
      </w:r>
    </w:p>
    <w:p w14:paraId="0BC19D4E">
      <w:pPr>
        <w:pStyle w:val="5"/>
        <w:spacing w:before="120" w:after="120"/>
      </w:pPr>
      <w:r>
        <w:rPr>
          <w:rFonts w:hint="eastAsia"/>
        </w:rPr>
        <w:t>物质风险识别</w:t>
      </w:r>
    </w:p>
    <w:p w14:paraId="7DF2B9D4">
      <w:pPr>
        <w:ind w:firstLine="480"/>
      </w:pPr>
      <w:r>
        <w:rPr>
          <w:rFonts w:hint="eastAsia"/>
        </w:rPr>
        <w:t>包括主要原辅材料、燃料、中间产品、副产品、最终产品、污染物、火灾和爆炸伴生/次生物等。根据项目特点分析，本项目为凝灰岩矿项目，配套了石料加工车间，主要原辅材料为凝灰岩矿，不涉及风险物质。</w:t>
      </w:r>
    </w:p>
    <w:p w14:paraId="0C0D07D5">
      <w:pPr>
        <w:pStyle w:val="5"/>
        <w:spacing w:before="120" w:after="120"/>
      </w:pPr>
      <w:r>
        <w:rPr>
          <w:rFonts w:hint="eastAsia"/>
        </w:rPr>
        <w:t>生产设施风险识别</w:t>
      </w:r>
    </w:p>
    <w:p w14:paraId="3B77F2AB">
      <w:pPr>
        <w:ind w:firstLine="480"/>
      </w:pPr>
      <w:r>
        <w:rPr>
          <w:rFonts w:hint="eastAsia"/>
        </w:rPr>
        <w:t>包括主要生产装置、储运设施、公用工程和辅助生产设施，以及环境保护设施等。根据本项目特点，确定生产设施风险为：采矿区。</w:t>
      </w:r>
    </w:p>
    <w:p w14:paraId="4F4742DC">
      <w:pPr>
        <w:ind w:firstLine="480"/>
      </w:pPr>
      <w:r>
        <w:rPr>
          <w:rFonts w:hint="eastAsia"/>
        </w:rPr>
        <w:t>采矿区主要风险为采场滑坡现象：随着开采面的不断下降会形成开采斜坡，导致岩体的失稳，受暴雨、地震等因素影响，斜坡易出现滑坡，破坏生态环境。</w:t>
      </w:r>
    </w:p>
    <w:p w14:paraId="4059556A">
      <w:pPr>
        <w:pStyle w:val="4"/>
        <w:spacing w:before="180" w:after="120"/>
        <w:rPr>
          <w:rFonts w:hAnsi="Times New Roman" w:cs="Times New Roman"/>
        </w:rPr>
      </w:pPr>
      <w:r>
        <w:rPr>
          <w:rFonts w:hAnsi="Times New Roman" w:cs="Times New Roman"/>
        </w:rPr>
        <w:t>环境风险影响简要分析</w:t>
      </w:r>
    </w:p>
    <w:p w14:paraId="41650BBC">
      <w:pPr>
        <w:ind w:firstLine="480"/>
      </w:pPr>
      <w:r>
        <w:t>本项目不涉及爆破工艺，本项目机械设备维修和加油均在厂区外进行，</w:t>
      </w:r>
      <w:r>
        <w:rPr>
          <w:rFonts w:hint="eastAsia"/>
        </w:rPr>
        <w:t>不涉及《建设项目环境风险评价技术导则》（HJ169-2018）附录B所关注的风险物质。</w:t>
      </w:r>
    </w:p>
    <w:p w14:paraId="2999D0F7">
      <w:pPr>
        <w:ind w:firstLine="480"/>
      </w:pPr>
      <w:r>
        <w:rPr>
          <w:rFonts w:hint="eastAsia"/>
        </w:rPr>
        <w:t>采场滑坡现象一方面对采场地表活动形成危害，可能造成滑坡区下方的人员伤亡，上方建筑损害等危害，另一方面对生态环境，对当地土壤，植被和景观环境也造成一定的影响。企业应委托资质部门编制《地质灾害危险性评估说明书》，对矿山开采可能引起的滑坡对环境的影响进行系统的、专业的分析。</w:t>
      </w:r>
    </w:p>
    <w:p w14:paraId="1863CC70">
      <w:pPr>
        <w:pStyle w:val="4"/>
        <w:spacing w:before="180" w:after="120"/>
        <w:rPr>
          <w:rFonts w:hAnsi="Times New Roman" w:cs="Times New Roman"/>
        </w:rPr>
      </w:pPr>
      <w:r>
        <w:rPr>
          <w:rFonts w:hAnsi="Times New Roman" w:cs="Times New Roman"/>
        </w:rPr>
        <w:t>环境风险结论</w:t>
      </w:r>
    </w:p>
    <w:p w14:paraId="768E3825">
      <w:pPr>
        <w:ind w:firstLine="480"/>
        <w:rPr>
          <w:lang w:val="zh-TW"/>
        </w:rPr>
      </w:pPr>
      <w:r>
        <w:rPr>
          <w:lang w:val="zh-TW"/>
        </w:rPr>
        <w:t>本项目环境风险潜势为Ⅰ，环境风险等级低于三级。采取的环境风险防范措施有效，企业应认真落实，加强环境风险管理，制定并落实突发环境事件应急预案，降低生产运行过程环境污染事故的发生概率，使企业的环境风险在可接受范围内。</w:t>
      </w:r>
    </w:p>
    <w:p w14:paraId="4ED8EEE6">
      <w:pPr>
        <w:pStyle w:val="178"/>
      </w:pPr>
      <w:r>
        <w:t>表5.3-3  建设项目环境风险简单分析内容表</w:t>
      </w:r>
    </w:p>
    <w:tbl>
      <w:tblPr>
        <w:tblStyle w:val="36"/>
        <w:tblW w:w="5000" w:type="pct"/>
        <w:jc w:val="center"/>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Layout w:type="fixed"/>
        <w:tblCellMar>
          <w:top w:w="0" w:type="dxa"/>
          <w:left w:w="57" w:type="dxa"/>
          <w:bottom w:w="0" w:type="dxa"/>
          <w:right w:w="57" w:type="dxa"/>
        </w:tblCellMar>
      </w:tblPr>
      <w:tblGrid>
        <w:gridCol w:w="1191"/>
        <w:gridCol w:w="1133"/>
        <w:gridCol w:w="2454"/>
        <w:gridCol w:w="1232"/>
        <w:gridCol w:w="2360"/>
      </w:tblGrid>
      <w:tr w14:paraId="05B5B497">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40" w:hRule="atLeast"/>
          <w:jc w:val="center"/>
        </w:trPr>
        <w:tc>
          <w:tcPr>
            <w:tcW w:w="711" w:type="pct"/>
            <w:noWrap/>
            <w:vAlign w:val="center"/>
          </w:tcPr>
          <w:p w14:paraId="798060C2">
            <w:pPr>
              <w:pStyle w:val="179"/>
              <w:rPr>
                <w:rFonts w:cs="Times New Roman"/>
              </w:rPr>
            </w:pPr>
            <w:r>
              <w:rPr>
                <w:rFonts w:cs="Times New Roman"/>
              </w:rPr>
              <w:t>建设项目名称</w:t>
            </w:r>
          </w:p>
        </w:tc>
        <w:tc>
          <w:tcPr>
            <w:tcW w:w="4289" w:type="pct"/>
            <w:gridSpan w:val="4"/>
            <w:noWrap/>
            <w:vAlign w:val="center"/>
          </w:tcPr>
          <w:p w14:paraId="418FA0BE">
            <w:pPr>
              <w:pStyle w:val="179"/>
              <w:rPr>
                <w:rFonts w:cs="Times New Roman"/>
              </w:rPr>
            </w:pPr>
            <w:r>
              <w:rPr>
                <w:rFonts w:cs="Times New Roman"/>
              </w:rPr>
              <w:t>黑龙江省嫩江市塔溪乡马厂河采石场建筑用凝灰岩矿</w:t>
            </w:r>
          </w:p>
        </w:tc>
      </w:tr>
      <w:tr w14:paraId="029D9DF6">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40" w:hRule="atLeast"/>
          <w:jc w:val="center"/>
        </w:trPr>
        <w:tc>
          <w:tcPr>
            <w:tcW w:w="711" w:type="pct"/>
            <w:noWrap/>
            <w:vAlign w:val="center"/>
          </w:tcPr>
          <w:p w14:paraId="08B52EEF">
            <w:pPr>
              <w:pStyle w:val="179"/>
              <w:rPr>
                <w:rFonts w:cs="Times New Roman"/>
              </w:rPr>
            </w:pPr>
            <w:r>
              <w:rPr>
                <w:rFonts w:cs="Times New Roman"/>
              </w:rPr>
              <w:t>建设地点</w:t>
            </w:r>
          </w:p>
        </w:tc>
        <w:tc>
          <w:tcPr>
            <w:tcW w:w="4289" w:type="pct"/>
            <w:gridSpan w:val="4"/>
            <w:noWrap/>
            <w:vAlign w:val="center"/>
          </w:tcPr>
          <w:p w14:paraId="7D74BF09">
            <w:pPr>
              <w:pStyle w:val="179"/>
              <w:rPr>
                <w:rFonts w:cs="Times New Roman"/>
              </w:rPr>
            </w:pPr>
            <w:r>
              <w:rPr>
                <w:rFonts w:cs="Times New Roman"/>
              </w:rPr>
              <w:t>黑龙江省嫩江市塔溪乡马厂河北东50m处</w:t>
            </w:r>
          </w:p>
        </w:tc>
      </w:tr>
      <w:tr w14:paraId="134EAD9C">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40" w:hRule="atLeast"/>
          <w:jc w:val="center"/>
        </w:trPr>
        <w:tc>
          <w:tcPr>
            <w:tcW w:w="711" w:type="pct"/>
            <w:noWrap/>
            <w:vAlign w:val="center"/>
          </w:tcPr>
          <w:p w14:paraId="72D88D01">
            <w:pPr>
              <w:pStyle w:val="179"/>
              <w:rPr>
                <w:rFonts w:cs="Times New Roman"/>
              </w:rPr>
            </w:pPr>
            <w:r>
              <w:rPr>
                <w:rFonts w:cs="Times New Roman"/>
              </w:rPr>
              <w:t>地理坐标</w:t>
            </w:r>
          </w:p>
        </w:tc>
        <w:tc>
          <w:tcPr>
            <w:tcW w:w="677" w:type="pct"/>
            <w:noWrap/>
            <w:vAlign w:val="center"/>
          </w:tcPr>
          <w:p w14:paraId="1891E165">
            <w:pPr>
              <w:pStyle w:val="179"/>
              <w:rPr>
                <w:rFonts w:cs="Times New Roman"/>
              </w:rPr>
            </w:pPr>
            <w:r>
              <w:rPr>
                <w:rFonts w:cs="Times New Roman"/>
              </w:rPr>
              <w:t>经度</w:t>
            </w:r>
          </w:p>
        </w:tc>
        <w:tc>
          <w:tcPr>
            <w:tcW w:w="1466" w:type="pct"/>
            <w:noWrap/>
            <w:vAlign w:val="center"/>
          </w:tcPr>
          <w:p w14:paraId="79FA1B8D">
            <w:pPr>
              <w:pStyle w:val="179"/>
              <w:rPr>
                <w:rFonts w:cs="Times New Roman"/>
              </w:rPr>
            </w:pPr>
            <w:r>
              <w:rPr>
                <w:rFonts w:cs="Times New Roman"/>
              </w:rPr>
              <w:t>126°18′20.79″</w:t>
            </w:r>
          </w:p>
        </w:tc>
        <w:tc>
          <w:tcPr>
            <w:tcW w:w="736" w:type="pct"/>
            <w:noWrap/>
            <w:vAlign w:val="center"/>
          </w:tcPr>
          <w:p w14:paraId="513813D1">
            <w:pPr>
              <w:pStyle w:val="179"/>
              <w:rPr>
                <w:rFonts w:cs="Times New Roman"/>
              </w:rPr>
            </w:pPr>
            <w:r>
              <w:rPr>
                <w:rFonts w:cs="Times New Roman"/>
              </w:rPr>
              <w:t>纬度</w:t>
            </w:r>
          </w:p>
        </w:tc>
        <w:tc>
          <w:tcPr>
            <w:tcW w:w="1409" w:type="pct"/>
            <w:noWrap/>
            <w:vAlign w:val="center"/>
          </w:tcPr>
          <w:p w14:paraId="5D128096">
            <w:pPr>
              <w:pStyle w:val="179"/>
              <w:rPr>
                <w:rFonts w:cs="Times New Roman"/>
              </w:rPr>
            </w:pPr>
            <w:r>
              <w:rPr>
                <w:rFonts w:cs="Times New Roman"/>
              </w:rPr>
              <w:t>49°26′55.52″</w:t>
            </w:r>
          </w:p>
        </w:tc>
      </w:tr>
      <w:tr w14:paraId="5CC5C158">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40" w:hRule="atLeast"/>
          <w:jc w:val="center"/>
        </w:trPr>
        <w:tc>
          <w:tcPr>
            <w:tcW w:w="711" w:type="pct"/>
            <w:noWrap/>
            <w:vAlign w:val="center"/>
          </w:tcPr>
          <w:p w14:paraId="4F1013C1">
            <w:pPr>
              <w:pStyle w:val="179"/>
              <w:rPr>
                <w:rFonts w:cs="Times New Roman"/>
              </w:rPr>
            </w:pPr>
            <w:r>
              <w:rPr>
                <w:rFonts w:cs="Times New Roman"/>
              </w:rPr>
              <w:t>主要危险物质及分布</w:t>
            </w:r>
          </w:p>
        </w:tc>
        <w:tc>
          <w:tcPr>
            <w:tcW w:w="4289" w:type="pct"/>
            <w:gridSpan w:val="4"/>
            <w:noWrap/>
            <w:vAlign w:val="center"/>
          </w:tcPr>
          <w:p w14:paraId="367F13BB">
            <w:pPr>
              <w:pStyle w:val="179"/>
              <w:rPr>
                <w:rFonts w:cs="Times New Roman"/>
              </w:rPr>
            </w:pPr>
            <w:r>
              <w:rPr>
                <w:rFonts w:hint="eastAsia"/>
              </w:rPr>
              <w:t>无</w:t>
            </w:r>
          </w:p>
        </w:tc>
      </w:tr>
      <w:tr w14:paraId="722466B2">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40" w:hRule="atLeast"/>
          <w:jc w:val="center"/>
        </w:trPr>
        <w:tc>
          <w:tcPr>
            <w:tcW w:w="711" w:type="pct"/>
            <w:noWrap/>
            <w:vAlign w:val="center"/>
          </w:tcPr>
          <w:p w14:paraId="6862921C">
            <w:pPr>
              <w:pStyle w:val="179"/>
              <w:rPr>
                <w:rFonts w:cs="Times New Roman"/>
              </w:rPr>
            </w:pPr>
            <w:r>
              <w:rPr>
                <w:rFonts w:cs="Times New Roman"/>
              </w:rPr>
              <w:t>环境影响途径及危害后果（大气、地表水、地下水等）</w:t>
            </w:r>
          </w:p>
        </w:tc>
        <w:tc>
          <w:tcPr>
            <w:tcW w:w="4289" w:type="pct"/>
            <w:gridSpan w:val="4"/>
            <w:noWrap/>
            <w:vAlign w:val="center"/>
          </w:tcPr>
          <w:p w14:paraId="63BCB00A">
            <w:pPr>
              <w:pStyle w:val="179"/>
              <w:jc w:val="both"/>
              <w:rPr>
                <w:rFonts w:cs="Times New Roman"/>
              </w:rPr>
            </w:pPr>
            <w:r>
              <w:rPr>
                <w:rFonts w:hint="eastAsia"/>
                <w:lang w:val="zh-TW"/>
              </w:rPr>
              <w:t>开采过程：</w:t>
            </w:r>
            <w:r>
              <w:rPr>
                <w:lang w:val="zh-TW"/>
              </w:rPr>
              <w:t>随着开采面的不断下降会形成开采斜坡，导致岩体的失稳，受暴雨、地震等因素影响，斜坡易出现滑坡，破坏生态环境。</w:t>
            </w:r>
          </w:p>
        </w:tc>
      </w:tr>
      <w:tr w14:paraId="55B7CFDC">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40" w:hRule="atLeast"/>
          <w:jc w:val="center"/>
        </w:trPr>
        <w:tc>
          <w:tcPr>
            <w:tcW w:w="711" w:type="pct"/>
            <w:noWrap/>
            <w:vAlign w:val="center"/>
          </w:tcPr>
          <w:p w14:paraId="0F9E35F5">
            <w:pPr>
              <w:pStyle w:val="179"/>
              <w:rPr>
                <w:rFonts w:cs="Times New Roman"/>
              </w:rPr>
            </w:pPr>
            <w:r>
              <w:rPr>
                <w:rFonts w:cs="Times New Roman"/>
              </w:rPr>
              <w:t>风险防范措施要求</w:t>
            </w:r>
          </w:p>
        </w:tc>
        <w:tc>
          <w:tcPr>
            <w:tcW w:w="4289" w:type="pct"/>
            <w:gridSpan w:val="4"/>
            <w:noWrap/>
            <w:vAlign w:val="center"/>
          </w:tcPr>
          <w:p w14:paraId="31555590">
            <w:pPr>
              <w:pStyle w:val="179"/>
              <w:jc w:val="both"/>
              <w:rPr>
                <w:rFonts w:cs="Times New Roman"/>
              </w:rPr>
            </w:pPr>
            <w:r>
              <w:rPr>
                <w:rFonts w:hint="eastAsia" w:cs="Times New Roman"/>
              </w:rPr>
              <w:t>（1）开采进程中要采取有效的安全技术和安全管理措施，避免发生滑坡、高处坠落、物体打击等各种事故，保护作业人员的生命安全和企业的财产安全。</w:t>
            </w:r>
          </w:p>
          <w:p w14:paraId="45C9AF66">
            <w:pPr>
              <w:pStyle w:val="179"/>
              <w:jc w:val="both"/>
              <w:rPr>
                <w:rFonts w:cs="Times New Roman"/>
              </w:rPr>
            </w:pPr>
            <w:r>
              <w:rPr>
                <w:rFonts w:hint="eastAsia" w:cs="Times New Roman"/>
              </w:rPr>
              <w:t>（2）矿区及附近积水或雨水有可能排入采区时，应在容易积水的地方修筑排水沟；每年雨季前一个季度，由主管矿长组织一次防洪水检查，并编制防洪计划，其工程必须在雨季前竣工；雨季应有专人检查矿区防洪情况，情况危险时，必须停产，所有人员必须撤出井下，确保人员安全。</w:t>
            </w:r>
          </w:p>
          <w:p w14:paraId="24E15394">
            <w:pPr>
              <w:pStyle w:val="179"/>
              <w:jc w:val="both"/>
              <w:rPr>
                <w:rFonts w:cs="Times New Roman"/>
              </w:rPr>
            </w:pPr>
            <w:r>
              <w:rPr>
                <w:rFonts w:hint="eastAsia" w:cs="Times New Roman"/>
              </w:rPr>
              <w:t>（3）矿山在进行开采之前，建议在不影响后期开采的前提下，选定有代表性的矿体，布置试验采场，进一步验证和优化可研采矿方法设计的各项参数，最终选定技术可行、经济合理、安全高效的采矿设计，并用于指导大规模的开采工作。</w:t>
            </w:r>
          </w:p>
          <w:p w14:paraId="042DD77F">
            <w:pPr>
              <w:pStyle w:val="179"/>
              <w:jc w:val="both"/>
              <w:rPr>
                <w:rFonts w:cs="Times New Roman"/>
              </w:rPr>
            </w:pPr>
            <w:r>
              <w:rPr>
                <w:rFonts w:hint="eastAsia" w:cs="Times New Roman"/>
              </w:rPr>
              <w:t>（4）通过可研立项，加强对相关矿段矿岩的物理力学参数等岩石力学工作基础资料和数据的测试和获取工作，并逐步掌握开采过程中矿区地压活动规律，以指导采场采空区处理和控制采动影响关系。</w:t>
            </w:r>
          </w:p>
          <w:p w14:paraId="3677645D">
            <w:pPr>
              <w:pStyle w:val="179"/>
              <w:jc w:val="both"/>
              <w:rPr>
                <w:rFonts w:cs="Times New Roman"/>
              </w:rPr>
            </w:pPr>
            <w:r>
              <w:rPr>
                <w:rFonts w:hint="eastAsia" w:cs="Times New Roman"/>
              </w:rPr>
              <w:t>（5）加强对该矿段各采场的开采顺序研究工作，确保资源的充分回收和开采中的安全。</w:t>
            </w:r>
          </w:p>
          <w:p w14:paraId="5A892986">
            <w:pPr>
              <w:pStyle w:val="179"/>
              <w:jc w:val="both"/>
              <w:rPr>
                <w:rFonts w:cs="Times New Roman"/>
              </w:rPr>
            </w:pPr>
            <w:r>
              <w:rPr>
                <w:rFonts w:hint="eastAsia" w:cs="Times New Roman"/>
              </w:rPr>
              <w:t>（6）进一步研究确定各种岩石条件的稳定性，优化采场结构参数，提出科学的管理方法。必须建立管理制度。对岩体不稳定的采场，开采时要指定专人负责检查。</w:t>
            </w:r>
          </w:p>
        </w:tc>
      </w:tr>
      <w:tr w14:paraId="3F87FE06">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40" w:hRule="atLeast"/>
          <w:jc w:val="center"/>
        </w:trPr>
        <w:tc>
          <w:tcPr>
            <w:tcW w:w="5000" w:type="pct"/>
            <w:gridSpan w:val="5"/>
            <w:noWrap/>
            <w:vAlign w:val="center"/>
          </w:tcPr>
          <w:p w14:paraId="3C3974F1">
            <w:pPr>
              <w:pStyle w:val="179"/>
              <w:jc w:val="left"/>
              <w:rPr>
                <w:rFonts w:cs="Times New Roman"/>
              </w:rPr>
            </w:pPr>
            <w:r>
              <w:rPr>
                <w:rFonts w:cs="Times New Roman"/>
              </w:rPr>
              <w:t>填表说明（列出项目相关信息及评价说明）</w:t>
            </w:r>
          </w:p>
        </w:tc>
      </w:tr>
      <w:bookmarkEnd w:id="462"/>
      <w:bookmarkEnd w:id="463"/>
      <w:bookmarkEnd w:id="464"/>
    </w:tbl>
    <w:p w14:paraId="08B8918E">
      <w:pPr>
        <w:pStyle w:val="3"/>
        <w:spacing w:before="180" w:after="120"/>
        <w:rPr>
          <w:rFonts w:cs="Times New Roman"/>
          <w:bCs/>
        </w:rPr>
      </w:pPr>
      <w:bookmarkStart w:id="495" w:name="_Toc262740098"/>
      <w:bookmarkStart w:id="496" w:name="_Toc503272351"/>
      <w:bookmarkStart w:id="497" w:name="_Toc10541"/>
      <w:bookmarkStart w:id="498" w:name="_Toc217911820"/>
      <w:bookmarkStart w:id="499" w:name="_Toc469400906"/>
      <w:bookmarkStart w:id="500" w:name="_Toc61013320"/>
      <w:bookmarkStart w:id="501" w:name="_Toc61013935"/>
      <w:bookmarkStart w:id="502" w:name="_Toc12649378"/>
      <w:bookmarkStart w:id="503" w:name="_Toc61012961"/>
      <w:bookmarkStart w:id="504" w:name="_Toc234927707"/>
      <w:bookmarkStart w:id="505" w:name="_Toc61013115"/>
      <w:bookmarkStart w:id="506" w:name="_Toc76395505"/>
      <w:bookmarkStart w:id="507" w:name="_Toc61013730"/>
      <w:bookmarkStart w:id="508" w:name="_Toc61013525"/>
      <w:bookmarkStart w:id="509" w:name="_Toc61012639"/>
      <w:r>
        <w:rPr>
          <w:rFonts w:cs="Times New Roman"/>
        </w:rPr>
        <w:t>服务期满后环境影响</w:t>
      </w:r>
      <w:bookmarkEnd w:id="495"/>
      <w:bookmarkEnd w:id="496"/>
      <w:bookmarkEnd w:id="497"/>
      <w:bookmarkEnd w:id="498"/>
      <w:bookmarkEnd w:id="499"/>
      <w:r>
        <w:rPr>
          <w:rFonts w:cs="Times New Roman"/>
        </w:rPr>
        <w:t>分析</w:t>
      </w:r>
      <w:bookmarkEnd w:id="500"/>
      <w:bookmarkEnd w:id="501"/>
      <w:bookmarkEnd w:id="502"/>
      <w:bookmarkEnd w:id="503"/>
      <w:bookmarkEnd w:id="504"/>
      <w:bookmarkEnd w:id="505"/>
      <w:bookmarkEnd w:id="506"/>
      <w:bookmarkEnd w:id="507"/>
      <w:bookmarkEnd w:id="508"/>
      <w:bookmarkEnd w:id="509"/>
    </w:p>
    <w:p w14:paraId="2E1100F0">
      <w:pPr>
        <w:pStyle w:val="4"/>
        <w:spacing w:before="180" w:after="120"/>
      </w:pPr>
      <w:r>
        <w:rPr>
          <w:rFonts w:hint="eastAsia"/>
        </w:rPr>
        <w:t>生态环境影响分析</w:t>
      </w:r>
    </w:p>
    <w:p w14:paraId="6A317CDA">
      <w:pPr>
        <w:ind w:firstLine="480"/>
      </w:pPr>
      <w:r>
        <w:t>闭矿期主要影响包括矿山衰竭至报废的时段，与开采期相比对自然环境诸要素的影响将趋于减缓，主要体现在：</w:t>
      </w:r>
    </w:p>
    <w:p w14:paraId="7E45DCF7">
      <w:pPr>
        <w:ind w:firstLine="480"/>
      </w:pPr>
      <w:r>
        <w:t>（1）矿区地表变化的环境问题将随着开采活动的减少而停止或逐渐趋于稳定。</w:t>
      </w:r>
    </w:p>
    <w:p w14:paraId="05935269">
      <w:pPr>
        <w:ind w:firstLine="480"/>
      </w:pPr>
      <w:r>
        <w:t>（2）随着资源的枯竭，与矿区等有关矿山开采的各产污设备也将完成其服务功能；因此，这些产污环节也将减弱或消失，如设备噪声、环境空气污染等，区域环境质量将随之好转。</w:t>
      </w:r>
    </w:p>
    <w:p w14:paraId="37D22CE2">
      <w:pPr>
        <w:ind w:firstLine="480"/>
      </w:pPr>
      <w:r>
        <w:t>（3）本项目所属矿山在闭矿后将对工业广场、排土场、矿区采场等进行复垦或绿化，所贮存的固体废物的性质趋于稳定，对环境的不利影响将逐步消失，工业占地表面造地、复垦绿化的完成，使得生态环境得到恢复。</w:t>
      </w:r>
    </w:p>
    <w:p w14:paraId="33D8B468">
      <w:pPr>
        <w:ind w:firstLine="480"/>
      </w:pPr>
      <w:r>
        <w:t>本项目闭矿后将按生态恢复方案，进行植被恢复，原有地面设施拆除后进行覆土，再种植林木。随着工业场地覆土造林后，森林生态环境逐渐恢复，野生动物对项目区生境将逐渐适应并迁徙到项目区。</w:t>
      </w:r>
    </w:p>
    <w:p w14:paraId="7EF6A5A6">
      <w:pPr>
        <w:ind w:firstLine="480"/>
      </w:pPr>
      <w:r>
        <w:t>矿山服务期满后，通过对矿区采场及排土场等进行生态恢复，通过人为的措施恢复由于采矿及排土场所占用的土地、破坏的植被，重建新的植物群落。矿山闭矿后按照水土保持的要求进行绿化，排土场服务完后进行土地整理和生态恢复。建议业主方充分利用矿山服务期满后的地形地貌，保持自然长期进行修复，目标是建立人工复合生态系统，维护和增强矿区的可持续发展能力，达到资源的充分利用与最优化配置，恢复后的生态系统整体上没有发生大的变化，经过一段时间后，项目区的生态环境将逐渐趋近于项目建设前的原生状态。</w:t>
      </w:r>
    </w:p>
    <w:p w14:paraId="1B965692">
      <w:pPr>
        <w:pStyle w:val="4"/>
        <w:spacing w:before="180" w:after="120"/>
        <w:rPr>
          <w:bCs/>
        </w:rPr>
      </w:pPr>
      <w:r>
        <w:rPr>
          <w:rFonts w:hint="eastAsia"/>
        </w:rPr>
        <w:t>大气环境影响分析</w:t>
      </w:r>
    </w:p>
    <w:p w14:paraId="3DE4FCAB">
      <w:pPr>
        <w:ind w:left="480" w:firstLine="0" w:firstLineChars="0"/>
      </w:pPr>
      <w:r>
        <w:rPr>
          <w:rFonts w:hint="eastAsia"/>
        </w:rPr>
        <w:t>项目闭矿后，本项目不再产生大气污染物，对周边大气环境无影响。</w:t>
      </w:r>
    </w:p>
    <w:p w14:paraId="6D30BAB1">
      <w:pPr>
        <w:pStyle w:val="4"/>
        <w:spacing w:before="180" w:after="120"/>
        <w:rPr>
          <w:bCs/>
        </w:rPr>
      </w:pPr>
      <w:bookmarkStart w:id="510" w:name="_bookmark87"/>
      <w:bookmarkEnd w:id="510"/>
      <w:bookmarkStart w:id="511" w:name="4.3.3水环境影响分析"/>
      <w:bookmarkEnd w:id="511"/>
      <w:bookmarkStart w:id="512" w:name="_Toc30527"/>
      <w:r>
        <w:rPr>
          <w:rFonts w:hint="eastAsia"/>
        </w:rPr>
        <w:t>水环境影响分析</w:t>
      </w:r>
      <w:bookmarkEnd w:id="512"/>
    </w:p>
    <w:p w14:paraId="79CAAE48">
      <w:pPr>
        <w:ind w:firstLine="480"/>
      </w:pPr>
      <w:r>
        <w:rPr>
          <w:rFonts w:hint="eastAsia"/>
        </w:rPr>
        <w:t>项目闭矿后，不再产生废水，对地下水不会产生影响。</w:t>
      </w:r>
    </w:p>
    <w:p w14:paraId="4D359DB8">
      <w:pPr>
        <w:pStyle w:val="4"/>
        <w:spacing w:before="180" w:after="120"/>
        <w:rPr>
          <w:bCs/>
        </w:rPr>
      </w:pPr>
      <w:bookmarkStart w:id="513" w:name="4.3.4固废影响分析"/>
      <w:bookmarkEnd w:id="513"/>
      <w:bookmarkStart w:id="514" w:name="_bookmark88"/>
      <w:bookmarkEnd w:id="514"/>
      <w:bookmarkStart w:id="515" w:name="_Toc32073"/>
      <w:r>
        <w:rPr>
          <w:rFonts w:hint="eastAsia"/>
        </w:rPr>
        <w:t>固废影响分析</w:t>
      </w:r>
      <w:bookmarkEnd w:id="515"/>
    </w:p>
    <w:p w14:paraId="4B8C0A8E">
      <w:pPr>
        <w:ind w:firstLine="480"/>
      </w:pPr>
      <w:r>
        <w:rPr>
          <w:rFonts w:hint="eastAsia"/>
        </w:rPr>
        <w:t>项目闭矿后，不再产生采矿废石、生活垃圾、矿井涌水沉淀污泥等固废。</w:t>
      </w:r>
    </w:p>
    <w:p w14:paraId="3F42D0D2">
      <w:pPr>
        <w:pStyle w:val="4"/>
        <w:spacing w:before="180" w:after="120"/>
        <w:rPr>
          <w:bCs/>
        </w:rPr>
      </w:pPr>
      <w:bookmarkStart w:id="516" w:name="_bookmark89"/>
      <w:bookmarkEnd w:id="516"/>
      <w:bookmarkStart w:id="517" w:name="4.3.5声环境影响分析"/>
      <w:bookmarkEnd w:id="517"/>
      <w:bookmarkStart w:id="518" w:name="_Toc29626"/>
      <w:r>
        <w:rPr>
          <w:rFonts w:hint="eastAsia"/>
        </w:rPr>
        <w:t>声环境影响分析</w:t>
      </w:r>
      <w:bookmarkEnd w:id="518"/>
    </w:p>
    <w:p w14:paraId="3CEB983E">
      <w:pPr>
        <w:ind w:firstLine="480"/>
      </w:pPr>
      <w:r>
        <w:rPr>
          <w:rFonts w:hint="eastAsia"/>
        </w:rPr>
        <w:t>闭矿后所有机械设备均停止使用，无运输进出，对周边声环境不再产生影响。</w:t>
      </w:r>
    </w:p>
    <w:p w14:paraId="46BCE1A1">
      <w:pPr>
        <w:pStyle w:val="4"/>
        <w:spacing w:before="180" w:after="120"/>
        <w:rPr>
          <w:bCs/>
        </w:rPr>
      </w:pPr>
      <w:bookmarkStart w:id="519" w:name="4.3.7小结"/>
      <w:bookmarkEnd w:id="519"/>
      <w:bookmarkStart w:id="520" w:name="_bookmark90"/>
      <w:bookmarkEnd w:id="520"/>
      <w:bookmarkStart w:id="521" w:name="_Toc2660"/>
      <w:r>
        <w:rPr>
          <w:rFonts w:hint="eastAsia"/>
        </w:rPr>
        <w:t>小结</w:t>
      </w:r>
      <w:bookmarkEnd w:id="521"/>
    </w:p>
    <w:p w14:paraId="0D090376">
      <w:pPr>
        <w:ind w:firstLine="480"/>
      </w:pPr>
      <w:r>
        <w:rPr>
          <w:rFonts w:hint="eastAsia"/>
        </w:rPr>
        <w:t>本项目矿体服务年限为10年，在项目运营期间，建设单位需要按照环评的要求，对各工程区域采取了工程措施及植物措施，对施工期所造成的生态破坏进行恢复，水土流失得到了有效控制，各产尘点的产尘量及影响大大降低。矿山服务期满停止运营后，随着企业的生产、生活活动的终止，依据该项目土地复垦方案，对采矿区、工业场地等工程区域进行种草，改善矿区自然环境，对原有破坏进行补偿，恢复项目区植被及自然景观。闭矿并采取以上各项措施后，项目区的生态环境将得到逐步改善和恢复。</w:t>
      </w:r>
    </w:p>
    <w:p w14:paraId="5C0A6E74">
      <w:pPr>
        <w:ind w:firstLine="480"/>
      </w:pPr>
    </w:p>
    <w:p w14:paraId="61E87988">
      <w:pPr>
        <w:ind w:firstLine="480"/>
        <w:sectPr>
          <w:pgSz w:w="11850" w:h="16783"/>
          <w:pgMar w:top="1440" w:right="1797" w:bottom="1440" w:left="1797" w:header="851" w:footer="992" w:gutter="0"/>
          <w:cols w:space="720" w:num="1"/>
          <w:docGrid w:linePitch="312" w:charSpace="0"/>
        </w:sectPr>
      </w:pPr>
    </w:p>
    <w:p w14:paraId="50B6C5C8">
      <w:pPr>
        <w:pStyle w:val="2"/>
        <w:spacing w:before="120" w:after="180"/>
        <w:rPr>
          <w:rStyle w:val="137"/>
          <w:rFonts w:eastAsia="仿宋_GB2312" w:cs="Times New Roman"/>
          <w:b/>
          <w:bCs/>
          <w:kern w:val="2"/>
          <w:szCs w:val="32"/>
        </w:rPr>
      </w:pPr>
      <w:bookmarkStart w:id="522" w:name="_Toc488312413"/>
      <w:bookmarkStart w:id="523" w:name="_Toc61013526"/>
      <w:bookmarkStart w:id="524" w:name="_Toc61013731"/>
      <w:bookmarkStart w:id="525" w:name="_Toc234927708"/>
      <w:bookmarkStart w:id="526" w:name="_Toc61013321"/>
      <w:bookmarkStart w:id="527" w:name="_Toc76395506"/>
      <w:bookmarkStart w:id="528" w:name="_Toc61012640"/>
      <w:bookmarkStart w:id="529" w:name="_Toc61013116"/>
      <w:bookmarkStart w:id="530" w:name="_Toc12649379"/>
      <w:bookmarkStart w:id="531" w:name="_Toc61012962"/>
      <w:bookmarkStart w:id="532" w:name="_Toc61013936"/>
      <w:r>
        <w:rPr>
          <w:rStyle w:val="137"/>
          <w:rFonts w:eastAsia="仿宋_GB2312" w:cs="Times New Roman"/>
          <w:b/>
          <w:bCs/>
          <w:kern w:val="2"/>
          <w:szCs w:val="32"/>
        </w:rPr>
        <w:t>环境保护措施及其可行性</w:t>
      </w:r>
      <w:bookmarkEnd w:id="522"/>
      <w:r>
        <w:rPr>
          <w:rStyle w:val="137"/>
          <w:rFonts w:eastAsia="仿宋_GB2312" w:cs="Times New Roman"/>
          <w:b/>
          <w:bCs/>
          <w:kern w:val="2"/>
          <w:szCs w:val="32"/>
        </w:rPr>
        <w:t>论证</w:t>
      </w:r>
      <w:bookmarkEnd w:id="523"/>
      <w:bookmarkEnd w:id="524"/>
      <w:bookmarkEnd w:id="525"/>
      <w:bookmarkEnd w:id="526"/>
      <w:bookmarkEnd w:id="527"/>
      <w:bookmarkEnd w:id="528"/>
      <w:bookmarkEnd w:id="529"/>
      <w:bookmarkEnd w:id="530"/>
      <w:bookmarkEnd w:id="531"/>
      <w:bookmarkEnd w:id="532"/>
    </w:p>
    <w:p w14:paraId="5974B4E4">
      <w:pPr>
        <w:pStyle w:val="3"/>
        <w:spacing w:before="180" w:after="120"/>
        <w:rPr>
          <w:rFonts w:cs="Times New Roman"/>
        </w:rPr>
      </w:pPr>
      <w:bookmarkStart w:id="533" w:name="_Toc234927709"/>
      <w:bookmarkStart w:id="534" w:name="_Toc12649386"/>
      <w:bookmarkStart w:id="535" w:name="_Toc61012647"/>
      <w:bookmarkStart w:id="536" w:name="_Toc61013328"/>
      <w:bookmarkStart w:id="537" w:name="_Toc61013738"/>
      <w:bookmarkStart w:id="538" w:name="_Toc61013943"/>
      <w:bookmarkStart w:id="539" w:name="_Toc61013123"/>
      <w:bookmarkStart w:id="540" w:name="_Toc61013533"/>
      <w:r>
        <w:rPr>
          <w:rFonts w:cs="Times New Roman"/>
          <w:bCs/>
        </w:rPr>
        <w:t>施工期环境保护措施及其可行性论证</w:t>
      </w:r>
      <w:bookmarkEnd w:id="533"/>
    </w:p>
    <w:p w14:paraId="62DED669">
      <w:pPr>
        <w:pStyle w:val="4"/>
        <w:spacing w:before="180" w:after="120"/>
      </w:pPr>
      <w:r>
        <w:t>大气污染防治措施</w:t>
      </w:r>
    </w:p>
    <w:bookmarkEnd w:id="534"/>
    <w:bookmarkEnd w:id="535"/>
    <w:bookmarkEnd w:id="536"/>
    <w:bookmarkEnd w:id="537"/>
    <w:bookmarkEnd w:id="538"/>
    <w:bookmarkEnd w:id="539"/>
    <w:bookmarkEnd w:id="540"/>
    <w:p w14:paraId="01910CA4">
      <w:pPr>
        <w:ind w:firstLine="480"/>
      </w:pPr>
      <w:r>
        <w:t>本项目施工阶段大气污染源主要包括施工机械、燃油、运输车辆等生产过程中产生的废气。具体分析如下：</w:t>
      </w:r>
    </w:p>
    <w:p w14:paraId="775DF82B">
      <w:pPr>
        <w:ind w:firstLine="480"/>
      </w:pPr>
      <w:r>
        <w:t>（1）施工机械排放的废气</w:t>
      </w:r>
    </w:p>
    <w:p w14:paraId="29DC0402">
      <w:pPr>
        <w:ind w:firstLine="480"/>
      </w:pPr>
      <w:r>
        <w:t>工程大多数施工机械以汽油和柴油为燃料，废气中有害物主要有CO、NO</w:t>
      </w:r>
      <w:r>
        <w:rPr>
          <w:vertAlign w:val="subscript"/>
        </w:rPr>
        <w:t>x</w:t>
      </w:r>
      <w:r>
        <w:t>和烃类。加强对机械、车辆的维修保养，禁止以柴油为燃料的施工机械超负荷工作，减少</w:t>
      </w:r>
      <w:r>
        <w:rPr>
          <w:rFonts w:hint="eastAsia"/>
        </w:rPr>
        <w:t>烟雾</w:t>
      </w:r>
      <w:r>
        <w:t>和颗粒物排放。</w:t>
      </w:r>
    </w:p>
    <w:p w14:paraId="6C862C03">
      <w:pPr>
        <w:ind w:firstLine="480"/>
      </w:pPr>
      <w:r>
        <w:t>（2）施工产生的粉尘</w:t>
      </w:r>
    </w:p>
    <w:p w14:paraId="763A3694">
      <w:pPr>
        <w:ind w:firstLine="480"/>
      </w:pPr>
      <w:r>
        <w:t>工程建设期间，场地平整及公路运输等均将产生大量粉尘。粉尘治理措施如下：</w:t>
      </w:r>
    </w:p>
    <w:p w14:paraId="18A82672">
      <w:pPr>
        <w:ind w:firstLine="480"/>
      </w:pPr>
      <w:r>
        <w:rPr>
          <w:rFonts w:hint="eastAsia" w:ascii="宋体" w:hAnsi="宋体"/>
        </w:rPr>
        <w:t>①</w:t>
      </w:r>
      <w:r>
        <w:t>施工场地、道路采取</w:t>
      </w:r>
      <w:r>
        <w:rPr>
          <w:rFonts w:hint="eastAsia"/>
        </w:rPr>
        <w:t>洒水</w:t>
      </w:r>
      <w:r>
        <w:t>和清扫措施抑尘；</w:t>
      </w:r>
    </w:p>
    <w:p w14:paraId="47D87BA1">
      <w:pPr>
        <w:ind w:firstLine="480"/>
        <w:rPr>
          <w:rFonts w:ascii="宋体" w:hAnsi="宋体"/>
        </w:rPr>
      </w:pPr>
      <w:r>
        <w:rPr>
          <w:rFonts w:hint="eastAsia" w:ascii="宋体" w:hAnsi="宋体"/>
        </w:rPr>
        <w:t>②</w:t>
      </w:r>
      <w:r>
        <w:t>施工过程中对散装物料和矿石的运输加盖篷布，适时在施工裸露面洒水降尘。</w:t>
      </w:r>
    </w:p>
    <w:p w14:paraId="12A983FA">
      <w:pPr>
        <w:ind w:firstLine="480"/>
      </w:pPr>
      <w:r>
        <w:rPr>
          <w:rFonts w:hint="eastAsia" w:ascii="宋体" w:hAnsi="宋体"/>
        </w:rPr>
        <w:t>③</w:t>
      </w:r>
      <w:r>
        <w:t>加强施工人员环保教育，在施工场地张贴文明施工标语，坚持文明施工科学施工。</w:t>
      </w:r>
    </w:p>
    <w:p w14:paraId="5270B6F4">
      <w:pPr>
        <w:ind w:firstLine="480"/>
        <w:rPr>
          <w:rFonts w:hAnsi="Times New Roman" w:eastAsia="宋体"/>
          <w:lang w:val="zh-CN"/>
        </w:rPr>
      </w:pPr>
      <w:r>
        <w:rPr>
          <w:rFonts w:hAnsi="Times New Roman"/>
        </w:rPr>
        <w:t>通过采取上述措施后本项目施工期扬尘对周围环境的影响会大大降低，施工期对大气环境的影响暂时的，随着施工活动结束，影响消除，不会遗留环境问题，本项目采取的环保措施可行</w:t>
      </w:r>
      <w:r>
        <w:rPr>
          <w:rFonts w:hAnsi="Times New Roman" w:eastAsia="宋体"/>
          <w:lang w:val="zh-CN"/>
        </w:rPr>
        <w:t>。</w:t>
      </w:r>
    </w:p>
    <w:p w14:paraId="083AAEDF">
      <w:pPr>
        <w:pStyle w:val="4"/>
        <w:spacing w:before="180" w:after="120"/>
        <w:rPr>
          <w:rFonts w:hAnsi="Times New Roman" w:cs="Times New Roman"/>
        </w:rPr>
      </w:pPr>
      <w:bookmarkStart w:id="541" w:name="_Toc61013124"/>
      <w:bookmarkStart w:id="542" w:name="_Toc12649387"/>
      <w:bookmarkStart w:id="543" w:name="_Toc61013739"/>
      <w:bookmarkStart w:id="544" w:name="_Toc61013329"/>
      <w:bookmarkStart w:id="545" w:name="_Toc61012648"/>
      <w:bookmarkStart w:id="546" w:name="_Toc61013944"/>
      <w:bookmarkStart w:id="547" w:name="_Toc61013534"/>
      <w:r>
        <w:rPr>
          <w:rFonts w:hAnsi="Times New Roman" w:cs="Times New Roman"/>
        </w:rPr>
        <w:t>地表水污染防治措施</w:t>
      </w:r>
    </w:p>
    <w:p w14:paraId="38B23E9F">
      <w:pPr>
        <w:ind w:firstLine="480"/>
      </w:pPr>
      <w:r>
        <w:t>本项目施工期主要为</w:t>
      </w:r>
      <w:r>
        <w:rPr>
          <w:rFonts w:hint="eastAsia"/>
        </w:rPr>
        <w:t>截洪沟建设</w:t>
      </w:r>
      <w:r>
        <w:t>，工程量较小，没有施工废水产生。施工人员生活污水主要污染物为pH、氨氮、SS、COD及BOD</w:t>
      </w:r>
      <w:r>
        <w:rPr>
          <w:vertAlign w:val="subscript"/>
        </w:rPr>
        <w:t>5</w:t>
      </w:r>
      <w:r>
        <w:t>，生活污水排入防渗旱厕，定期清掏，外运堆肥，可保证本项目施工期生活污水不外排，对环境影响很小，本项目采取的环保措施可行。</w:t>
      </w:r>
    </w:p>
    <w:p w14:paraId="70AD2812">
      <w:pPr>
        <w:pStyle w:val="4"/>
        <w:spacing w:beforeLines="0" w:after="120" w:line="360" w:lineRule="auto"/>
        <w:jc w:val="both"/>
        <w:rPr>
          <w:rFonts w:hAnsi="Times New Roman"/>
          <w:sz w:val="28"/>
          <w:szCs w:val="28"/>
        </w:rPr>
      </w:pPr>
      <w:r>
        <w:rPr>
          <w:rFonts w:hAnsi="Times New Roman"/>
          <w:sz w:val="28"/>
          <w:szCs w:val="28"/>
        </w:rPr>
        <w:t>噪声污染防治措施及其可行性论证</w:t>
      </w:r>
    </w:p>
    <w:p w14:paraId="491BCD79">
      <w:pPr>
        <w:ind w:firstLine="480"/>
      </w:pPr>
      <w:bookmarkStart w:id="548" w:name="_Toc340781389"/>
      <w:bookmarkStart w:id="549" w:name="_Toc363483369"/>
      <w:bookmarkStart w:id="550" w:name="_Toc352155591"/>
      <w:bookmarkStart w:id="551" w:name="_Toc117245606"/>
      <w:bookmarkStart w:id="552" w:name="_Toc352156327"/>
      <w:bookmarkStart w:id="553" w:name="_Toc352156875"/>
      <w:bookmarkStart w:id="554" w:name="_Toc340781783"/>
      <w:bookmarkStart w:id="555" w:name="_Toc352156089"/>
      <w:bookmarkStart w:id="556" w:name="_Toc352157054"/>
      <w:bookmarkStart w:id="557" w:name="_Toc378074179"/>
      <w:r>
        <w:t>（1）建设单位应合理安排</w:t>
      </w:r>
      <w:r>
        <w:rPr>
          <w:rFonts w:hint="eastAsia"/>
        </w:rPr>
        <w:t>施工</w:t>
      </w:r>
      <w:r>
        <w:t>作业时间，尽量避免高噪声设备同时运行；</w:t>
      </w:r>
    </w:p>
    <w:p w14:paraId="59CC57F2">
      <w:pPr>
        <w:ind w:firstLine="480"/>
      </w:pPr>
      <w:r>
        <w:t>（2）优先选用低噪声设备，做好施工机械的维护和保养，有效降低机械设备运转时噪声源强；</w:t>
      </w:r>
    </w:p>
    <w:p w14:paraId="040ABB59">
      <w:pPr>
        <w:ind w:firstLine="480"/>
      </w:pPr>
      <w:r>
        <w:t>（3）加强运输车辆管理，严禁超速超载。</w:t>
      </w:r>
    </w:p>
    <w:p w14:paraId="511F29E1">
      <w:pPr>
        <w:ind w:firstLine="480"/>
      </w:pPr>
      <w:r>
        <w:t>采取上述措施，加上距离的衰减，可保证施工场界噪声排放满足《建筑施工噪声排放标准》（GB12523-2025），项目采取的声环境保护措施可行。</w:t>
      </w:r>
    </w:p>
    <w:bookmarkEnd w:id="548"/>
    <w:bookmarkEnd w:id="549"/>
    <w:bookmarkEnd w:id="550"/>
    <w:bookmarkEnd w:id="551"/>
    <w:bookmarkEnd w:id="552"/>
    <w:bookmarkEnd w:id="553"/>
    <w:bookmarkEnd w:id="554"/>
    <w:bookmarkEnd w:id="555"/>
    <w:bookmarkEnd w:id="556"/>
    <w:p w14:paraId="25A39A46">
      <w:pPr>
        <w:pStyle w:val="4"/>
        <w:spacing w:beforeLines="0" w:after="120" w:line="360" w:lineRule="auto"/>
        <w:jc w:val="both"/>
        <w:rPr>
          <w:rFonts w:hAnsi="Times New Roman"/>
          <w:sz w:val="28"/>
          <w:szCs w:val="28"/>
        </w:rPr>
      </w:pPr>
      <w:r>
        <w:rPr>
          <w:rFonts w:hAnsi="Times New Roman"/>
          <w:sz w:val="28"/>
          <w:szCs w:val="28"/>
        </w:rPr>
        <w:t>固体废物污染防治措施</w:t>
      </w:r>
      <w:bookmarkEnd w:id="557"/>
      <w:r>
        <w:rPr>
          <w:rFonts w:hAnsi="Times New Roman"/>
          <w:sz w:val="28"/>
          <w:szCs w:val="28"/>
        </w:rPr>
        <w:t>及其可行性论证</w:t>
      </w:r>
    </w:p>
    <w:p w14:paraId="379EE91A">
      <w:pPr>
        <w:ind w:firstLine="480"/>
      </w:pPr>
      <w:r>
        <w:t>施工期施工人员生活垃圾堆放于临时生活垃圾箱内，定期清运。</w:t>
      </w:r>
      <w:r>
        <w:rPr>
          <w:rFonts w:hint="eastAsia"/>
        </w:rPr>
        <w:t>贮水池沉渣用于矿坑土地平整。隔油池废油脂交由有资质单位回收处置。</w:t>
      </w:r>
      <w:r>
        <w:t>采取上述措施，可妥善处置施工期固体废物，控制其对环境影响，固体废物处置措施可行。</w:t>
      </w:r>
    </w:p>
    <w:p w14:paraId="7972AE63">
      <w:pPr>
        <w:pStyle w:val="4"/>
        <w:spacing w:before="180" w:after="120"/>
      </w:pPr>
      <w:r>
        <w:t>施工期生态环境保护措施及其可行性论证</w:t>
      </w:r>
    </w:p>
    <w:p w14:paraId="75AB8F49">
      <w:pPr>
        <w:pStyle w:val="5"/>
        <w:spacing w:before="120" w:after="120"/>
      </w:pPr>
      <w:r>
        <w:t>施工期</w:t>
      </w:r>
      <w:r>
        <w:rPr>
          <w:rFonts w:hint="eastAsia"/>
        </w:rPr>
        <w:t>植物保护措施</w:t>
      </w:r>
    </w:p>
    <w:p w14:paraId="2C90E4B9">
      <w:pPr>
        <w:ind w:firstLine="480"/>
      </w:pPr>
      <w:r>
        <w:t>（1）施工开始前，对施工人员和管理人员普及和讲解有关生态环境保护的相关知识，禁止施工人员在施工过程中避免乱占耕地和破坏树木，尽可能减小和消除对生态环境的影响范围和程度</w:t>
      </w:r>
      <w:r>
        <w:rPr>
          <w:rFonts w:hint="eastAsia"/>
        </w:rPr>
        <w:t>；</w:t>
      </w:r>
    </w:p>
    <w:p w14:paraId="6401E4CB">
      <w:pPr>
        <w:ind w:firstLine="480"/>
      </w:pPr>
      <w:r>
        <w:rPr>
          <w:rFonts w:hint="eastAsia"/>
        </w:rPr>
        <w:t>（2）优化施工方案，合理安排施工进度，避开雨天施工；</w:t>
      </w:r>
    </w:p>
    <w:p w14:paraId="74E2AF8C">
      <w:pPr>
        <w:ind w:firstLine="480"/>
      </w:pPr>
      <w:r>
        <w:t>（3）严格控制施工占地，减少对地表植被的破坏；在施工过程中，严格按照设计和施工规划尽可能减少占地，各种施工活动严格控制在施工区域内，以免破坏本区的生态环境。</w:t>
      </w:r>
    </w:p>
    <w:p w14:paraId="4C795BD6">
      <w:pPr>
        <w:ind w:firstLine="480"/>
      </w:pPr>
      <w:r>
        <w:rPr>
          <w:rFonts w:hint="eastAsia"/>
        </w:rPr>
        <w:t>（4）施工过程中严格按设计规定的表土堆场进行弃土作业；严格控制表土堆场面积，不得随意扩大表土堆场范围及破坏周围植被；</w:t>
      </w:r>
    </w:p>
    <w:p w14:paraId="2543E27A">
      <w:pPr>
        <w:ind w:firstLine="480"/>
      </w:pPr>
      <w:r>
        <w:rPr>
          <w:rFonts w:hint="eastAsia"/>
        </w:rPr>
        <w:t>（5）施工期采取措施抑制施工扬尘，减轻对植被生长的影响；</w:t>
      </w:r>
    </w:p>
    <w:p w14:paraId="71829468">
      <w:pPr>
        <w:ind w:firstLine="480"/>
      </w:pPr>
      <w:r>
        <w:rPr>
          <w:rFonts w:hint="eastAsia"/>
        </w:rPr>
        <w:t>（6）施工占用林地，建设单位应当按照《中华人民共和国森林法》、《森林法实施条例》等相关法律法规办理项目征占用林地手续后方可开工建设。永久占用的林地按黑龙江省物价局、财政厅（黑价联字</w:t>
      </w:r>
      <w:r>
        <w:rPr>
          <w:rFonts w:hint="eastAsia" w:ascii="宋体" w:hAnsi="宋体" w:eastAsia="宋体"/>
        </w:rPr>
        <w:t>〔</w:t>
      </w:r>
      <w:r>
        <w:rPr>
          <w:rFonts w:hint="eastAsia"/>
        </w:rPr>
        <w:t>2009</w:t>
      </w:r>
      <w:r>
        <w:rPr>
          <w:rFonts w:hint="eastAsia" w:ascii="宋体" w:hAnsi="宋体" w:eastAsia="宋体"/>
        </w:rPr>
        <w:t>〕</w:t>
      </w:r>
      <w:r>
        <w:rPr>
          <w:rFonts w:hint="eastAsia"/>
        </w:rPr>
        <w:t>27号）文件，对占用林地所有人进行经济补偿；森林植被恢复费依据省财政厅、林业厅《关于调整森林植被恢复费征收标准的通知》（黑财农</w:t>
      </w:r>
      <w:r>
        <w:rPr>
          <w:rFonts w:hint="eastAsia" w:ascii="宋体" w:hAnsi="宋体" w:eastAsia="宋体"/>
        </w:rPr>
        <w:t>〔</w:t>
      </w:r>
      <w:r>
        <w:rPr>
          <w:rFonts w:hint="eastAsia"/>
        </w:rPr>
        <w:t>2016</w:t>
      </w:r>
      <w:r>
        <w:rPr>
          <w:rFonts w:hint="eastAsia" w:ascii="宋体" w:hAnsi="宋体" w:eastAsia="宋体"/>
        </w:rPr>
        <w:t>〕</w:t>
      </w:r>
      <w:r>
        <w:rPr>
          <w:rFonts w:hint="eastAsia"/>
        </w:rPr>
        <w:t>1号）财税</w:t>
      </w:r>
      <w:r>
        <w:rPr>
          <w:rFonts w:hint="eastAsia" w:ascii="宋体" w:hAnsi="宋体" w:eastAsia="宋体"/>
        </w:rPr>
        <w:t>〔</w:t>
      </w:r>
      <w:r>
        <w:rPr>
          <w:rFonts w:hint="eastAsia"/>
        </w:rPr>
        <w:t>2015</w:t>
      </w:r>
      <w:r>
        <w:rPr>
          <w:rFonts w:hint="eastAsia" w:ascii="宋体" w:hAnsi="宋体" w:eastAsia="宋体"/>
        </w:rPr>
        <w:t>〕</w:t>
      </w:r>
      <w:r>
        <w:rPr>
          <w:rFonts w:hint="eastAsia"/>
        </w:rPr>
        <w:t>122号进行预交；建设单位对占用林地区域进行植被恢复。</w:t>
      </w:r>
    </w:p>
    <w:p w14:paraId="06DC2B20">
      <w:pPr>
        <w:pStyle w:val="5"/>
        <w:spacing w:before="120" w:after="120"/>
      </w:pPr>
      <w:r>
        <w:t>施工期</w:t>
      </w:r>
      <w:r>
        <w:rPr>
          <w:rFonts w:hint="eastAsia"/>
        </w:rPr>
        <w:t>动物保护措施</w:t>
      </w:r>
    </w:p>
    <w:p w14:paraId="3B23AEF3">
      <w:pPr>
        <w:ind w:firstLine="480"/>
      </w:pPr>
      <w:r>
        <w:rPr>
          <w:rFonts w:hint="eastAsia"/>
        </w:rPr>
        <w:t>（1）</w:t>
      </w:r>
      <w:r>
        <w:t>提高施工人员的保护意识，严禁捕猎野生动物；施工人员必须遵守《中华人民共和国野生动物保护法》，严禁在施工区及其周围捕猎野生动物；施工过程中若发现</w:t>
      </w:r>
      <w:r>
        <w:rPr>
          <w:rFonts w:hint="eastAsia"/>
        </w:rPr>
        <w:t>国家级及省级</w:t>
      </w:r>
      <w:r>
        <w:t>重点保护动物，应及时进行护养或放归</w:t>
      </w:r>
      <w:r>
        <w:rPr>
          <w:rFonts w:hint="eastAsia"/>
        </w:rPr>
        <w:t>；</w:t>
      </w:r>
    </w:p>
    <w:p w14:paraId="093E0EF3">
      <w:pPr>
        <w:ind w:firstLine="480"/>
      </w:pPr>
      <w:r>
        <w:rPr>
          <w:rFonts w:hint="eastAsia"/>
        </w:rPr>
        <w:t>（2）</w:t>
      </w:r>
      <w:r>
        <w:t>根据施工总平面布置图确定施工用地范围，进行标桩划界，禁止施工人员、施工机械进入非施工占地区域；非施工区严禁烟火、狩猎和垂钓等活动；禁止施工人员野外用火，使对野生动物的干扰降至最低程度</w:t>
      </w:r>
      <w:r>
        <w:rPr>
          <w:rFonts w:hint="eastAsia"/>
        </w:rPr>
        <w:t>；</w:t>
      </w:r>
    </w:p>
    <w:p w14:paraId="53714311">
      <w:pPr>
        <w:ind w:firstLine="480"/>
      </w:pPr>
      <w:r>
        <w:rPr>
          <w:rFonts w:hint="eastAsia"/>
        </w:rPr>
        <w:t>（3）</w:t>
      </w:r>
      <w:r>
        <w:t>做好施工方案和工序安排，合理安排施工时间，尽可能避开野生动物繁殖期施工，避开晨昏、正午进行大规模、高噪声设备集中作业；加强施工管理，减少工程施工噪声对野生动物的惊扰。</w:t>
      </w:r>
      <w:r>
        <w:rPr>
          <w:rFonts w:hint="eastAsia"/>
        </w:rPr>
        <w:t>选用噪声低的施工机械，减少噪声对动物的影响；</w:t>
      </w:r>
    </w:p>
    <w:p w14:paraId="27300B7C">
      <w:pPr>
        <w:ind w:firstLine="480"/>
      </w:pPr>
      <w:r>
        <w:rPr>
          <w:rFonts w:hint="eastAsia"/>
        </w:rPr>
        <w:t>（4）施工后及时清除杂物，并运出现场。工程施工及施工后恢复期间，尽量保持施工现场的地形地貌，尤其要保持积水的坑、塘、沟的原始状态，不应填平，以保护两栖类动物生存、繁殖的生境。</w:t>
      </w:r>
    </w:p>
    <w:p w14:paraId="0EDB244B">
      <w:pPr>
        <w:ind w:firstLine="480"/>
      </w:pPr>
      <w:r>
        <w:rPr>
          <w:rFonts w:hint="eastAsia"/>
        </w:rPr>
        <w:t>（5）施工期间要规范生活污水处置及垃圾处理程序，使生态环境清洁健康，有助于本地动物种群的恢复。环境污染很多时候是累积的效应，因此要治理污染，节能减排，防微杜渐地营造健康生境；</w:t>
      </w:r>
    </w:p>
    <w:p w14:paraId="7FC8AC66">
      <w:pPr>
        <w:ind w:firstLine="480"/>
      </w:pPr>
      <w:r>
        <w:rPr>
          <w:rFonts w:hint="eastAsia"/>
        </w:rPr>
        <w:t>（6）</w:t>
      </w:r>
      <w:r>
        <w:t>加强工程建设环境保护监督管理、统筹安排，设立环境保护监督机构和环保专职人员，加强对施工人员的环保教育，严禁施工人员盗猎野生动物，对违法行为进行依法处置。</w:t>
      </w:r>
    </w:p>
    <w:p w14:paraId="3A7E550A">
      <w:pPr>
        <w:pStyle w:val="5"/>
        <w:spacing w:before="120" w:after="120"/>
      </w:pPr>
      <w:r>
        <w:rPr>
          <w:rFonts w:hint="eastAsia"/>
        </w:rPr>
        <w:t>水土保持措施</w:t>
      </w:r>
    </w:p>
    <w:p w14:paraId="6C64E90A">
      <w:pPr>
        <w:ind w:firstLine="480"/>
      </w:pPr>
      <w:r>
        <w:rPr>
          <w:rFonts w:hint="eastAsia"/>
        </w:rPr>
        <w:t>做好采矿区域水土保持工作，减少水土流失，施工中合理安排工期，尽量避免和减少雨季进行开挖，减少土石方堆放量，严格按照设计和水保措施进行施工，施工中应完善边沟、排截水沟等排水工程，保持排水通畅，施工中若造成堵塞，应及时清除。</w:t>
      </w:r>
    </w:p>
    <w:p w14:paraId="013FA79A">
      <w:pPr>
        <w:pStyle w:val="5"/>
        <w:spacing w:before="120" w:after="120"/>
      </w:pPr>
      <w:r>
        <w:rPr>
          <w:rFonts w:hint="eastAsia"/>
        </w:rPr>
        <w:t>景观影响保护措施</w:t>
      </w:r>
    </w:p>
    <w:p w14:paraId="7035DBE4">
      <w:pPr>
        <w:ind w:firstLine="480"/>
      </w:pPr>
      <w:r>
        <w:rPr>
          <w:rFonts w:hint="eastAsia"/>
        </w:rPr>
        <w:t>（1）保持施工场地干净、整洁，合理安排各种不同工序布局，保持场地内井然有序；</w:t>
      </w:r>
    </w:p>
    <w:p w14:paraId="7F55AD44">
      <w:pPr>
        <w:ind w:firstLine="480"/>
      </w:pPr>
      <w:r>
        <w:rPr>
          <w:rFonts w:hint="eastAsia"/>
        </w:rPr>
        <w:t>（2）施工结束后，对堆土场进行土地平整，及时植被恢复，重现原有景观；</w:t>
      </w:r>
    </w:p>
    <w:p w14:paraId="46A41BF9">
      <w:pPr>
        <w:ind w:firstLine="480"/>
      </w:pPr>
      <w:r>
        <w:rPr>
          <w:rFonts w:hint="eastAsia"/>
        </w:rPr>
        <w:t>（3）矿山运输道路沿线边坡在稳定前提下，顺应地形，宜采用以植物措施为主的柔性边坡生态防护方案，避免对景观产生不利影响。</w:t>
      </w:r>
    </w:p>
    <w:p w14:paraId="7CD80A57">
      <w:pPr>
        <w:pStyle w:val="5"/>
        <w:spacing w:before="120" w:after="120"/>
      </w:pPr>
      <w:r>
        <w:rPr>
          <w:rFonts w:hint="eastAsia"/>
        </w:rPr>
        <w:t>施工期生态影响减缓措施</w:t>
      </w:r>
    </w:p>
    <w:p w14:paraId="2AB8DD56">
      <w:pPr>
        <w:ind w:firstLine="480"/>
      </w:pPr>
      <w:r>
        <w:t>（1）减少挖方、填方量，尽量做到工程自身土石方平衡。施工期应避开雨天与大风天气，减少水土流失量。</w:t>
      </w:r>
    </w:p>
    <w:p w14:paraId="7A65E702">
      <w:pPr>
        <w:ind w:firstLine="480"/>
      </w:pPr>
      <w:r>
        <w:t>（2）施工完毕后应尽快清理施工现场，对可以进行植被恢复的场地覆盖表土，做到及时对场地绿化。</w:t>
      </w:r>
    </w:p>
    <w:p w14:paraId="0A11A7EC">
      <w:pPr>
        <w:ind w:firstLine="480"/>
      </w:pPr>
      <w:r>
        <w:t>（3）各施工场地施工时，在各开挖场地周围应采取临时拦挡措施。挖方及时回填，不能立即回填的，堆放在指定场所，并做好临时防挡措施。</w:t>
      </w:r>
    </w:p>
    <w:p w14:paraId="3D40CAC3">
      <w:pPr>
        <w:ind w:firstLine="480"/>
      </w:pPr>
      <w:r>
        <w:t>（4）制定严格的施工操作规范，建立施工期生态环境监理制度，严禁施工车辆随意开辟施工便道。</w:t>
      </w:r>
    </w:p>
    <w:p w14:paraId="702476E8">
      <w:pPr>
        <w:pStyle w:val="5"/>
        <w:spacing w:before="120" w:after="120"/>
      </w:pPr>
      <w:r>
        <w:rPr>
          <w:rFonts w:hint="eastAsia"/>
        </w:rPr>
        <w:t>施工期生态</w:t>
      </w:r>
      <w:r>
        <w:t>环境管理</w:t>
      </w:r>
    </w:p>
    <w:p w14:paraId="68DE4235">
      <w:pPr>
        <w:ind w:firstLine="480"/>
      </w:pPr>
      <w:r>
        <w:t>（1）施工前，施工方对施工人员和管理人员加强环境保护、野生动物保护的宣传教育，以公告、发放宣传册、施工区设置宣传牌等形式加大宣传力度，增强施工人员的环保意识和野生动植物保护意识。</w:t>
      </w:r>
    </w:p>
    <w:p w14:paraId="42C0979C">
      <w:pPr>
        <w:ind w:firstLine="480"/>
      </w:pPr>
      <w:r>
        <w:t>（2）野生动物保护：施工期间，向施工人员宣传《中华人民共和国野生动物保护法》，严禁捕杀或破坏野生动物。在施工过程中严禁施工人员捕杀飞经项目区附近的野生鸟类，禁止施工人员破坏鸟巢，捡拾鸟卵，捕捉幼鸟，禁止捕杀出没于工程附近的野生动物，防止乱捕滥猎。</w:t>
      </w:r>
    </w:p>
    <w:p w14:paraId="760B643E">
      <w:pPr>
        <w:ind w:firstLine="480"/>
      </w:pPr>
      <w:r>
        <w:t>（3）野生植物保护：合理的规划和严格的管理是施工期必要的减少影响的措施。在施工过程中，要教育施工人员保护施工区的林地，增强环保意识，严格执行施工规定，严禁占压施工区外的林地。在矿权范围内的林木如果没被建筑物占压，应保持原有的地貌。</w:t>
      </w:r>
    </w:p>
    <w:p w14:paraId="5905EDB3">
      <w:pPr>
        <w:pStyle w:val="3"/>
        <w:spacing w:before="180" w:after="120"/>
      </w:pPr>
      <w:bookmarkStart w:id="558" w:name="_Toc234927710"/>
      <w:r>
        <w:t>营运期环境保护措施及其可行性论证</w:t>
      </w:r>
      <w:bookmarkEnd w:id="558"/>
    </w:p>
    <w:p w14:paraId="051FD4F3">
      <w:pPr>
        <w:pStyle w:val="4"/>
        <w:spacing w:before="180" w:after="120"/>
        <w:rPr>
          <w:rFonts w:hAnsi="Times New Roman" w:cs="Times New Roman"/>
        </w:rPr>
      </w:pPr>
      <w:r>
        <w:rPr>
          <w:rFonts w:hAnsi="Times New Roman" w:cs="Times New Roman"/>
        </w:rPr>
        <w:t>运营期大气污染防治措施</w:t>
      </w:r>
      <w:bookmarkEnd w:id="541"/>
      <w:bookmarkEnd w:id="542"/>
      <w:bookmarkEnd w:id="543"/>
      <w:bookmarkEnd w:id="544"/>
      <w:bookmarkEnd w:id="545"/>
      <w:bookmarkEnd w:id="546"/>
      <w:bookmarkEnd w:id="547"/>
    </w:p>
    <w:p w14:paraId="5B8C7EAD">
      <w:pPr>
        <w:ind w:firstLine="480"/>
      </w:pPr>
      <w:r>
        <w:t>采剥工序采用移动式洒水装置进行洒水抑尘；运输车辆加盖篷布，装卸过程采用湿式作业；堆场采用苫布覆盖、洒水降尘；集堆铲装过程产生的粉尘采取洒水降尘。根据估算模式预测结果，无组织排放污染物经过自然风稀释扩散后，均能够满足《大气污染物综合排放标准》（GB16297-1996）表2无组织排放监控限值。</w:t>
      </w:r>
    </w:p>
    <w:p w14:paraId="54665986">
      <w:pPr>
        <w:ind w:firstLine="480"/>
      </w:pPr>
      <w:r>
        <w:t>本项目产生的大气污染物对周围环境影响较小，措施可行。</w:t>
      </w:r>
    </w:p>
    <w:p w14:paraId="06C74991">
      <w:pPr>
        <w:pStyle w:val="4"/>
        <w:spacing w:before="180" w:after="120"/>
      </w:pPr>
      <w:r>
        <w:t>废水污染防治措施及其可行性论证</w:t>
      </w:r>
    </w:p>
    <w:p w14:paraId="2C358A63">
      <w:pPr>
        <w:ind w:firstLine="480"/>
      </w:pPr>
      <w:r>
        <w:t>根据地势在</w:t>
      </w:r>
      <w:r>
        <w:rPr>
          <w:rFonts w:hint="eastAsia"/>
        </w:rPr>
        <w:t>矿区四周</w:t>
      </w:r>
      <w:r>
        <w:t>设置</w:t>
      </w:r>
      <w:r>
        <w:rPr>
          <w:lang w:bidi="en-US"/>
        </w:rPr>
        <w:t>底宽0.</w:t>
      </w:r>
      <w:r>
        <w:rPr>
          <w:rFonts w:hint="eastAsia"/>
          <w:lang w:bidi="en-US"/>
        </w:rPr>
        <w:t>6</w:t>
      </w:r>
      <w:r>
        <w:rPr>
          <w:lang w:bidi="en-US"/>
        </w:rPr>
        <w:t>m，深0.</w:t>
      </w:r>
      <w:r>
        <w:rPr>
          <w:rFonts w:hint="eastAsia"/>
          <w:lang w:bidi="en-US"/>
        </w:rPr>
        <w:t>5</w:t>
      </w:r>
      <w:r>
        <w:rPr>
          <w:lang w:bidi="en-US"/>
        </w:rPr>
        <w:t>m，</w:t>
      </w:r>
      <w:r>
        <w:rPr>
          <w:rFonts w:hint="eastAsia"/>
          <w:lang w:bidi="en-US"/>
        </w:rPr>
        <w:t>长</w:t>
      </w:r>
      <w:r>
        <w:rPr>
          <w:rFonts w:hint="eastAsia"/>
        </w:rPr>
        <w:t>1466</w:t>
      </w:r>
      <w:r>
        <w:t>m截流沟</w:t>
      </w:r>
      <w:r>
        <w:rPr>
          <w:szCs w:val="21"/>
        </w:rPr>
        <w:t>，</w:t>
      </w:r>
      <w:r>
        <w:t>截流沟排水导出矿区外；</w:t>
      </w:r>
      <w:r>
        <w:rPr>
          <w:rFonts w:hint="eastAsia"/>
          <w:kern w:val="0"/>
        </w:rPr>
        <w:t>本项目开采区雨水量为47.19L/s，</w:t>
      </w:r>
      <w:r>
        <w:t>暴雨情况下，</w:t>
      </w:r>
      <w:r>
        <w:rPr>
          <w:rFonts w:hint="eastAsia"/>
        </w:rPr>
        <w:t>30</w:t>
      </w:r>
      <w:r>
        <w:t>min汇水量为</w:t>
      </w:r>
      <w:r>
        <w:rPr>
          <w:rFonts w:hint="eastAsia"/>
          <w:snapToGrid w:val="0"/>
          <w:kern w:val="0"/>
        </w:rPr>
        <w:t>521.47</w:t>
      </w:r>
      <w:r>
        <w:t>m</w:t>
      </w:r>
      <w:r>
        <w:rPr>
          <w:vertAlign w:val="superscript"/>
        </w:rPr>
        <w:t>3</w:t>
      </w:r>
      <w:r>
        <w:rPr>
          <w:rFonts w:hint="eastAsia"/>
        </w:rPr>
        <w:t>。矿区内设导流渠，矿区汇水经导流渠汇入贮水池，收集后用于生产过程降尘。根据汇水量的1.2倍设计冗余，因此</w:t>
      </w:r>
      <w:r>
        <w:rPr>
          <w:rFonts w:hint="eastAsia"/>
          <w:kern w:val="0"/>
        </w:rPr>
        <w:t>本项目设置630m</w:t>
      </w:r>
      <w:r>
        <w:rPr>
          <w:rFonts w:hint="eastAsia"/>
          <w:kern w:val="0"/>
          <w:vertAlign w:val="superscript"/>
        </w:rPr>
        <w:t>3</w:t>
      </w:r>
      <w:r>
        <w:rPr>
          <w:rFonts w:hint="eastAsia"/>
          <w:kern w:val="0"/>
        </w:rPr>
        <w:t>贮水池收集矿区雨水，</w:t>
      </w:r>
      <w:r>
        <w:rPr>
          <w:rFonts w:hint="eastAsia"/>
        </w:rPr>
        <w:t>贮水池容积均满足要求。</w:t>
      </w:r>
      <w:r>
        <w:t>生活污水排入防渗旱厕，定期清掏，外运堆肥，不外排。</w:t>
      </w:r>
    </w:p>
    <w:p w14:paraId="02D10FF4">
      <w:pPr>
        <w:ind w:firstLine="480"/>
      </w:pPr>
      <w:r>
        <w:t>本项目运营可实现废水零排放。因此，项目产生的废水均得到合理处理与利用而无外排，对区域地表水环境不会产生显著性不良影响。</w:t>
      </w:r>
    </w:p>
    <w:p w14:paraId="3D0394EB">
      <w:pPr>
        <w:ind w:firstLine="480"/>
        <w:rPr>
          <w:szCs w:val="28"/>
        </w:rPr>
      </w:pPr>
      <w:r>
        <w:rPr>
          <w:szCs w:val="28"/>
        </w:rPr>
        <w:t>综上所述，本项目</w:t>
      </w:r>
      <w:r>
        <w:rPr>
          <w:rFonts w:hint="eastAsia"/>
          <w:szCs w:val="28"/>
        </w:rPr>
        <w:t>径流污水</w:t>
      </w:r>
      <w:r>
        <w:rPr>
          <w:szCs w:val="28"/>
        </w:rPr>
        <w:t>和生活污水均得到妥善处置，不会对地表水环境产生明显影响。</w:t>
      </w:r>
    </w:p>
    <w:p w14:paraId="0FA3D706">
      <w:pPr>
        <w:pStyle w:val="4"/>
        <w:spacing w:before="180" w:after="120"/>
      </w:pPr>
      <w:r>
        <w:t>噪声污染防治措施及其可行性论证</w:t>
      </w:r>
    </w:p>
    <w:p w14:paraId="7F26CDDE">
      <w:pPr>
        <w:ind w:firstLine="480"/>
      </w:pPr>
      <w:r>
        <w:rPr>
          <w:rFonts w:hint="eastAsia"/>
        </w:rPr>
        <w:t>挖掘、集堆、铲装时轻装轻放，尽量减少在铲装过程中产生的噪声；对运输交通噪声，禁止使用超过噪声限值的运输车辆，汽车运输机械设备应安装消声器和禁用高音喇叭，机动车辆必须加强维修和保养，保持技术性能良好。夜间不进行开采、铲装及运输等工程。</w:t>
      </w:r>
    </w:p>
    <w:p w14:paraId="6B90DB02">
      <w:pPr>
        <w:pStyle w:val="4"/>
        <w:spacing w:before="180" w:after="120"/>
      </w:pPr>
      <w:r>
        <w:t>固体废物污染防治措施及其可行性论证</w:t>
      </w:r>
    </w:p>
    <w:p w14:paraId="07744749">
      <w:pPr>
        <w:ind w:firstLine="480"/>
      </w:pPr>
      <w:r>
        <w:rPr>
          <w:rFonts w:hint="eastAsia"/>
        </w:rPr>
        <w:t>本项目施工机械故障后统一运至指定机械维修场所进行维修，不在现场进行修理，故项目现场无废机油产生。项目区设置垃圾箱，对现场人员的生活垃圾集中收集，由市政部门定期清运。</w:t>
      </w:r>
    </w:p>
    <w:p w14:paraId="4D264FB9">
      <w:pPr>
        <w:ind w:firstLine="480"/>
      </w:pPr>
      <w:r>
        <w:rPr>
          <w:rFonts w:hint="eastAsia"/>
        </w:rPr>
        <w:t>本项目运行过程中产生的固体废物均得到有效处置或综合利用，不会对周围环境产生明显影响。</w:t>
      </w:r>
    </w:p>
    <w:p w14:paraId="29327F4E">
      <w:pPr>
        <w:pStyle w:val="4"/>
        <w:spacing w:before="180" w:after="120"/>
      </w:pPr>
      <w:r>
        <w:t>环境风险污染防治措施及其可行性论证</w:t>
      </w:r>
    </w:p>
    <w:p w14:paraId="777219FA">
      <w:pPr>
        <w:ind w:firstLine="480"/>
      </w:pPr>
      <w:r>
        <w:rPr>
          <w:rFonts w:hint="eastAsia"/>
        </w:rPr>
        <w:t>根据本项目风险事件分析，确定防止风险事件的具体措施如下：</w:t>
      </w:r>
    </w:p>
    <w:p w14:paraId="629CCC04">
      <w:pPr>
        <w:ind w:firstLine="480"/>
      </w:pPr>
      <w:r>
        <w:rPr>
          <w:rFonts w:hint="eastAsia"/>
        </w:rPr>
        <w:t>（</w:t>
      </w:r>
      <w:r>
        <w:t>1</w:t>
      </w:r>
      <w:r>
        <w:rPr>
          <w:rFonts w:hint="eastAsia"/>
        </w:rPr>
        <w:t>）岩体坍塌、片帮危害的防范措施</w:t>
      </w:r>
    </w:p>
    <w:p w14:paraId="3A5F68F3">
      <w:pPr>
        <w:ind w:firstLine="480"/>
      </w:pPr>
      <w:r>
        <w:rPr>
          <w:rFonts w:hint="eastAsia"/>
        </w:rPr>
        <w:t>①在不稳固的岩体开采时，应根据具体情况采用合适的护坡。应进行定期检查和人员活动频繁的采矿掌子面，应每班进行检查，检查出的问题，应及时处理，并做记录。</w:t>
      </w:r>
    </w:p>
    <w:p w14:paraId="3F5A67C3">
      <w:pPr>
        <w:ind w:firstLine="480"/>
      </w:pPr>
      <w:r>
        <w:rPr>
          <w:rFonts w:hint="eastAsia"/>
        </w:rPr>
        <w:t>②围岩松软不稳固的工作面，须采取支护措施。事先处理两帮的浮石，作业中发现片帮预兆，应停止作业，对其进行处理。</w:t>
      </w:r>
    </w:p>
    <w:p w14:paraId="257EF280">
      <w:pPr>
        <w:ind w:firstLine="480"/>
      </w:pPr>
      <w:r>
        <w:rPr>
          <w:rFonts w:hint="eastAsia"/>
        </w:rPr>
        <w:t>③建立矿区露天开采作业管理制度。对不稳定的采场，应指定专人负责检查，采用锚杆加金属网进行支护。</w:t>
      </w:r>
    </w:p>
    <w:p w14:paraId="41C43D53">
      <w:pPr>
        <w:ind w:firstLine="480"/>
      </w:pPr>
      <w:r>
        <w:rPr>
          <w:rFonts w:hint="eastAsia"/>
        </w:rPr>
        <w:t>（</w:t>
      </w:r>
      <w:r>
        <w:t>2</w:t>
      </w:r>
      <w:r>
        <w:rPr>
          <w:rFonts w:hint="eastAsia"/>
        </w:rPr>
        <w:t>）边坡失稳防范措施</w:t>
      </w:r>
    </w:p>
    <w:p w14:paraId="162C6D54">
      <w:pPr>
        <w:ind w:firstLine="480"/>
      </w:pPr>
      <w:r>
        <w:rPr>
          <w:rFonts w:hint="eastAsia"/>
        </w:rPr>
        <w:t>应严格按照该矿的资源开发利用方案设计的技术参数施工。使边坡坡面角符合规定，对重点部位和有滑坡、崩落等危险的地段进行重点监测。</w:t>
      </w:r>
    </w:p>
    <w:p w14:paraId="7D000915">
      <w:pPr>
        <w:ind w:firstLine="480"/>
      </w:pPr>
      <w:r>
        <w:rPr>
          <w:rFonts w:hint="eastAsia"/>
        </w:rPr>
        <w:t>（</w:t>
      </w:r>
      <w:r>
        <w:t>3</w:t>
      </w:r>
      <w:r>
        <w:rPr>
          <w:rFonts w:hint="eastAsia"/>
        </w:rPr>
        <w:t>）地表坍塌、边坡不稳</w:t>
      </w:r>
    </w:p>
    <w:p w14:paraId="27E9804F">
      <w:pPr>
        <w:ind w:firstLine="480"/>
      </w:pPr>
      <w:r>
        <w:rPr>
          <w:rFonts w:hint="eastAsia"/>
        </w:rPr>
        <w:t>①交界处不稳固地段加强支护，严格按设计施工。</w:t>
      </w:r>
    </w:p>
    <w:p w14:paraId="4423419A">
      <w:pPr>
        <w:ind w:firstLine="480"/>
      </w:pPr>
      <w:r>
        <w:rPr>
          <w:rFonts w:hint="eastAsia"/>
        </w:rPr>
        <w:t>②及时处理坍塌区。</w:t>
      </w:r>
    </w:p>
    <w:p w14:paraId="06E824B1">
      <w:pPr>
        <w:ind w:firstLine="480"/>
      </w:pPr>
      <w:r>
        <w:rPr>
          <w:rFonts w:hint="eastAsia"/>
        </w:rPr>
        <w:t>③加强矿区的监测和管理工作。</w:t>
      </w:r>
    </w:p>
    <w:p w14:paraId="4B0DB647">
      <w:pPr>
        <w:ind w:firstLine="480"/>
      </w:pPr>
      <w:r>
        <w:t>6、应急预案</w:t>
      </w:r>
    </w:p>
    <w:p w14:paraId="12ED3A33">
      <w:pPr>
        <w:ind w:firstLine="480"/>
      </w:pPr>
      <w:r>
        <w:rPr>
          <w:rFonts w:hint="eastAsia"/>
        </w:rPr>
        <w:t>按照《突发环境事件应急预案管理暂行办法》和《企业事业单位突发环境事件应急预案备案管理办法（试行）》等相关文件要求编制突发环境事件应急预案，并在相应的生态环境主管部门进行备案。</w:t>
      </w:r>
    </w:p>
    <w:p w14:paraId="00410F70">
      <w:pPr>
        <w:pStyle w:val="4"/>
        <w:spacing w:before="180" w:after="120"/>
      </w:pPr>
      <w:r>
        <w:t>运营期生态环境保护措施</w:t>
      </w:r>
    </w:p>
    <w:p w14:paraId="38AB6816">
      <w:pPr>
        <w:pStyle w:val="5"/>
        <w:spacing w:before="120" w:after="120"/>
      </w:pPr>
      <w:r>
        <w:t>植物保护措施</w:t>
      </w:r>
    </w:p>
    <w:p w14:paraId="7EF4F41E">
      <w:pPr>
        <w:ind w:firstLine="480"/>
      </w:pPr>
      <w:r>
        <w:t>（1）严格控制开采作业范围，不得超过采矿许可证许可范围</w:t>
      </w:r>
      <w:r>
        <w:rPr>
          <w:rFonts w:hint="eastAsia"/>
        </w:rPr>
        <w:t>；</w:t>
      </w:r>
    </w:p>
    <w:p w14:paraId="2BD261F2">
      <w:pPr>
        <w:ind w:firstLine="480"/>
      </w:pPr>
      <w:r>
        <w:t>（2）本项目过程严格采取粉尘防治措施，进行湿式作业，采取无组织排放粉尘洒水降尘，加强绿化</w:t>
      </w:r>
      <w:r>
        <w:rPr>
          <w:rFonts w:hint="eastAsia"/>
        </w:rPr>
        <w:t>，</w:t>
      </w:r>
      <w:r>
        <w:t>有效降低粉尘对植物的影响</w:t>
      </w:r>
      <w:r>
        <w:rPr>
          <w:rFonts w:hint="eastAsia"/>
        </w:rPr>
        <w:t>；</w:t>
      </w:r>
    </w:p>
    <w:p w14:paraId="5DD58A8F">
      <w:pPr>
        <w:ind w:firstLine="480"/>
      </w:pPr>
      <w:r>
        <w:rPr>
          <w:rFonts w:hint="eastAsia"/>
        </w:rPr>
        <w:t>（3）在生产过程中发现国家或省级重点保护野生植物时，应报告当地林业和环境保护部门，并立即实施挽救和妥善保护，并在最近区域内寻找相似生境进行移栽；</w:t>
      </w:r>
    </w:p>
    <w:p w14:paraId="1D4FEB90">
      <w:pPr>
        <w:ind w:firstLine="480"/>
      </w:pPr>
      <w:r>
        <w:t>（</w:t>
      </w:r>
      <w:r>
        <w:rPr>
          <w:rFonts w:hint="eastAsia"/>
        </w:rPr>
        <w:t>4</w:t>
      </w:r>
      <w:r>
        <w:t>）项目厂区内部进行绿化；</w:t>
      </w:r>
    </w:p>
    <w:p w14:paraId="44BC6E48">
      <w:pPr>
        <w:pStyle w:val="5"/>
        <w:spacing w:before="120" w:after="120"/>
      </w:pPr>
      <w:r>
        <w:rPr>
          <w:rFonts w:hint="eastAsia"/>
        </w:rPr>
        <w:t>动</w:t>
      </w:r>
      <w:r>
        <w:t>物保护措施</w:t>
      </w:r>
    </w:p>
    <w:p w14:paraId="351500C0">
      <w:pPr>
        <w:ind w:firstLine="480"/>
      </w:pPr>
      <w:r>
        <w:t>（</w:t>
      </w:r>
      <w:r>
        <w:rPr>
          <w:rFonts w:hint="eastAsia"/>
        </w:rPr>
        <w:t>1</w:t>
      </w:r>
      <w:r>
        <w:t>）建设单位加强对工作人员的生态环境保护教育，减少对野生动物的干扰，严禁捕杀野生动物。</w:t>
      </w:r>
    </w:p>
    <w:p w14:paraId="3E79CB00">
      <w:pPr>
        <w:ind w:firstLine="480"/>
      </w:pPr>
      <w:r>
        <w:t>（</w:t>
      </w:r>
      <w:r>
        <w:rPr>
          <w:rFonts w:hint="eastAsia"/>
        </w:rPr>
        <w:t>2</w:t>
      </w:r>
      <w:r>
        <w:t>）严格执行《中华人民共和国野生动物保护法》，严禁捕杀或破坏野生动物，加强职工的行为管理，建立严格的生态保护制度，在</w:t>
      </w:r>
      <w:r>
        <w:rPr>
          <w:rFonts w:hint="eastAsia"/>
        </w:rPr>
        <w:t>矿区内</w:t>
      </w:r>
      <w:r>
        <w:t>设置“保护生态环境、保护野生动植物”等警示牌，防止捕猎野生动物、滥采天然植被情况的发生</w:t>
      </w:r>
      <w:r>
        <w:rPr>
          <w:rFonts w:hint="eastAsia"/>
        </w:rPr>
        <w:t>；</w:t>
      </w:r>
    </w:p>
    <w:p w14:paraId="24E36A88">
      <w:pPr>
        <w:ind w:firstLine="480"/>
      </w:pPr>
      <w:r>
        <w:rPr>
          <w:rFonts w:hint="eastAsia"/>
        </w:rPr>
        <w:t>（3）严格控制厂区边界，不得超范围占地，采取洒水抑尘、除尘措施等大气污染防治措施及减震降噪等噪声污染防治措施较少工程运营对厂区周边分布的重要野生动植物的影响；</w:t>
      </w:r>
    </w:p>
    <w:p w14:paraId="78D7A93C">
      <w:pPr>
        <w:ind w:firstLine="480"/>
        <w:rPr>
          <w:rFonts w:ascii="宋体" w:hAnsi="宋体"/>
          <w:kern w:val="0"/>
        </w:rPr>
      </w:pPr>
      <w:r>
        <w:rPr>
          <w:rFonts w:hint="eastAsia" w:ascii="宋体" w:hAnsi="宋体"/>
          <w:kern w:val="0"/>
        </w:rPr>
        <w:t>（</w:t>
      </w:r>
      <w:r>
        <w:rPr>
          <w:rFonts w:hint="eastAsia"/>
          <w:kern w:val="0"/>
        </w:rPr>
        <w:t>4</w:t>
      </w:r>
      <w:r>
        <w:rPr>
          <w:rFonts w:hint="eastAsia" w:ascii="宋体" w:hAnsi="宋体"/>
          <w:kern w:val="0"/>
        </w:rPr>
        <w:t>）本项目在矿区运输路段两侧设置绿化带，可降低来往车辆产生的噪声、遮挡车辆灯光，降低噪音、灯光对野生动物造成的不利影响；</w:t>
      </w:r>
    </w:p>
    <w:p w14:paraId="50080B20">
      <w:pPr>
        <w:ind w:firstLine="480"/>
        <w:rPr>
          <w:rFonts w:ascii="宋体" w:hAnsi="宋体"/>
          <w:kern w:val="0"/>
        </w:rPr>
      </w:pPr>
      <w:r>
        <w:rPr>
          <w:rFonts w:hint="eastAsia" w:ascii="宋体" w:hAnsi="宋体"/>
          <w:kern w:val="0"/>
        </w:rPr>
        <w:t>（</w:t>
      </w:r>
      <w:r>
        <w:rPr>
          <w:rFonts w:hint="eastAsia"/>
          <w:kern w:val="0"/>
        </w:rPr>
        <w:t>5</w:t>
      </w:r>
      <w:r>
        <w:rPr>
          <w:rFonts w:hint="eastAsia" w:ascii="宋体" w:hAnsi="宋体"/>
          <w:kern w:val="0"/>
        </w:rPr>
        <w:t>）在野生保护动物频繁出没的运输路段处设置宣传警示牌，提醒驾驶人员减速慢行、禁止鸣笛、严禁停靠等标志牌，减轻对野生动物及野生保护动物活动的影响；</w:t>
      </w:r>
    </w:p>
    <w:p w14:paraId="52E42D2D">
      <w:pPr>
        <w:ind w:firstLine="480"/>
        <w:rPr>
          <w:rFonts w:ascii="宋体" w:hAnsi="宋体"/>
          <w:kern w:val="0"/>
        </w:rPr>
      </w:pPr>
      <w:r>
        <w:rPr>
          <w:rFonts w:hint="eastAsia" w:ascii="宋体" w:hAnsi="宋体"/>
          <w:kern w:val="0"/>
        </w:rPr>
        <w:t>（</w:t>
      </w:r>
      <w:r>
        <w:rPr>
          <w:rFonts w:hint="eastAsia"/>
          <w:kern w:val="0"/>
        </w:rPr>
        <w:t>6</w:t>
      </w:r>
      <w:r>
        <w:rPr>
          <w:rFonts w:hint="eastAsia" w:ascii="宋体" w:hAnsi="宋体"/>
          <w:kern w:val="0"/>
        </w:rPr>
        <w:t>）运营期继续对评价区内的野生动物，进行跟踪观测和监测，尤其是对于保护物种要进行重点监测，对其种群数量及分布区域进行栖息地适宜性分析，内容可根据施工期的观测及监测计划进行适当调整；</w:t>
      </w:r>
    </w:p>
    <w:p w14:paraId="283DBE6F">
      <w:pPr>
        <w:ind w:firstLine="480"/>
      </w:pPr>
      <w:r>
        <w:t>采取本项目运营期提出的措施，可有效降低颗粒物对周围植物的影响，减少对野生动物的干扰，本项目采取的生态保护措施可行。</w:t>
      </w:r>
    </w:p>
    <w:p w14:paraId="6B2A52F5">
      <w:pPr>
        <w:pStyle w:val="5"/>
        <w:spacing w:before="120" w:after="120"/>
      </w:pPr>
      <w:r>
        <w:rPr>
          <w:rFonts w:hint="eastAsia"/>
        </w:rPr>
        <w:t>生态影响减缓措施</w:t>
      </w:r>
    </w:p>
    <w:p w14:paraId="47D6E7DB">
      <w:pPr>
        <w:ind w:firstLine="480"/>
      </w:pPr>
      <w:r>
        <w:t>（</w:t>
      </w:r>
      <w:r>
        <w:rPr>
          <w:rFonts w:hint="eastAsia"/>
        </w:rPr>
        <w:t>1</w:t>
      </w:r>
      <w:r>
        <w:t>）对容易诱发扬尘、粉尘及污染土壤的</w:t>
      </w:r>
      <w:r>
        <w:rPr>
          <w:rFonts w:hint="eastAsia"/>
        </w:rPr>
        <w:t>材料</w:t>
      </w:r>
      <w:r>
        <w:t>进行覆盖。</w:t>
      </w:r>
    </w:p>
    <w:p w14:paraId="0E6BBEB5">
      <w:pPr>
        <w:ind w:firstLine="480"/>
      </w:pPr>
      <w:r>
        <w:t>（</w:t>
      </w:r>
      <w:r>
        <w:rPr>
          <w:rFonts w:hint="eastAsia"/>
        </w:rPr>
        <w:t>2</w:t>
      </w:r>
      <w:r>
        <w:t>）</w:t>
      </w:r>
      <w:r>
        <w:rPr>
          <w:rFonts w:hint="eastAsia"/>
        </w:rPr>
        <w:t>对</w:t>
      </w:r>
      <w:r>
        <w:t>施工</w:t>
      </w:r>
      <w:r>
        <w:rPr>
          <w:rFonts w:hint="eastAsia"/>
        </w:rPr>
        <w:t>区域内</w:t>
      </w:r>
      <w:r>
        <w:t>产生的垃圾，要及时清运，以利于植被恢复。</w:t>
      </w:r>
    </w:p>
    <w:p w14:paraId="55265984">
      <w:pPr>
        <w:ind w:firstLine="480"/>
      </w:pPr>
      <w:r>
        <w:t>（</w:t>
      </w:r>
      <w:r>
        <w:rPr>
          <w:rFonts w:hint="eastAsia"/>
        </w:rPr>
        <w:t>3</w:t>
      </w:r>
      <w:r>
        <w:t>）地面开挖时，对作业面适当喷水，使其保持一定温度，以减少扬尘产生量。谨防运输车辆装载过满，并采取遮盖、密闭措施，减少其沿途遗洒，及时清扫散落在路面的泥土和灰尘，冲洗轮胎，定时洒水压尘，减少运输过程中的扬尘。</w:t>
      </w:r>
    </w:p>
    <w:p w14:paraId="0559CD05">
      <w:pPr>
        <w:ind w:firstLine="480"/>
        <w:rPr>
          <w:rFonts w:cs="Times New Roman"/>
          <w:kern w:val="0"/>
        </w:rPr>
      </w:pPr>
      <w:r>
        <w:t>（</w:t>
      </w:r>
      <w:r>
        <w:rPr>
          <w:rFonts w:hint="eastAsia"/>
        </w:rPr>
        <w:t>4</w:t>
      </w:r>
      <w:r>
        <w:t>）对因项目建设过程中形成的裸露地表，应及时采取绿化措施，选择适宜当地生长的乔灌木及草本品种。</w:t>
      </w:r>
    </w:p>
    <w:p w14:paraId="43029D58">
      <w:pPr>
        <w:pStyle w:val="5"/>
        <w:spacing w:before="120" w:after="120"/>
      </w:pPr>
      <w:r>
        <w:rPr>
          <w:rFonts w:hint="eastAsia"/>
        </w:rPr>
        <w:t>生态敏感区保护措施</w:t>
      </w:r>
    </w:p>
    <w:p w14:paraId="6DAD4763">
      <w:pPr>
        <w:ind w:firstLine="480"/>
      </w:pPr>
      <w:r>
        <w:rPr>
          <w:rFonts w:hint="eastAsia"/>
        </w:rPr>
        <w:t>（</w:t>
      </w:r>
      <w:r>
        <w:t>1</w:t>
      </w:r>
      <w:r>
        <w:rPr>
          <w:rFonts w:hint="eastAsia"/>
        </w:rPr>
        <w:t>）建设单位在不损害生态敏感区环境质量和生态功能的前提下，合理规划，明确合理的生产时间，确定合理的生产场地和运输线路，在指定的时间、地点以指定的生产方式进行生产，严格控制生产人员、生产机械、运输车辆的出入，防止对生态保护红线内景观及动植物的破坏；</w:t>
      </w:r>
    </w:p>
    <w:p w14:paraId="10AAD30B">
      <w:pPr>
        <w:ind w:firstLine="480"/>
      </w:pPr>
      <w:r>
        <w:rPr>
          <w:rFonts w:hint="eastAsia"/>
        </w:rPr>
        <w:t>（</w:t>
      </w:r>
      <w:r>
        <w:t>2</w:t>
      </w:r>
      <w:r>
        <w:rPr>
          <w:rFonts w:hint="eastAsia"/>
        </w:rPr>
        <w:t>）严格控制占地，禁止在生态敏感区内设置弃土场，严禁占用天然林地；</w:t>
      </w:r>
    </w:p>
    <w:p w14:paraId="1848F9D8">
      <w:pPr>
        <w:ind w:firstLine="480"/>
      </w:pPr>
      <w:r>
        <w:rPr>
          <w:rFonts w:hint="eastAsia"/>
        </w:rPr>
        <w:t>（</w:t>
      </w:r>
      <w:r>
        <w:t>3</w:t>
      </w:r>
      <w:r>
        <w:rPr>
          <w:rFonts w:hint="eastAsia"/>
        </w:rPr>
        <w:t>）在生产过程中涉及的生态敏感区边界处设置宣传警示牌，加强对生产活动和人员的管理，生态敏感区内及附近禁止使用高噪声设备，运行的设备要添加隔声垫、设置隔声板等措施降低对周围野生动物栖息的影响；</w:t>
      </w:r>
    </w:p>
    <w:p w14:paraId="36A4DAA9">
      <w:pPr>
        <w:ind w:firstLine="480"/>
      </w:pPr>
      <w:r>
        <w:rPr>
          <w:rFonts w:hint="eastAsia"/>
        </w:rPr>
        <w:t>（</w:t>
      </w:r>
      <w:r>
        <w:t>4</w:t>
      </w:r>
      <w:r>
        <w:rPr>
          <w:rFonts w:hint="eastAsia"/>
        </w:rPr>
        <w:t>）禁止生产人员和生产机械、车辆超越采矿边界，最大限度的减少对生态敏感区土地占用、植被破坏等一系列影响；</w:t>
      </w:r>
    </w:p>
    <w:p w14:paraId="6A312F7B">
      <w:pPr>
        <w:ind w:firstLine="480"/>
      </w:pPr>
      <w:r>
        <w:rPr>
          <w:rFonts w:hint="eastAsia"/>
        </w:rPr>
        <w:t>（5）造成或者可能造成生态敏感区污染或者破坏的单位和个人，必须立即采取措施处理，并向管理机构及当地环境保护行政主管部门报告，接受调查处理。</w:t>
      </w:r>
    </w:p>
    <w:p w14:paraId="192AEC79">
      <w:pPr>
        <w:pStyle w:val="5"/>
        <w:spacing w:before="120" w:after="120"/>
      </w:pPr>
      <w:r>
        <w:rPr>
          <w:rFonts w:hint="eastAsia"/>
        </w:rPr>
        <w:t>生态环境管理</w:t>
      </w:r>
    </w:p>
    <w:p w14:paraId="3F7AB5AB">
      <w:pPr>
        <w:ind w:firstLine="480"/>
      </w:pPr>
      <w:r>
        <w:rPr>
          <w:rFonts w:hint="eastAsia"/>
        </w:rPr>
        <w:t>开采</w:t>
      </w:r>
      <w:r>
        <w:t>区加强外来生物管理，防止外来种入侵。禁止将家禽家畜、宠物、非本地人工栽植植物等潜在疫源带入。绿化带种植、绿化以本地植被为主，不引进其他外来人工种植种。</w:t>
      </w:r>
    </w:p>
    <w:p w14:paraId="4EEC9827">
      <w:pPr>
        <w:pStyle w:val="3"/>
        <w:spacing w:before="180" w:after="120"/>
      </w:pPr>
      <w:bookmarkStart w:id="559" w:name="_Toc234927711"/>
      <w:r>
        <w:rPr>
          <w:rFonts w:hint="eastAsia"/>
        </w:rPr>
        <w:t>服务期满后生态恢复措施</w:t>
      </w:r>
      <w:bookmarkEnd w:id="559"/>
    </w:p>
    <w:p w14:paraId="21BDFDDB">
      <w:pPr>
        <w:pStyle w:val="4"/>
        <w:spacing w:before="180" w:after="120"/>
        <w:rPr>
          <w:lang w:bidi="en-US"/>
        </w:rPr>
      </w:pPr>
      <w:r>
        <w:rPr>
          <w:rFonts w:hint="eastAsia"/>
          <w:lang w:bidi="en-US"/>
        </w:rPr>
        <w:t>生态恢复措施</w:t>
      </w:r>
    </w:p>
    <w:p w14:paraId="6000E842">
      <w:pPr>
        <w:ind w:firstLine="480"/>
        <w:rPr>
          <w:rFonts w:hAnsi="Times New Roman"/>
          <w:bCs w:val="0"/>
          <w:lang w:bidi="en-US"/>
        </w:rPr>
      </w:pPr>
      <w:r>
        <w:rPr>
          <w:rFonts w:hAnsi="Times New Roman"/>
          <w:bCs w:val="0"/>
          <w:lang w:bidi="en-US"/>
        </w:rPr>
        <w:t>根据开采时序和服务年限，露天开采结束后，对</w:t>
      </w:r>
      <w:r>
        <w:rPr>
          <w:rFonts w:hint="eastAsia" w:hAnsi="Times New Roman"/>
          <w:bCs w:val="0"/>
          <w:lang w:bidi="en-US"/>
        </w:rPr>
        <w:t>开采区</w:t>
      </w:r>
      <w:r>
        <w:rPr>
          <w:rFonts w:hAnsi="Times New Roman"/>
          <w:bCs w:val="0"/>
          <w:lang w:bidi="en-US"/>
        </w:rPr>
        <w:t>进行覆土植被恢复，种植当地乡土树种，落叶松、杨树和白桦，并设置专人对厂区绿化和复垦的植被进行养护；矿山服务期满后对</w:t>
      </w:r>
      <w:r>
        <w:rPr>
          <w:rFonts w:hint="eastAsia" w:hAnsi="Times New Roman"/>
          <w:bCs w:val="0"/>
          <w:lang w:bidi="en-US"/>
        </w:rPr>
        <w:t>开采区</w:t>
      </w:r>
      <w:r>
        <w:rPr>
          <w:rFonts w:hAnsi="Times New Roman"/>
          <w:bCs w:val="0"/>
          <w:lang w:bidi="en-US"/>
        </w:rPr>
        <w:t>压占土地，进行土地复垦和植被恢复。制定矿山土地复垦方案书，并缴纳保证金，对</w:t>
      </w:r>
      <w:r>
        <w:rPr>
          <w:rFonts w:hint="eastAsia" w:hAnsi="Times New Roman"/>
          <w:bCs w:val="0"/>
          <w:lang w:bidi="en-US"/>
        </w:rPr>
        <w:t>开采区、堆土场</w:t>
      </w:r>
      <w:r>
        <w:rPr>
          <w:rFonts w:hAnsi="Times New Roman"/>
          <w:bCs w:val="0"/>
          <w:lang w:bidi="en-US"/>
        </w:rPr>
        <w:t>进行复垦设计</w:t>
      </w:r>
      <w:r>
        <w:rPr>
          <w:rFonts w:hint="eastAsia" w:hAnsi="Times New Roman"/>
          <w:bCs w:val="0"/>
          <w:lang w:bidi="en-US"/>
        </w:rPr>
        <w:t>。</w:t>
      </w:r>
    </w:p>
    <w:p w14:paraId="4096DC31">
      <w:pPr>
        <w:pStyle w:val="178"/>
        <w:rPr>
          <w:lang w:bidi="en-US"/>
        </w:rPr>
      </w:pPr>
      <w:r>
        <w:rPr>
          <w:lang w:bidi="en-US"/>
        </w:rPr>
        <w:t xml:space="preserve">表 </w:t>
      </w:r>
      <w:r>
        <w:rPr>
          <w:rFonts w:hint="eastAsia"/>
          <w:lang w:bidi="en-US"/>
        </w:rPr>
        <w:t>5.</w:t>
      </w:r>
      <w:r>
        <w:rPr>
          <w:lang w:bidi="en-US"/>
        </w:rPr>
        <w:t xml:space="preserve">1-1 </w:t>
      </w:r>
      <w:r>
        <w:rPr>
          <w:rFonts w:hint="eastAsia"/>
          <w:lang w:bidi="en-US"/>
        </w:rPr>
        <w:t>各阶段矿山地质环境治理与复垦任务计划表</w:t>
      </w:r>
    </w:p>
    <w:tbl>
      <w:tblPr>
        <w:tblStyle w:val="37"/>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57" w:type="dxa"/>
          <w:bottom w:w="0" w:type="dxa"/>
          <w:right w:w="57" w:type="dxa"/>
        </w:tblCellMar>
      </w:tblPr>
      <w:tblGrid>
        <w:gridCol w:w="1256"/>
        <w:gridCol w:w="2380"/>
        <w:gridCol w:w="2364"/>
        <w:gridCol w:w="2370"/>
      </w:tblGrid>
      <w:tr w14:paraId="4EA679B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6074" w:type="dxa"/>
            <w:gridSpan w:val="3"/>
            <w:vAlign w:val="center"/>
          </w:tcPr>
          <w:p w14:paraId="76BBC8C4">
            <w:pPr>
              <w:pStyle w:val="179"/>
              <w:widowControl w:val="0"/>
              <w:rPr>
                <w:lang w:bidi="en-US"/>
              </w:rPr>
            </w:pPr>
            <w:r>
              <w:rPr>
                <w:rFonts w:hint="eastAsia"/>
                <w:lang w:bidi="en-US"/>
              </w:rPr>
              <w:t>阶段划分</w:t>
            </w:r>
          </w:p>
        </w:tc>
        <w:tc>
          <w:tcPr>
            <w:tcW w:w="2398" w:type="dxa"/>
            <w:vAlign w:val="center"/>
          </w:tcPr>
          <w:p w14:paraId="3ED06D5B">
            <w:pPr>
              <w:pStyle w:val="179"/>
              <w:widowControl w:val="0"/>
              <w:rPr>
                <w:lang w:bidi="en-US"/>
              </w:rPr>
            </w:pPr>
            <w:r>
              <w:rPr>
                <w:rFonts w:hint="eastAsia"/>
                <w:lang w:bidi="en-US"/>
              </w:rPr>
              <w:t>主要措施</w:t>
            </w:r>
          </w:p>
        </w:tc>
      </w:tr>
      <w:tr w14:paraId="0084E6A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1271" w:type="dxa"/>
            <w:vAlign w:val="center"/>
          </w:tcPr>
          <w:p w14:paraId="39E1BC54">
            <w:pPr>
              <w:pStyle w:val="179"/>
              <w:widowControl w:val="0"/>
              <w:rPr>
                <w:lang w:bidi="en-US"/>
              </w:rPr>
            </w:pPr>
            <w:r>
              <w:rPr>
                <w:rFonts w:hint="eastAsia"/>
                <w:lang w:bidi="en-US"/>
              </w:rPr>
              <w:t>中远期5年</w:t>
            </w:r>
          </w:p>
        </w:tc>
        <w:tc>
          <w:tcPr>
            <w:tcW w:w="2412" w:type="dxa"/>
            <w:vAlign w:val="center"/>
          </w:tcPr>
          <w:p w14:paraId="66D71836">
            <w:pPr>
              <w:pStyle w:val="179"/>
              <w:widowControl w:val="0"/>
              <w:rPr>
                <w:lang w:bidi="en-US"/>
              </w:rPr>
            </w:pPr>
            <w:r>
              <w:rPr>
                <w:rFonts w:hint="eastAsia"/>
                <w:lang w:bidi="en-US"/>
              </w:rPr>
              <w:t>开采结束闭矿并完成矿山治理复垦工作阶段</w:t>
            </w:r>
          </w:p>
        </w:tc>
        <w:tc>
          <w:tcPr>
            <w:tcW w:w="2391" w:type="dxa"/>
            <w:vAlign w:val="center"/>
          </w:tcPr>
          <w:p w14:paraId="2EB95EB4">
            <w:pPr>
              <w:pStyle w:val="179"/>
              <w:widowControl w:val="0"/>
              <w:rPr>
                <w:lang w:bidi="en-US"/>
              </w:rPr>
            </w:pPr>
            <w:r>
              <w:rPr>
                <w:rFonts w:hint="eastAsia"/>
                <w:lang w:bidi="en-US"/>
              </w:rPr>
              <w:t>2035年6月-2040年5月</w:t>
            </w:r>
          </w:p>
        </w:tc>
        <w:tc>
          <w:tcPr>
            <w:tcW w:w="2398" w:type="dxa"/>
            <w:vAlign w:val="center"/>
          </w:tcPr>
          <w:p w14:paraId="383ED88D">
            <w:pPr>
              <w:pStyle w:val="179"/>
              <w:widowControl w:val="0"/>
              <w:rPr>
                <w:lang w:bidi="en-US"/>
              </w:rPr>
            </w:pPr>
            <w:r>
              <w:rPr>
                <w:rFonts w:hint="eastAsia"/>
                <w:lang w:bidi="en-US"/>
              </w:rPr>
              <w:t>开采区</w:t>
            </w:r>
            <w:r>
              <w:rPr>
                <w:lang w:bidi="en-US"/>
              </w:rPr>
              <w:t>进行覆土、植被恢复</w:t>
            </w:r>
            <w:r>
              <w:rPr>
                <w:rFonts w:hint="eastAsia"/>
                <w:lang w:bidi="en-US"/>
              </w:rPr>
              <w:t>，并监测、管护</w:t>
            </w:r>
          </w:p>
        </w:tc>
      </w:tr>
    </w:tbl>
    <w:p w14:paraId="5507F7A0">
      <w:pPr>
        <w:ind w:firstLine="480"/>
        <w:rPr>
          <w:rFonts w:hAnsi="Times New Roman"/>
          <w:bCs w:val="0"/>
          <w:lang w:bidi="en-US"/>
        </w:rPr>
      </w:pPr>
      <w:r>
        <w:rPr>
          <w:rFonts w:hint="eastAsia" w:hAnsi="Times New Roman"/>
          <w:bCs w:val="0"/>
          <w:lang w:bidi="en-US"/>
        </w:rPr>
        <w:t>为了能够明确复垦任务和资金使用计划，本方案结合土地损毁预测、土地复垦适宜性评价等制定复垦工作计划安排，使本方案更具有可操作性和可行性，但必须保证复垦工作每年进行，以满足国家对土地复垦工作不跨年的要求。</w:t>
      </w:r>
    </w:p>
    <w:p w14:paraId="72997C3B">
      <w:pPr>
        <w:pStyle w:val="4"/>
        <w:spacing w:before="180" w:after="120"/>
      </w:pPr>
      <w:r>
        <w:t>生态恢复工程内容</w:t>
      </w:r>
    </w:p>
    <w:p w14:paraId="0982190A">
      <w:pPr>
        <w:ind w:firstLine="480"/>
      </w:pPr>
      <w:r>
        <w:t>项目服务期满后，采矿活动形成的裸露地表，如果采取措施不当或未采取防护措施，容易造成滑坡、水土流失等自然灾害。因此，矿山闭矿时，企业应对采矿造成的环境问题进行处理，以保护生态环境。对场地进行清理；将临时表土堆场内表土用于矿区生态恢复，平整场地，恢复林地。</w:t>
      </w:r>
    </w:p>
    <w:p w14:paraId="3879F63D">
      <w:pPr>
        <w:ind w:firstLine="480"/>
      </w:pPr>
      <w:r>
        <w:t>本项目服务期满后，按照《黑龙江省黑河市瑞峰建筑工程有限责任公司塔溪乡马厂河采石场建筑用凝灰岩矿矿区生态修复方案》要求落实生态环境恢复治理措施，主要如下：</w:t>
      </w:r>
    </w:p>
    <w:p w14:paraId="1FB19923">
      <w:pPr>
        <w:pStyle w:val="5"/>
        <w:spacing w:before="120" w:after="120"/>
      </w:pPr>
      <w:r>
        <w:t>土壤重构工程</w:t>
      </w:r>
    </w:p>
    <w:p w14:paraId="407363D5">
      <w:pPr>
        <w:ind w:firstLine="482"/>
        <w:rPr>
          <w:b/>
        </w:rPr>
      </w:pPr>
      <w:r>
        <w:rPr>
          <w:rFonts w:hint="eastAsia"/>
          <w:b/>
        </w:rPr>
        <w:t>1、</w:t>
      </w:r>
      <w:r>
        <w:rPr>
          <w:b/>
        </w:rPr>
        <w:t>表土养护</w:t>
      </w:r>
    </w:p>
    <w:p w14:paraId="5B9A6973">
      <w:pPr>
        <w:ind w:firstLine="480"/>
        <w:rPr>
          <w:rFonts w:hAnsi="Times New Roman"/>
          <w:bCs w:val="0"/>
          <w:snapToGrid w:val="0"/>
          <w:szCs w:val="28"/>
        </w:rPr>
      </w:pPr>
      <w:r>
        <w:rPr>
          <w:rFonts w:hint="eastAsia" w:hAnsi="Times New Roman"/>
          <w:bCs w:val="0"/>
          <w:snapToGrid w:val="0"/>
          <w:szCs w:val="28"/>
        </w:rPr>
        <w:t>矿山开采前，先使用推土机对进场道路进行表土剥离，矿区随开采分区进行表土剥离，剥离面积共</w:t>
      </w:r>
      <w:r>
        <w:rPr>
          <w:rFonts w:hint="eastAsia"/>
        </w:rPr>
        <w:t>0.1101</w:t>
      </w:r>
      <w:r>
        <w:rPr>
          <w:rFonts w:hint="eastAsia" w:cs="Times New Roman"/>
        </w:rPr>
        <w:t>km</w:t>
      </w:r>
      <w:r>
        <w:rPr>
          <w:rFonts w:hint="eastAsia" w:cs="Times New Roman"/>
          <w:vertAlign w:val="superscript"/>
        </w:rPr>
        <w:t>2</w:t>
      </w:r>
      <w:r>
        <w:rPr>
          <w:rFonts w:hint="eastAsia" w:hAnsi="Times New Roman"/>
          <w:bCs w:val="0"/>
          <w:snapToGrid w:val="0"/>
          <w:szCs w:val="28"/>
        </w:rPr>
        <w:t>，剥离腐殖土厚度为0.50m，剥离量为</w:t>
      </w:r>
      <w:r>
        <w:rPr>
          <w:rFonts w:hAnsi="Times New Roman"/>
          <w:bCs w:val="0"/>
          <w:snapToGrid w:val="0"/>
          <w:szCs w:val="28"/>
        </w:rPr>
        <w:t>55025.98</w:t>
      </w:r>
      <w:r>
        <w:rPr>
          <w:rFonts w:hint="eastAsia" w:hAnsi="Times New Roman"/>
          <w:bCs w:val="0"/>
          <w:snapToGrid w:val="0"/>
          <w:szCs w:val="28"/>
        </w:rPr>
        <w:t>m</w:t>
      </w:r>
      <w:r>
        <w:rPr>
          <w:rFonts w:hint="eastAsia" w:hAnsi="Times New Roman"/>
          <w:bCs w:val="0"/>
          <w:snapToGrid w:val="0"/>
          <w:szCs w:val="28"/>
          <w:vertAlign w:val="superscript"/>
        </w:rPr>
        <w:t>3</w:t>
      </w:r>
      <w:r>
        <w:rPr>
          <w:rFonts w:hint="eastAsia" w:hAnsi="Times New Roman"/>
          <w:bCs w:val="0"/>
          <w:snapToGrid w:val="0"/>
          <w:szCs w:val="28"/>
        </w:rPr>
        <w:t>，按照开采顺序取料场北部区域先期剥离的腐殖土储存在南部区域，北部开采至最低开采标高后，再将后期南部区域剥离的腐殖土存放在东南部区域，不再占用取料场以外的区域。表土控制堆高小于3m，边坡角小于45°，并做好表土养护。</w:t>
      </w:r>
    </w:p>
    <w:p w14:paraId="61C9F6BB">
      <w:pPr>
        <w:ind w:firstLine="480"/>
      </w:pPr>
      <w:r>
        <w:t>表土堆场总面积为</w:t>
      </w:r>
      <w:r>
        <w:rPr>
          <w:rFonts w:hint="eastAsia"/>
        </w:rPr>
        <w:t>102</w:t>
      </w:r>
      <w:r>
        <w:t>00m</w:t>
      </w:r>
      <w:r>
        <w:rPr>
          <w:vertAlign w:val="superscript"/>
        </w:rPr>
        <w:t>2</w:t>
      </w:r>
      <w:r>
        <w:t>，堆高</w:t>
      </w:r>
      <w:r>
        <w:rPr>
          <w:rFonts w:hint="eastAsia"/>
        </w:rPr>
        <w:t>3</w:t>
      </w:r>
      <w:r>
        <w:t>m，边坡坡角为45度，表土堆顶面积为</w:t>
      </w:r>
      <w:bookmarkStart w:id="560" w:name="_Hlk120049231"/>
      <w:r>
        <w:rPr>
          <w:rFonts w:hint="eastAsia"/>
        </w:rPr>
        <w:t>9006</w:t>
      </w:r>
      <w:r>
        <w:t>m</w:t>
      </w:r>
      <w:r>
        <w:rPr>
          <w:vertAlign w:val="superscript"/>
        </w:rPr>
        <w:t>2</w:t>
      </w:r>
      <w:bookmarkEnd w:id="560"/>
      <w:r>
        <w:t>、边坡面积为</w:t>
      </w:r>
      <w:r>
        <w:rPr>
          <w:rFonts w:hint="eastAsia"/>
        </w:rPr>
        <w:t>597</w:t>
      </w:r>
      <w:r>
        <w:t>m</w:t>
      </w:r>
      <w:r>
        <w:rPr>
          <w:vertAlign w:val="superscript"/>
        </w:rPr>
        <w:t>2</w:t>
      </w:r>
      <w:r>
        <w:t>，表土堆表面积共计</w:t>
      </w:r>
      <w:r>
        <w:rPr>
          <w:rFonts w:hint="eastAsia"/>
        </w:rPr>
        <w:t>19803</w:t>
      </w:r>
      <w:r>
        <w:t>m</w:t>
      </w:r>
      <w:r>
        <w:rPr>
          <w:vertAlign w:val="superscript"/>
        </w:rPr>
        <w:t>2</w:t>
      </w:r>
      <w:r>
        <w:t>。按80kg/hm</w:t>
      </w:r>
      <w:r>
        <w:rPr>
          <w:vertAlign w:val="superscript"/>
        </w:rPr>
        <w:t>2</w:t>
      </w:r>
      <w:r>
        <w:t>播撒羊茅草籽，需草籽</w:t>
      </w:r>
      <w:r>
        <w:rPr>
          <w:rFonts w:hint="eastAsia"/>
        </w:rPr>
        <w:t>158.4</w:t>
      </w:r>
      <w:r>
        <w:t>kg。</w:t>
      </w:r>
    </w:p>
    <w:p w14:paraId="6522362D">
      <w:pPr>
        <w:ind w:firstLine="480"/>
      </w:pPr>
      <w:r>
        <w:t>为防止表土堆场水土流失，表土堆场四周坡脚采用编织袋装土填筑对坡脚进行防护，填筑截面为矩形，宽为1.2m，高1.6m，填筑长度为</w:t>
      </w:r>
      <w:r>
        <w:rPr>
          <w:rFonts w:hint="eastAsia"/>
        </w:rPr>
        <w:t>410</w:t>
      </w:r>
      <w:r>
        <w:t>m，填筑量为</w:t>
      </w:r>
      <w:r>
        <w:rPr>
          <w:rFonts w:hint="eastAsia"/>
        </w:rPr>
        <w:t>787.</w:t>
      </w:r>
      <w:r>
        <w:t>2m</w:t>
      </w:r>
      <w:r>
        <w:rPr>
          <w:vertAlign w:val="superscript"/>
        </w:rPr>
        <w:t>3</w:t>
      </w:r>
      <w:r>
        <w:t>。</w:t>
      </w:r>
    </w:p>
    <w:p w14:paraId="5BEAC1FE">
      <w:pPr>
        <w:ind w:firstLine="482"/>
        <w:rPr>
          <w:b/>
        </w:rPr>
      </w:pPr>
      <w:r>
        <w:rPr>
          <w:rFonts w:hint="eastAsia"/>
          <w:b/>
        </w:rPr>
        <w:t>2、</w:t>
      </w:r>
      <w:r>
        <w:rPr>
          <w:b/>
        </w:rPr>
        <w:t>场地平整</w:t>
      </w:r>
    </w:p>
    <w:p w14:paraId="798F9881">
      <w:pPr>
        <w:ind w:firstLine="480"/>
      </w:pPr>
      <w:r>
        <w:t>开采结束闭坑后，对</w:t>
      </w:r>
      <w:r>
        <w:rPr>
          <w:rFonts w:hint="eastAsia"/>
        </w:rPr>
        <w:t>开采区</w:t>
      </w:r>
      <w:r>
        <w:t>场地、矿山道路进行场地平整，平整面积11.01hm</w:t>
      </w:r>
      <w:r>
        <w:rPr>
          <w:vertAlign w:val="superscript"/>
        </w:rPr>
        <w:t>2</w:t>
      </w:r>
      <w:r>
        <w:t>，平整平均厚度0.1m，平整量为1</w:t>
      </w:r>
      <w:r>
        <w:rPr>
          <w:rFonts w:hint="eastAsia"/>
        </w:rPr>
        <w:t>1010</w:t>
      </w:r>
      <w:r>
        <w:t>m</w:t>
      </w:r>
      <w:r>
        <w:rPr>
          <w:vertAlign w:val="superscript"/>
        </w:rPr>
        <w:t>3</w:t>
      </w:r>
      <w:r>
        <w:t>。</w:t>
      </w:r>
    </w:p>
    <w:p w14:paraId="39FA4D6E">
      <w:pPr>
        <w:ind w:firstLine="482"/>
        <w:rPr>
          <w:b/>
        </w:rPr>
      </w:pPr>
      <w:r>
        <w:rPr>
          <w:rFonts w:hint="eastAsia"/>
          <w:b/>
        </w:rPr>
        <w:t>3、</w:t>
      </w:r>
      <w:r>
        <w:rPr>
          <w:b/>
        </w:rPr>
        <w:t>表土覆盖</w:t>
      </w:r>
    </w:p>
    <w:p w14:paraId="282E26C2">
      <w:pPr>
        <w:ind w:firstLine="480"/>
      </w:pPr>
      <w:r>
        <w:t>矿山开采结束后，将表土堆场表土回覆至复垦区内。表土回覆面积为11.01hm</w:t>
      </w:r>
      <w:r>
        <w:rPr>
          <w:vertAlign w:val="superscript"/>
        </w:rPr>
        <w:t>2</w:t>
      </w:r>
      <w:r>
        <w:t>，覆土厚度约0.</w:t>
      </w:r>
      <w:r>
        <w:rPr>
          <w:rFonts w:hint="eastAsia"/>
        </w:rPr>
        <w:t>3</w:t>
      </w:r>
      <w:r>
        <w:t>m</w:t>
      </w:r>
      <w:r>
        <w:rPr>
          <w:rFonts w:hint="eastAsia"/>
        </w:rPr>
        <w:t>，</w:t>
      </w:r>
      <w:r>
        <w:t>表土覆盖总量为33015m</w:t>
      </w:r>
      <w:r>
        <w:rPr>
          <w:vertAlign w:val="superscript"/>
        </w:rPr>
        <w:t>3</w:t>
      </w:r>
      <w:r>
        <w:t>，</w:t>
      </w:r>
      <w:r>
        <w:rPr>
          <w:rFonts w:hint="eastAsia"/>
        </w:rPr>
        <w:t>开采区（含表土堆场）</w:t>
      </w:r>
      <w:r>
        <w:t>、矿山道路，穴坑规格采用0.5m×0.5m×0.5m，株行距采用2m×2m，需挖树坑2751</w:t>
      </w:r>
      <w:r>
        <w:rPr>
          <w:rFonts w:hint="eastAsia"/>
        </w:rPr>
        <w:t>3</w:t>
      </w:r>
      <w:r>
        <w:t>个，树坑回填表土3439m</w:t>
      </w:r>
      <w:r>
        <w:rPr>
          <w:vertAlign w:val="superscript"/>
        </w:rPr>
        <w:t>3</w:t>
      </w:r>
      <w:r>
        <w:t>。</w:t>
      </w:r>
    </w:p>
    <w:p w14:paraId="6D0152EE">
      <w:pPr>
        <w:pStyle w:val="5"/>
        <w:spacing w:before="120" w:after="120"/>
      </w:pPr>
      <w:r>
        <w:t>植被恢复工程</w:t>
      </w:r>
    </w:p>
    <w:p w14:paraId="39EE22D6">
      <w:pPr>
        <w:ind w:firstLine="480"/>
      </w:pPr>
      <w:r>
        <w:t>复垦方案选择樟子松、沙棘和高羊茅草籽作为恢复植被，对复垦区进行林草恢复工程。种植樟子松区域为井工场地、矿山道路、贮矿场、排土场、选矿厂及行政生活区；种植沙棘区域为尾矿库。由于尾矿库中排放的矿沙成颗粒状，不保水，较干旱，因此选择种植对干旱、高温等环境有较强的适应能力的沙棘，沙棘根系深厚，能够在尾矿库中深入扎根，有效吸收和保持水分。</w:t>
      </w:r>
    </w:p>
    <w:p w14:paraId="7829394A">
      <w:pPr>
        <w:ind w:firstLine="480"/>
      </w:pPr>
      <w:r>
        <w:t>樟子松树，3年生，树高不小于1m，树坑规格采用0.5m×0.5m×0.5m，株行距采用2m×2m，恢复乔木林地面积为</w:t>
      </w:r>
      <w:r>
        <w:rPr>
          <w:rFonts w:hint="eastAsia"/>
        </w:rPr>
        <w:t>11.01</w:t>
      </w:r>
      <w:r>
        <w:t>hm</w:t>
      </w:r>
      <w:r>
        <w:rPr>
          <w:vertAlign w:val="superscript"/>
        </w:rPr>
        <w:t>2</w:t>
      </w:r>
      <w:r>
        <w:t>，需种植樟子松2751</w:t>
      </w:r>
      <w:r>
        <w:rPr>
          <w:rFonts w:hint="eastAsia"/>
        </w:rPr>
        <w:t>3</w:t>
      </w:r>
      <w:r>
        <w:t>株。</w:t>
      </w:r>
    </w:p>
    <w:p w14:paraId="6000D577">
      <w:pPr>
        <w:ind w:firstLine="480"/>
        <w:jc w:val="left"/>
      </w:pPr>
      <w:r>
        <w:t>林间撒播草籽面积为11.01hm</w:t>
      </w:r>
      <w:r>
        <w:rPr>
          <w:vertAlign w:val="superscript"/>
        </w:rPr>
        <w:t>2</w:t>
      </w:r>
      <w:r>
        <w:t>，按80kg/hm</w:t>
      </w:r>
      <w:r>
        <w:rPr>
          <w:vertAlign w:val="superscript"/>
        </w:rPr>
        <w:t>2</w:t>
      </w:r>
      <w:r>
        <w:t>播撒羊茅草籽，需草籽</w:t>
      </w:r>
      <w:r>
        <w:rPr>
          <w:rFonts w:hint="eastAsia"/>
        </w:rPr>
        <w:t>880.4</w:t>
      </w:r>
      <w:r>
        <w:t>kg。</w:t>
      </w:r>
    </w:p>
    <w:p w14:paraId="219D1D2A">
      <w:pPr>
        <w:ind w:firstLine="480"/>
        <w:rPr>
          <w:rFonts w:hAnsi="Times New Roman"/>
          <w:bCs w:val="0"/>
          <w:snapToGrid w:val="0"/>
          <w:szCs w:val="28"/>
        </w:rPr>
      </w:pPr>
      <w:r>
        <w:rPr>
          <w:rFonts w:hAnsi="Times New Roman"/>
          <w:bCs w:val="0"/>
          <w:snapToGrid w:val="0"/>
          <w:szCs w:val="28"/>
        </w:rPr>
        <w:t>植物工程主要为坑底穴植种树、树下撒播草籽。</w:t>
      </w:r>
    </w:p>
    <w:p w14:paraId="3786B4A1">
      <w:pPr>
        <w:ind w:firstLine="480"/>
        <w:rPr>
          <w:rFonts w:hAnsi="Times New Roman"/>
          <w:bCs w:val="0"/>
          <w:snapToGrid w:val="0"/>
          <w:szCs w:val="28"/>
        </w:rPr>
      </w:pPr>
      <w:r>
        <w:rPr>
          <w:rFonts w:hint="eastAsia" w:hAnsi="Times New Roman"/>
          <w:bCs w:val="0"/>
          <w:snapToGrid w:val="0"/>
          <w:szCs w:val="28"/>
        </w:rPr>
        <w:t xml:space="preserve">樟子松为带土球栽植，土球直径在 </w:t>
      </w:r>
      <w:r>
        <w:rPr>
          <w:rFonts w:hAnsi="Times New Roman"/>
          <w:bCs w:val="0"/>
          <w:snapToGrid w:val="0"/>
          <w:szCs w:val="28"/>
        </w:rPr>
        <w:t>0.5m</w:t>
      </w:r>
      <w:r>
        <w:rPr>
          <w:rFonts w:hint="eastAsia" w:hAnsi="Times New Roman"/>
          <w:bCs w:val="0"/>
          <w:snapToGrid w:val="0"/>
          <w:szCs w:val="28"/>
        </w:rPr>
        <w:t xml:space="preserve">以内。首先在种植区按株行距布线， 确定树穴位置，然后挖树穴，树穴应上下口径一致，苗木栽入树穴前应检查穴的大小及深度，不符合要求的要修整树穴。种植苗木时，应将种植穴底填土呈半圆土堆，置入树木填土至 </w:t>
      </w:r>
      <w:r>
        <w:rPr>
          <w:rFonts w:hAnsi="Times New Roman"/>
          <w:bCs w:val="0"/>
          <w:snapToGrid w:val="0"/>
          <w:szCs w:val="28"/>
        </w:rPr>
        <w:t xml:space="preserve">l/2 </w:t>
      </w:r>
      <w:r>
        <w:rPr>
          <w:rFonts w:hint="eastAsia" w:hAnsi="Times New Roman"/>
          <w:bCs w:val="0"/>
          <w:snapToGrid w:val="0"/>
          <w:szCs w:val="28"/>
        </w:rPr>
        <w:t>时，应轻提树干使根系舒展，并充分接触土壤。为增加耕作层的水分保持和保证树木根系生长的需要，穴坑内回填种植土。植树时应做到随挖、随运、随种，并充分浇水，以提高苗木存活率。植树时应保证肥料且栽后做好抚育管理工作，确保植树质量。</w:t>
      </w:r>
    </w:p>
    <w:p w14:paraId="099E5BC1">
      <w:pPr>
        <w:ind w:firstLine="480"/>
      </w:pPr>
      <w:r>
        <w:t>撒播高羊茅草：人工撒播高羊茅草籽，播种量80kg/hm</w:t>
      </w:r>
      <w:r>
        <w:rPr>
          <w:vertAlign w:val="superscript"/>
        </w:rPr>
        <w:t>2</w:t>
      </w:r>
      <w:r>
        <w:t>，播种深度不超过1.0cm，适宜发芽的温度为15～25℃，7～14天出苗，出苗前应保持坪床湿润，30～45天成坪，第一次修剪应在草高7cm左右时进行，适宜的留茬高度在3～5cm。</w:t>
      </w:r>
    </w:p>
    <w:p w14:paraId="7C3895D7">
      <w:pPr>
        <w:ind w:firstLine="480"/>
      </w:pPr>
      <w:r>
        <w:t>植被恢复时间，根据当地的气候因素和种植经验，种植的最佳时节应选在4～5月。</w:t>
      </w:r>
    </w:p>
    <w:p w14:paraId="530AE9C0">
      <w:pPr>
        <w:ind w:firstLine="480"/>
        <w:rPr>
          <w:rFonts w:hAnsi="Times New Roman"/>
          <w:bCs w:val="0"/>
          <w:snapToGrid w:val="0"/>
          <w:szCs w:val="28"/>
        </w:rPr>
      </w:pPr>
      <w:r>
        <w:t>项目应严格按照《矿山生态环境保护与恢复治理技术规范（试行）》（HJ651-2013）开展生态恢复。</w:t>
      </w:r>
    </w:p>
    <w:p w14:paraId="144CACBB">
      <w:pPr>
        <w:pStyle w:val="5"/>
        <w:spacing w:before="120" w:after="120"/>
        <w:rPr>
          <w:snapToGrid w:val="0"/>
          <w:lang w:bidi="en-US"/>
        </w:rPr>
      </w:pPr>
      <w:r>
        <w:rPr>
          <w:snapToGrid w:val="0"/>
          <w:lang w:bidi="en-US"/>
        </w:rPr>
        <w:t>土壤肥力恢复工程</w:t>
      </w:r>
    </w:p>
    <w:p w14:paraId="69709AC0">
      <w:pPr>
        <w:ind w:firstLine="480"/>
        <w:rPr>
          <w:rFonts w:hAnsi="Times New Roman"/>
        </w:rPr>
      </w:pPr>
      <w:r>
        <w:rPr>
          <w:rFonts w:hAnsi="Times New Roman"/>
        </w:rPr>
        <w:t>恢复土壤肥力与生物生产能力的活动，它是实现破坏土地植被恢复的关键环</w:t>
      </w:r>
      <w:r>
        <w:rPr>
          <w:rFonts w:hint="eastAsia" w:hAnsi="Times New Roman"/>
        </w:rPr>
        <w:t>节，其内容主要为土壤改良，根据复垦区的原始功能，在考虑复垦区地形地貌等条件的情况下，采取人工施肥改良土壤的理化性质。恢复土壤的肥力及提高土壤生产力。采取有效的施肥和管理措施，一般来说，土壤缺乏微生物，不能使含氮化合物转化为植物可利用的形态，氮素是最为贫乏的元素之一，所以人工施用氮肥是一项有效的措施。施肥可以使土壤有机质含量不断提高，从而增加土壤微生物的数量，使养分循环得以进行。</w:t>
      </w:r>
    </w:p>
    <w:p w14:paraId="15B09531">
      <w:pPr>
        <w:ind w:firstLine="480"/>
        <w:rPr>
          <w:rFonts w:hAnsi="Times New Roman"/>
          <w:bCs w:val="0"/>
          <w:snapToGrid w:val="0"/>
          <w:szCs w:val="28"/>
        </w:rPr>
      </w:pPr>
      <w:r>
        <w:rPr>
          <w:rFonts w:hAnsi="Times New Roman"/>
        </w:rPr>
        <w:t>复垦后植被覆盖率100%，</w:t>
      </w:r>
      <w:r>
        <w:rPr>
          <w:rFonts w:hAnsi="Times New Roman"/>
          <w:bCs w:val="0"/>
          <w:snapToGrid w:val="0"/>
          <w:szCs w:val="28"/>
        </w:rPr>
        <w:t>各项工作量见表</w:t>
      </w:r>
      <w:r>
        <w:rPr>
          <w:rFonts w:hint="eastAsia" w:hAnsi="Times New Roman"/>
          <w:bCs w:val="0"/>
          <w:snapToGrid w:val="0"/>
          <w:szCs w:val="28"/>
        </w:rPr>
        <w:t>6.3</w:t>
      </w:r>
      <w:r>
        <w:rPr>
          <w:rFonts w:hAnsi="Times New Roman"/>
          <w:bCs w:val="0"/>
          <w:snapToGrid w:val="0"/>
          <w:szCs w:val="28"/>
        </w:rPr>
        <w:t>-1。</w:t>
      </w:r>
    </w:p>
    <w:p w14:paraId="54529B5A">
      <w:pPr>
        <w:pStyle w:val="178"/>
        <w:rPr>
          <w:rFonts w:eastAsia="Times New Roman"/>
          <w:snapToGrid w:val="0"/>
        </w:rPr>
      </w:pPr>
      <w:r>
        <w:rPr>
          <w:snapToGrid w:val="0"/>
        </w:rPr>
        <w:t>表</w:t>
      </w:r>
      <w:r>
        <w:rPr>
          <w:rFonts w:hint="eastAsia"/>
          <w:snapToGrid w:val="0"/>
        </w:rPr>
        <w:t>6.3</w:t>
      </w:r>
      <w:r>
        <w:rPr>
          <w:rFonts w:eastAsia="Times New Roman"/>
          <w:snapToGrid w:val="0"/>
        </w:rPr>
        <w:t>-1</w:t>
      </w:r>
      <w:r>
        <w:rPr>
          <w:snapToGrid w:val="0"/>
        </w:rPr>
        <w:t>矿山地质环境恢复治理工程量</w:t>
      </w:r>
    </w:p>
    <w:tbl>
      <w:tblPr>
        <w:tblStyle w:val="36"/>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079"/>
        <w:gridCol w:w="3135"/>
        <w:gridCol w:w="1155"/>
        <w:gridCol w:w="1590"/>
        <w:gridCol w:w="1229"/>
      </w:tblGrid>
      <w:tr w14:paraId="1A48F12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9" w:type="dxa"/>
            <w:vAlign w:val="center"/>
          </w:tcPr>
          <w:p w14:paraId="6EBBB768">
            <w:pPr>
              <w:pStyle w:val="179"/>
              <w:rPr>
                <w:b/>
              </w:rPr>
            </w:pPr>
            <w:r>
              <w:rPr>
                <w:b/>
              </w:rPr>
              <w:t>工程项目</w:t>
            </w:r>
          </w:p>
        </w:tc>
        <w:tc>
          <w:tcPr>
            <w:tcW w:w="3135" w:type="dxa"/>
            <w:vAlign w:val="center"/>
          </w:tcPr>
          <w:p w14:paraId="4FDCE3EB">
            <w:pPr>
              <w:pStyle w:val="179"/>
              <w:rPr>
                <w:b/>
              </w:rPr>
            </w:pPr>
            <w:r>
              <w:rPr>
                <w:b/>
              </w:rPr>
              <w:t>工程措施</w:t>
            </w:r>
          </w:p>
        </w:tc>
        <w:tc>
          <w:tcPr>
            <w:tcW w:w="1155" w:type="dxa"/>
            <w:vAlign w:val="center"/>
          </w:tcPr>
          <w:p w14:paraId="5602D16A">
            <w:pPr>
              <w:pStyle w:val="179"/>
              <w:rPr>
                <w:b/>
              </w:rPr>
            </w:pPr>
            <w:r>
              <w:rPr>
                <w:b/>
              </w:rPr>
              <w:t>单位</w:t>
            </w:r>
          </w:p>
        </w:tc>
        <w:tc>
          <w:tcPr>
            <w:tcW w:w="1590" w:type="dxa"/>
            <w:vAlign w:val="center"/>
          </w:tcPr>
          <w:p w14:paraId="2ACC18A6">
            <w:pPr>
              <w:pStyle w:val="179"/>
              <w:rPr>
                <w:b/>
              </w:rPr>
            </w:pPr>
            <w:r>
              <w:rPr>
                <w:b/>
              </w:rPr>
              <w:t>工程量</w:t>
            </w:r>
          </w:p>
        </w:tc>
        <w:tc>
          <w:tcPr>
            <w:tcW w:w="1229" w:type="dxa"/>
            <w:vAlign w:val="center"/>
          </w:tcPr>
          <w:p w14:paraId="1B28F4D2">
            <w:pPr>
              <w:pStyle w:val="179"/>
              <w:rPr>
                <w:b/>
              </w:rPr>
            </w:pPr>
            <w:r>
              <w:rPr>
                <w:b/>
              </w:rPr>
              <w:t>治理时间</w:t>
            </w:r>
          </w:p>
        </w:tc>
      </w:tr>
      <w:tr w14:paraId="5F5608A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9" w:type="dxa"/>
            <w:vAlign w:val="center"/>
          </w:tcPr>
          <w:p w14:paraId="70FC99BD">
            <w:pPr>
              <w:pStyle w:val="179"/>
            </w:pPr>
            <w:r>
              <w:t>土地整理</w:t>
            </w:r>
          </w:p>
        </w:tc>
        <w:tc>
          <w:tcPr>
            <w:tcW w:w="3135" w:type="dxa"/>
            <w:vAlign w:val="center"/>
          </w:tcPr>
          <w:p w14:paraId="649C11F6">
            <w:pPr>
              <w:pStyle w:val="179"/>
            </w:pPr>
            <w:r>
              <w:rPr>
                <w:rFonts w:hint="eastAsia"/>
              </w:rPr>
              <w:t>表土回覆</w:t>
            </w:r>
          </w:p>
        </w:tc>
        <w:tc>
          <w:tcPr>
            <w:tcW w:w="1155" w:type="dxa"/>
            <w:vAlign w:val="center"/>
          </w:tcPr>
          <w:p w14:paraId="7D0CB3D0">
            <w:pPr>
              <w:pStyle w:val="179"/>
            </w:pPr>
            <w:r>
              <w:t>万m</w:t>
            </w:r>
            <w:r>
              <w:rPr>
                <w:vertAlign w:val="superscript"/>
              </w:rPr>
              <w:t>3</w:t>
            </w:r>
          </w:p>
        </w:tc>
        <w:tc>
          <w:tcPr>
            <w:tcW w:w="1590" w:type="dxa"/>
            <w:vAlign w:val="center"/>
          </w:tcPr>
          <w:p w14:paraId="7E493F2D">
            <w:pPr>
              <w:pStyle w:val="179"/>
            </w:pPr>
            <w:r>
              <w:rPr>
                <w:rFonts w:hint="eastAsia"/>
              </w:rPr>
              <w:t>11.01</w:t>
            </w:r>
          </w:p>
        </w:tc>
        <w:tc>
          <w:tcPr>
            <w:tcW w:w="1229" w:type="dxa"/>
            <w:vAlign w:val="center"/>
          </w:tcPr>
          <w:p w14:paraId="794919E4">
            <w:pPr>
              <w:pStyle w:val="179"/>
            </w:pPr>
            <w:r>
              <w:t>闭矿后</w:t>
            </w:r>
          </w:p>
        </w:tc>
      </w:tr>
      <w:tr w14:paraId="203A2E6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9" w:type="dxa"/>
            <w:vMerge w:val="restart"/>
            <w:vAlign w:val="center"/>
          </w:tcPr>
          <w:p w14:paraId="068B0B2D">
            <w:pPr>
              <w:pStyle w:val="179"/>
            </w:pPr>
            <w:r>
              <w:t>恢复植被</w:t>
            </w:r>
          </w:p>
        </w:tc>
        <w:tc>
          <w:tcPr>
            <w:tcW w:w="3135" w:type="dxa"/>
            <w:vAlign w:val="center"/>
          </w:tcPr>
          <w:p w14:paraId="446982A5">
            <w:pPr>
              <w:pStyle w:val="179"/>
            </w:pPr>
            <w:r>
              <w:rPr>
                <w:rFonts w:hint="eastAsia"/>
              </w:rPr>
              <w:t>樟子松</w:t>
            </w:r>
          </w:p>
        </w:tc>
        <w:tc>
          <w:tcPr>
            <w:tcW w:w="1155" w:type="dxa"/>
            <w:vAlign w:val="center"/>
          </w:tcPr>
          <w:p w14:paraId="7143856F">
            <w:pPr>
              <w:pStyle w:val="179"/>
            </w:pPr>
            <w:r>
              <w:t>株</w:t>
            </w:r>
          </w:p>
        </w:tc>
        <w:tc>
          <w:tcPr>
            <w:tcW w:w="1590" w:type="dxa"/>
            <w:vAlign w:val="center"/>
          </w:tcPr>
          <w:p w14:paraId="32FCD949">
            <w:pPr>
              <w:pStyle w:val="179"/>
            </w:pPr>
            <w:r>
              <w:t>2751</w:t>
            </w:r>
            <w:r>
              <w:rPr>
                <w:rFonts w:hint="eastAsia"/>
              </w:rPr>
              <w:t>3</w:t>
            </w:r>
          </w:p>
        </w:tc>
        <w:tc>
          <w:tcPr>
            <w:tcW w:w="1229" w:type="dxa"/>
            <w:vAlign w:val="center"/>
          </w:tcPr>
          <w:p w14:paraId="6504FAC5">
            <w:pPr>
              <w:pStyle w:val="179"/>
            </w:pPr>
            <w:r>
              <w:t>闭矿后</w:t>
            </w:r>
          </w:p>
        </w:tc>
      </w:tr>
      <w:tr w14:paraId="2E3D573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9" w:type="dxa"/>
            <w:vMerge w:val="continue"/>
            <w:vAlign w:val="center"/>
          </w:tcPr>
          <w:p w14:paraId="72119C3A">
            <w:pPr>
              <w:pStyle w:val="179"/>
            </w:pPr>
          </w:p>
        </w:tc>
        <w:tc>
          <w:tcPr>
            <w:tcW w:w="3135" w:type="dxa"/>
            <w:vAlign w:val="center"/>
          </w:tcPr>
          <w:p w14:paraId="322B4403">
            <w:pPr>
              <w:pStyle w:val="179"/>
            </w:pPr>
            <w:r>
              <w:t>撒播羊草草籽</w:t>
            </w:r>
          </w:p>
        </w:tc>
        <w:tc>
          <w:tcPr>
            <w:tcW w:w="1155" w:type="dxa"/>
            <w:vAlign w:val="center"/>
          </w:tcPr>
          <w:p w14:paraId="1CDCA529">
            <w:pPr>
              <w:pStyle w:val="179"/>
            </w:pPr>
            <w:r>
              <w:t>hm</w:t>
            </w:r>
            <w:r>
              <w:rPr>
                <w:vertAlign w:val="superscript"/>
              </w:rPr>
              <w:t>2</w:t>
            </w:r>
          </w:p>
        </w:tc>
        <w:tc>
          <w:tcPr>
            <w:tcW w:w="1590" w:type="dxa"/>
            <w:vAlign w:val="center"/>
          </w:tcPr>
          <w:p w14:paraId="39AFA90D">
            <w:pPr>
              <w:pStyle w:val="179"/>
            </w:pPr>
            <w:r>
              <w:rPr>
                <w:rFonts w:hint="eastAsia"/>
              </w:rPr>
              <w:t>11.01</w:t>
            </w:r>
          </w:p>
        </w:tc>
        <w:tc>
          <w:tcPr>
            <w:tcW w:w="1229" w:type="dxa"/>
            <w:vAlign w:val="center"/>
          </w:tcPr>
          <w:p w14:paraId="101431BE">
            <w:pPr>
              <w:pStyle w:val="179"/>
            </w:pPr>
            <w:r>
              <w:t>闭矿后</w:t>
            </w:r>
          </w:p>
        </w:tc>
      </w:tr>
    </w:tbl>
    <w:p w14:paraId="40956304">
      <w:pPr>
        <w:pStyle w:val="4"/>
        <w:spacing w:before="180" w:after="120"/>
      </w:pPr>
      <w:r>
        <w:t>实施保障</w:t>
      </w:r>
    </w:p>
    <w:p w14:paraId="0A4AE3DC">
      <w:pPr>
        <w:widowControl/>
        <w:topLinePunct/>
        <w:autoSpaceDE w:val="0"/>
        <w:autoSpaceDN w:val="0"/>
        <w:adjustRightInd w:val="0"/>
        <w:snapToGrid w:val="0"/>
        <w:spacing w:line="480" w:lineRule="exact"/>
        <w:ind w:firstLine="480"/>
        <w:textAlignment w:val="baseline"/>
        <w:rPr>
          <w:rFonts w:hAnsi="Times New Roman" w:cs="Times New Roman"/>
        </w:rPr>
      </w:pPr>
      <w:r>
        <w:rPr>
          <w:rFonts w:hAnsi="Times New Roman" w:cs="Times New Roman"/>
        </w:rPr>
        <w:t>1、发挥矿山地质环境保护与土地复垦方案报告书规划指导作用，保障矿山地质环境保护与土地复垦实施；</w:t>
      </w:r>
    </w:p>
    <w:p w14:paraId="19B611BD">
      <w:pPr>
        <w:widowControl/>
        <w:topLinePunct/>
        <w:autoSpaceDE w:val="0"/>
        <w:autoSpaceDN w:val="0"/>
        <w:adjustRightInd w:val="0"/>
        <w:snapToGrid w:val="0"/>
        <w:spacing w:line="480" w:lineRule="exact"/>
        <w:ind w:firstLine="480"/>
        <w:textAlignment w:val="baseline"/>
        <w:rPr>
          <w:rFonts w:hAnsi="Times New Roman" w:cs="Times New Roman"/>
        </w:rPr>
      </w:pPr>
      <w:r>
        <w:rPr>
          <w:rFonts w:hAnsi="Times New Roman" w:cs="Times New Roman"/>
        </w:rPr>
        <w:t>2、依据矿山地质环境保护与土地复垦报告书，制定相应的规划实施大纲和年度计划，并根据矿山地质环境保护与土地复垦技术的不断完善提出相应的改进措施，确保矿山地质环境保护与土地复垦各项工程落到实处；</w:t>
      </w:r>
    </w:p>
    <w:p w14:paraId="6FEFCA7A">
      <w:pPr>
        <w:ind w:firstLine="480"/>
      </w:pPr>
      <w:r>
        <w:t>3、完善矿山地质环境保护与土地复垦工程决策机制，建立健全矿山地质环境保护与土地复垦工程咨询、公示等制度，提高土地复垦的公众参与度；</w:t>
      </w:r>
    </w:p>
    <w:p w14:paraId="657F9DDB">
      <w:pPr>
        <w:ind w:firstLine="480"/>
      </w:pPr>
      <w:r>
        <w:t>4、实行领导责任制，落实矿山地质环境保护与土地复垦责任，切实抓好矿山地质环境保护与土地复垦工作，保证矿山地质环境保护与土地复垦工程质量；</w:t>
      </w:r>
    </w:p>
    <w:p w14:paraId="6D4EA2E8">
      <w:pPr>
        <w:ind w:firstLine="480"/>
      </w:pPr>
      <w:r>
        <w:t>5、以创新和长效管理为基础，进一步论证矿山地质环境保护与土地复垦工程的可行性，定期开展矿山地质环境保护与土地复垦工程实施评估工作，检查矿山地质环境保护与土地复垦工程实施效果及落实情况，提出改进意见；</w:t>
      </w:r>
    </w:p>
    <w:p w14:paraId="77807D6D">
      <w:pPr>
        <w:ind w:firstLine="480"/>
        <w:rPr>
          <w:snapToGrid w:val="0"/>
          <w:szCs w:val="28"/>
        </w:rPr>
      </w:pPr>
      <w:r>
        <w:t>6、严格执行规划，严肃查处违反规划的建设行为，同时根据实际生产情况和土地损毁情况，进一步完善矿山地质环境保护与土地复垦报告书，拓展矿山地质环境保护与土地复垦报告编制的深度和广度，做到所有矿山地质环境保护与土地复垦工程遵循矿山地质环境保护与土地复垦报告设计。</w:t>
      </w:r>
    </w:p>
    <w:p w14:paraId="58152E8D">
      <w:pPr>
        <w:pStyle w:val="3"/>
        <w:spacing w:before="180" w:after="120"/>
        <w:rPr>
          <w:rFonts w:cs="Times New Roman"/>
          <w:bCs/>
        </w:rPr>
      </w:pPr>
      <w:bookmarkStart w:id="561" w:name="_Toc12649412"/>
      <w:bookmarkStart w:id="562" w:name="_Toc61013561"/>
      <w:bookmarkStart w:id="563" w:name="_Toc61013151"/>
      <w:bookmarkStart w:id="564" w:name="_Toc76395514"/>
      <w:bookmarkStart w:id="565" w:name="_Toc61013971"/>
      <w:bookmarkStart w:id="566" w:name="_Toc61013356"/>
      <w:bookmarkStart w:id="567" w:name="_Toc61012970"/>
      <w:bookmarkStart w:id="568" w:name="_Toc61012675"/>
      <w:bookmarkStart w:id="569" w:name="_Toc234927712"/>
      <w:bookmarkStart w:id="570" w:name="_Toc61013766"/>
      <w:r>
        <w:rPr>
          <w:rFonts w:cs="Times New Roman"/>
        </w:rPr>
        <w:t>环保投资估算</w:t>
      </w:r>
      <w:bookmarkEnd w:id="561"/>
      <w:bookmarkEnd w:id="562"/>
      <w:bookmarkEnd w:id="563"/>
      <w:bookmarkEnd w:id="564"/>
      <w:bookmarkEnd w:id="565"/>
      <w:bookmarkEnd w:id="566"/>
      <w:bookmarkEnd w:id="567"/>
      <w:bookmarkEnd w:id="568"/>
      <w:bookmarkEnd w:id="569"/>
      <w:bookmarkEnd w:id="570"/>
    </w:p>
    <w:p w14:paraId="750AF871">
      <w:pPr>
        <w:ind w:firstLine="480"/>
      </w:pPr>
      <w:r>
        <w:t>环保投资比按下式计算：</w:t>
      </w:r>
    </w:p>
    <w:p w14:paraId="24958D2F">
      <w:pPr>
        <w:widowControl/>
        <w:topLinePunct/>
        <w:autoSpaceDE w:val="0"/>
        <w:autoSpaceDN w:val="0"/>
        <w:adjustRightInd w:val="0"/>
        <w:snapToGrid w:val="0"/>
        <w:ind w:firstLine="480"/>
        <w:jc w:val="center"/>
        <w:textAlignment w:val="baseline"/>
        <w:rPr>
          <w:rFonts w:hAnsi="Times New Roman" w:cs="Times New Roman"/>
        </w:rPr>
      </w:pPr>
      <w:r>
        <w:rPr>
          <w:rFonts w:hAnsi="Times New Roman" w:eastAsia="宋体" w:cs="Times New Roman"/>
        </w:rPr>
        <w:object>
          <v:shape id="_x0000_i1031" o:spt="75" type="#_x0000_t75" style="height:30.85pt;width:88.7pt;" o:ole="t" filled="f" o:preferrelative="t" stroked="f" coordsize="21600,21600">
            <v:path/>
            <v:fill on="f" focussize="0,0"/>
            <v:stroke on="f" joinstyle="miter"/>
            <v:imagedata r:id="rId112" o:title=""/>
            <o:lock v:ext="edit" aspectratio="t"/>
            <w10:wrap type="none"/>
            <w10:anchorlock/>
          </v:shape>
          <o:OLEObject Type="Embed" ProgID="Equation.3" ShapeID="_x0000_i1031" DrawAspect="Content" ObjectID="_1468075731" r:id="rId111">
            <o:LockedField>false</o:LockedField>
          </o:OLEObject>
        </w:object>
      </w:r>
    </w:p>
    <w:p w14:paraId="48C81FE6">
      <w:pPr>
        <w:ind w:firstLine="480"/>
      </w:pPr>
      <w:r>
        <w:t>式中：HJ—环保费用投资比，100％；</w:t>
      </w:r>
    </w:p>
    <w:p w14:paraId="21213B68">
      <w:pPr>
        <w:ind w:firstLine="480"/>
      </w:pPr>
      <w:r>
        <w:t xml:space="preserve">      HT—环保投资，万元；</w:t>
      </w:r>
    </w:p>
    <w:p w14:paraId="049F65AE">
      <w:pPr>
        <w:ind w:firstLine="480"/>
      </w:pPr>
      <w:r>
        <w:t xml:space="preserve">      JI—项目总投资，万元。</w:t>
      </w:r>
    </w:p>
    <w:p w14:paraId="291F8D4B">
      <w:pPr>
        <w:ind w:firstLine="480"/>
      </w:pPr>
      <w:r>
        <w:t>本项目总投资3500万元，其中环保投资为</w:t>
      </w:r>
      <w:r>
        <w:rPr>
          <w:rFonts w:hint="eastAsia"/>
        </w:rPr>
        <w:t>296</w:t>
      </w:r>
      <w:r>
        <w:t>万元，环保投资比例为8.46%，本项目环保投资估算费用见表6.</w:t>
      </w:r>
      <w:r>
        <w:rPr>
          <w:rFonts w:hint="eastAsia"/>
        </w:rPr>
        <w:t>4</w:t>
      </w:r>
      <w:r>
        <w:t>-1。</w:t>
      </w:r>
    </w:p>
    <w:p w14:paraId="765FA206">
      <w:pPr>
        <w:pStyle w:val="178"/>
      </w:pPr>
      <w:r>
        <w:t>表6.</w:t>
      </w:r>
      <w:r>
        <w:rPr>
          <w:rFonts w:hint="eastAsia"/>
        </w:rPr>
        <w:t>4</w:t>
      </w:r>
      <w:r>
        <w:t>-1  环保投资估算一览表</w:t>
      </w:r>
    </w:p>
    <w:tbl>
      <w:tblPr>
        <w:tblStyle w:val="36"/>
        <w:tblW w:w="4998"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57" w:type="dxa"/>
          <w:bottom w:w="0" w:type="dxa"/>
          <w:right w:w="57" w:type="dxa"/>
        </w:tblCellMar>
      </w:tblPr>
      <w:tblGrid>
        <w:gridCol w:w="623"/>
        <w:gridCol w:w="1844"/>
        <w:gridCol w:w="992"/>
        <w:gridCol w:w="3829"/>
        <w:gridCol w:w="1079"/>
      </w:tblGrid>
      <w:tr w14:paraId="7474BE1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57" w:type="dxa"/>
            <w:bottom w:w="0" w:type="dxa"/>
            <w:right w:w="57" w:type="dxa"/>
          </w:tblCellMar>
        </w:tblPrEx>
        <w:trPr>
          <w:trHeight w:val="340" w:hRule="atLeast"/>
          <w:tblHeader/>
          <w:jc w:val="center"/>
        </w:trPr>
        <w:tc>
          <w:tcPr>
            <w:tcW w:w="372" w:type="pct"/>
            <w:tcBorders>
              <w:top w:val="single" w:color="auto" w:sz="12" w:space="0"/>
              <w:left w:val="single" w:color="auto" w:sz="12" w:space="0"/>
            </w:tcBorders>
            <w:vAlign w:val="center"/>
          </w:tcPr>
          <w:p w14:paraId="298C2BD6">
            <w:pPr>
              <w:pStyle w:val="179"/>
              <w:rPr>
                <w:b/>
              </w:rPr>
            </w:pPr>
            <w:r>
              <w:rPr>
                <w:b/>
              </w:rPr>
              <w:t>序号</w:t>
            </w:r>
          </w:p>
        </w:tc>
        <w:tc>
          <w:tcPr>
            <w:tcW w:w="1695" w:type="pct"/>
            <w:gridSpan w:val="2"/>
            <w:tcBorders>
              <w:top w:val="single" w:color="auto" w:sz="12" w:space="0"/>
            </w:tcBorders>
            <w:vAlign w:val="center"/>
          </w:tcPr>
          <w:p w14:paraId="432A25C9">
            <w:pPr>
              <w:pStyle w:val="179"/>
              <w:rPr>
                <w:b/>
              </w:rPr>
            </w:pPr>
            <w:r>
              <w:rPr>
                <w:b/>
              </w:rPr>
              <w:t>项目</w:t>
            </w:r>
          </w:p>
        </w:tc>
        <w:tc>
          <w:tcPr>
            <w:tcW w:w="2288" w:type="pct"/>
            <w:tcBorders>
              <w:top w:val="single" w:color="auto" w:sz="12" w:space="0"/>
            </w:tcBorders>
            <w:vAlign w:val="center"/>
          </w:tcPr>
          <w:p w14:paraId="363F8126">
            <w:pPr>
              <w:pStyle w:val="179"/>
              <w:rPr>
                <w:b/>
              </w:rPr>
            </w:pPr>
            <w:r>
              <w:rPr>
                <w:b/>
              </w:rPr>
              <w:t>主要设施</w:t>
            </w:r>
          </w:p>
        </w:tc>
        <w:tc>
          <w:tcPr>
            <w:tcW w:w="645" w:type="pct"/>
            <w:tcBorders>
              <w:top w:val="single" w:color="auto" w:sz="12" w:space="0"/>
              <w:right w:val="single" w:color="auto" w:sz="12" w:space="0"/>
            </w:tcBorders>
            <w:vAlign w:val="center"/>
          </w:tcPr>
          <w:p w14:paraId="67706164">
            <w:pPr>
              <w:pStyle w:val="179"/>
              <w:rPr>
                <w:b/>
              </w:rPr>
            </w:pPr>
            <w:r>
              <w:rPr>
                <w:b/>
              </w:rPr>
              <w:t>投资额</w:t>
            </w:r>
          </w:p>
          <w:p w14:paraId="1F08DCF4">
            <w:pPr>
              <w:pStyle w:val="179"/>
              <w:rPr>
                <w:b/>
              </w:rPr>
            </w:pPr>
            <w:r>
              <w:rPr>
                <w:b/>
              </w:rPr>
              <w:t>（万元）</w:t>
            </w:r>
          </w:p>
        </w:tc>
      </w:tr>
      <w:tr w14:paraId="311A3BC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57" w:type="dxa"/>
            <w:bottom w:w="0" w:type="dxa"/>
            <w:right w:w="57" w:type="dxa"/>
          </w:tblCellMar>
        </w:tblPrEx>
        <w:trPr>
          <w:trHeight w:val="340" w:hRule="atLeast"/>
          <w:jc w:val="center"/>
        </w:trPr>
        <w:tc>
          <w:tcPr>
            <w:tcW w:w="372" w:type="pct"/>
            <w:vMerge w:val="restart"/>
            <w:tcBorders>
              <w:left w:val="single" w:color="auto" w:sz="12" w:space="0"/>
            </w:tcBorders>
            <w:vAlign w:val="center"/>
          </w:tcPr>
          <w:p w14:paraId="1A40E0F2">
            <w:pPr>
              <w:pStyle w:val="179"/>
            </w:pPr>
            <w:r>
              <w:t>1</w:t>
            </w:r>
          </w:p>
        </w:tc>
        <w:tc>
          <w:tcPr>
            <w:tcW w:w="1102" w:type="pct"/>
            <w:vMerge w:val="restart"/>
            <w:vAlign w:val="center"/>
          </w:tcPr>
          <w:p w14:paraId="0EB0179F">
            <w:pPr>
              <w:pStyle w:val="179"/>
            </w:pPr>
            <w:r>
              <w:t>废气治理措施</w:t>
            </w:r>
          </w:p>
        </w:tc>
        <w:tc>
          <w:tcPr>
            <w:tcW w:w="593" w:type="pct"/>
            <w:vAlign w:val="center"/>
          </w:tcPr>
          <w:p w14:paraId="7BC45A02">
            <w:pPr>
              <w:pStyle w:val="179"/>
            </w:pPr>
            <w:r>
              <w:t>施工期</w:t>
            </w:r>
          </w:p>
        </w:tc>
        <w:tc>
          <w:tcPr>
            <w:tcW w:w="2288" w:type="pct"/>
            <w:vAlign w:val="center"/>
          </w:tcPr>
          <w:p w14:paraId="76C43ACA">
            <w:pPr>
              <w:pStyle w:val="179"/>
            </w:pPr>
            <w:r>
              <w:t>施工场地洒水降尘</w:t>
            </w:r>
          </w:p>
        </w:tc>
        <w:tc>
          <w:tcPr>
            <w:tcW w:w="645" w:type="pct"/>
            <w:tcBorders>
              <w:right w:val="single" w:color="auto" w:sz="12" w:space="0"/>
            </w:tcBorders>
            <w:vAlign w:val="center"/>
          </w:tcPr>
          <w:p w14:paraId="1D4810FD">
            <w:pPr>
              <w:pStyle w:val="179"/>
            </w:pPr>
            <w:r>
              <w:rPr>
                <w:rFonts w:hint="eastAsia"/>
              </w:rPr>
              <w:t>2.0</w:t>
            </w:r>
          </w:p>
        </w:tc>
      </w:tr>
      <w:tr w14:paraId="1570455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57" w:type="dxa"/>
            <w:bottom w:w="0" w:type="dxa"/>
            <w:right w:w="57" w:type="dxa"/>
          </w:tblCellMar>
        </w:tblPrEx>
        <w:trPr>
          <w:trHeight w:val="340" w:hRule="atLeast"/>
          <w:jc w:val="center"/>
        </w:trPr>
        <w:tc>
          <w:tcPr>
            <w:tcW w:w="372" w:type="pct"/>
            <w:vMerge w:val="continue"/>
            <w:tcBorders>
              <w:left w:val="single" w:color="auto" w:sz="12" w:space="0"/>
            </w:tcBorders>
            <w:vAlign w:val="center"/>
          </w:tcPr>
          <w:p w14:paraId="2DD32887">
            <w:pPr>
              <w:pStyle w:val="179"/>
            </w:pPr>
          </w:p>
        </w:tc>
        <w:tc>
          <w:tcPr>
            <w:tcW w:w="1102" w:type="pct"/>
            <w:vMerge w:val="continue"/>
            <w:vAlign w:val="center"/>
          </w:tcPr>
          <w:p w14:paraId="414433FE">
            <w:pPr>
              <w:pStyle w:val="179"/>
            </w:pPr>
          </w:p>
        </w:tc>
        <w:tc>
          <w:tcPr>
            <w:tcW w:w="593" w:type="pct"/>
            <w:vMerge w:val="restart"/>
            <w:vAlign w:val="center"/>
          </w:tcPr>
          <w:p w14:paraId="7D214C0E">
            <w:pPr>
              <w:pStyle w:val="179"/>
            </w:pPr>
            <w:r>
              <w:t>营运期</w:t>
            </w:r>
          </w:p>
        </w:tc>
        <w:tc>
          <w:tcPr>
            <w:tcW w:w="2288" w:type="pct"/>
            <w:vAlign w:val="center"/>
          </w:tcPr>
          <w:p w14:paraId="0D5AF7FD">
            <w:pPr>
              <w:pStyle w:val="179"/>
            </w:pPr>
            <w:r>
              <w:rPr>
                <w:rFonts w:hint="eastAsia"/>
              </w:rPr>
              <w:t>表土堆场、</w:t>
            </w:r>
            <w:r>
              <w:t>运输车辆采用苫布苫盖等封闭措施</w:t>
            </w:r>
          </w:p>
        </w:tc>
        <w:tc>
          <w:tcPr>
            <w:tcW w:w="645" w:type="pct"/>
            <w:tcBorders>
              <w:right w:val="single" w:color="auto" w:sz="12" w:space="0"/>
            </w:tcBorders>
            <w:vAlign w:val="center"/>
          </w:tcPr>
          <w:p w14:paraId="012E3E68">
            <w:pPr>
              <w:pStyle w:val="179"/>
            </w:pPr>
            <w:r>
              <w:rPr>
                <w:rFonts w:hint="eastAsia"/>
              </w:rPr>
              <w:t>3</w:t>
            </w:r>
            <w:r>
              <w:t>.0</w:t>
            </w:r>
          </w:p>
        </w:tc>
      </w:tr>
      <w:tr w14:paraId="724746C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57" w:type="dxa"/>
            <w:bottom w:w="0" w:type="dxa"/>
            <w:right w:w="57" w:type="dxa"/>
          </w:tblCellMar>
        </w:tblPrEx>
        <w:trPr>
          <w:trHeight w:val="340" w:hRule="atLeast"/>
          <w:jc w:val="center"/>
        </w:trPr>
        <w:tc>
          <w:tcPr>
            <w:tcW w:w="372" w:type="pct"/>
            <w:vMerge w:val="continue"/>
            <w:tcBorders>
              <w:left w:val="single" w:color="auto" w:sz="12" w:space="0"/>
            </w:tcBorders>
            <w:vAlign w:val="center"/>
          </w:tcPr>
          <w:p w14:paraId="2B5D4A05">
            <w:pPr>
              <w:pStyle w:val="179"/>
            </w:pPr>
          </w:p>
        </w:tc>
        <w:tc>
          <w:tcPr>
            <w:tcW w:w="1102" w:type="pct"/>
            <w:vMerge w:val="continue"/>
            <w:vAlign w:val="center"/>
          </w:tcPr>
          <w:p w14:paraId="0432F2D7">
            <w:pPr>
              <w:pStyle w:val="179"/>
            </w:pPr>
          </w:p>
        </w:tc>
        <w:tc>
          <w:tcPr>
            <w:tcW w:w="593" w:type="pct"/>
            <w:vMerge w:val="continue"/>
            <w:vAlign w:val="center"/>
          </w:tcPr>
          <w:p w14:paraId="0705D3A0">
            <w:pPr>
              <w:pStyle w:val="179"/>
            </w:pPr>
          </w:p>
        </w:tc>
        <w:tc>
          <w:tcPr>
            <w:tcW w:w="2288" w:type="pct"/>
            <w:vAlign w:val="center"/>
          </w:tcPr>
          <w:p w14:paraId="48780BF7">
            <w:pPr>
              <w:pStyle w:val="179"/>
            </w:pPr>
            <w:r>
              <w:t>洒水车及洒水设备</w:t>
            </w:r>
          </w:p>
        </w:tc>
        <w:tc>
          <w:tcPr>
            <w:tcW w:w="645" w:type="pct"/>
            <w:tcBorders>
              <w:right w:val="single" w:color="auto" w:sz="12" w:space="0"/>
            </w:tcBorders>
            <w:vAlign w:val="center"/>
          </w:tcPr>
          <w:p w14:paraId="11CFBD04">
            <w:pPr>
              <w:pStyle w:val="179"/>
            </w:pPr>
            <w:r>
              <w:rPr>
                <w:rFonts w:hint="eastAsia"/>
              </w:rPr>
              <w:t>3</w:t>
            </w:r>
            <w:r>
              <w:t>.0</w:t>
            </w:r>
          </w:p>
        </w:tc>
      </w:tr>
      <w:tr w14:paraId="553A61C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57" w:type="dxa"/>
            <w:bottom w:w="0" w:type="dxa"/>
            <w:right w:w="57" w:type="dxa"/>
          </w:tblCellMar>
        </w:tblPrEx>
        <w:trPr>
          <w:trHeight w:val="340" w:hRule="atLeast"/>
          <w:jc w:val="center"/>
        </w:trPr>
        <w:tc>
          <w:tcPr>
            <w:tcW w:w="372" w:type="pct"/>
            <w:vMerge w:val="restart"/>
            <w:tcBorders>
              <w:left w:val="single" w:color="auto" w:sz="12" w:space="0"/>
            </w:tcBorders>
            <w:vAlign w:val="center"/>
          </w:tcPr>
          <w:p w14:paraId="5044BE4F">
            <w:pPr>
              <w:pStyle w:val="179"/>
            </w:pPr>
            <w:r>
              <w:t>2</w:t>
            </w:r>
          </w:p>
        </w:tc>
        <w:tc>
          <w:tcPr>
            <w:tcW w:w="1102" w:type="pct"/>
            <w:vMerge w:val="restart"/>
            <w:vAlign w:val="center"/>
          </w:tcPr>
          <w:p w14:paraId="2796D506">
            <w:pPr>
              <w:pStyle w:val="179"/>
            </w:pPr>
            <w:r>
              <w:t>废水治理措施</w:t>
            </w:r>
          </w:p>
        </w:tc>
        <w:tc>
          <w:tcPr>
            <w:tcW w:w="593" w:type="pct"/>
            <w:vAlign w:val="center"/>
          </w:tcPr>
          <w:p w14:paraId="7E017B09">
            <w:pPr>
              <w:pStyle w:val="179"/>
            </w:pPr>
            <w:r>
              <w:t>施工期</w:t>
            </w:r>
          </w:p>
        </w:tc>
        <w:tc>
          <w:tcPr>
            <w:tcW w:w="2288" w:type="pct"/>
            <w:vAlign w:val="center"/>
          </w:tcPr>
          <w:p w14:paraId="301F7A5F">
            <w:pPr>
              <w:pStyle w:val="179"/>
            </w:pPr>
            <w:r>
              <w:t>隔油沉淀池</w:t>
            </w:r>
          </w:p>
        </w:tc>
        <w:tc>
          <w:tcPr>
            <w:tcW w:w="645" w:type="pct"/>
            <w:tcBorders>
              <w:right w:val="single" w:color="auto" w:sz="12" w:space="0"/>
            </w:tcBorders>
            <w:vAlign w:val="center"/>
          </w:tcPr>
          <w:p w14:paraId="727A437B">
            <w:pPr>
              <w:pStyle w:val="179"/>
            </w:pPr>
            <w:r>
              <w:rPr>
                <w:rFonts w:hint="eastAsia"/>
              </w:rPr>
              <w:t>1.0</w:t>
            </w:r>
          </w:p>
        </w:tc>
      </w:tr>
      <w:tr w14:paraId="5485B5C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57" w:type="dxa"/>
            <w:bottom w:w="0" w:type="dxa"/>
            <w:right w:w="57" w:type="dxa"/>
          </w:tblCellMar>
        </w:tblPrEx>
        <w:trPr>
          <w:trHeight w:val="340" w:hRule="atLeast"/>
          <w:jc w:val="center"/>
        </w:trPr>
        <w:tc>
          <w:tcPr>
            <w:tcW w:w="372" w:type="pct"/>
            <w:vMerge w:val="continue"/>
            <w:tcBorders>
              <w:left w:val="single" w:color="auto" w:sz="12" w:space="0"/>
            </w:tcBorders>
            <w:vAlign w:val="center"/>
          </w:tcPr>
          <w:p w14:paraId="050246B3">
            <w:pPr>
              <w:pStyle w:val="179"/>
            </w:pPr>
          </w:p>
        </w:tc>
        <w:tc>
          <w:tcPr>
            <w:tcW w:w="1102" w:type="pct"/>
            <w:vMerge w:val="continue"/>
            <w:vAlign w:val="center"/>
          </w:tcPr>
          <w:p w14:paraId="6F9A2644">
            <w:pPr>
              <w:pStyle w:val="179"/>
            </w:pPr>
          </w:p>
        </w:tc>
        <w:tc>
          <w:tcPr>
            <w:tcW w:w="593" w:type="pct"/>
            <w:vMerge w:val="restart"/>
            <w:vAlign w:val="center"/>
          </w:tcPr>
          <w:p w14:paraId="3E7B4DDB">
            <w:pPr>
              <w:pStyle w:val="179"/>
            </w:pPr>
            <w:r>
              <w:t>营运期</w:t>
            </w:r>
          </w:p>
        </w:tc>
        <w:tc>
          <w:tcPr>
            <w:tcW w:w="2288" w:type="pct"/>
            <w:vAlign w:val="center"/>
          </w:tcPr>
          <w:p w14:paraId="4432B66F">
            <w:pPr>
              <w:pStyle w:val="179"/>
            </w:pPr>
            <w:r>
              <w:t>修建</w:t>
            </w:r>
            <w:r>
              <w:rPr>
                <w:rFonts w:hint="eastAsia"/>
              </w:rPr>
              <w:t>1座630</w:t>
            </w:r>
            <w:r>
              <w:t>m</w:t>
            </w:r>
            <w:r>
              <w:rPr>
                <w:vertAlign w:val="superscript"/>
              </w:rPr>
              <w:t>3</w:t>
            </w:r>
            <w:r>
              <w:t>防渗</w:t>
            </w:r>
            <w:r>
              <w:rPr>
                <w:rFonts w:hint="eastAsia"/>
              </w:rPr>
              <w:t>贮水池</w:t>
            </w:r>
          </w:p>
        </w:tc>
        <w:tc>
          <w:tcPr>
            <w:tcW w:w="645" w:type="pct"/>
            <w:tcBorders>
              <w:right w:val="single" w:color="auto" w:sz="12" w:space="0"/>
            </w:tcBorders>
            <w:vAlign w:val="center"/>
          </w:tcPr>
          <w:p w14:paraId="5F37D295">
            <w:pPr>
              <w:pStyle w:val="179"/>
            </w:pPr>
            <w:r>
              <w:rPr>
                <w:rFonts w:hint="eastAsia"/>
              </w:rPr>
              <w:t>2.0</w:t>
            </w:r>
          </w:p>
        </w:tc>
      </w:tr>
      <w:tr w14:paraId="606A881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57" w:type="dxa"/>
            <w:bottom w:w="0" w:type="dxa"/>
            <w:right w:w="57" w:type="dxa"/>
          </w:tblCellMar>
        </w:tblPrEx>
        <w:trPr>
          <w:trHeight w:val="340" w:hRule="atLeast"/>
          <w:jc w:val="center"/>
        </w:trPr>
        <w:tc>
          <w:tcPr>
            <w:tcW w:w="372" w:type="pct"/>
            <w:vMerge w:val="continue"/>
            <w:tcBorders>
              <w:left w:val="single" w:color="auto" w:sz="12" w:space="0"/>
            </w:tcBorders>
            <w:vAlign w:val="center"/>
          </w:tcPr>
          <w:p w14:paraId="61BF3D18">
            <w:pPr>
              <w:pStyle w:val="179"/>
            </w:pPr>
          </w:p>
        </w:tc>
        <w:tc>
          <w:tcPr>
            <w:tcW w:w="1102" w:type="pct"/>
            <w:vMerge w:val="continue"/>
            <w:vAlign w:val="center"/>
          </w:tcPr>
          <w:p w14:paraId="20D1AFA7">
            <w:pPr>
              <w:pStyle w:val="179"/>
            </w:pPr>
          </w:p>
        </w:tc>
        <w:tc>
          <w:tcPr>
            <w:tcW w:w="593" w:type="pct"/>
            <w:vMerge w:val="continue"/>
            <w:vAlign w:val="center"/>
          </w:tcPr>
          <w:p w14:paraId="29F44BE0">
            <w:pPr>
              <w:pStyle w:val="179"/>
            </w:pPr>
          </w:p>
        </w:tc>
        <w:tc>
          <w:tcPr>
            <w:tcW w:w="2288" w:type="pct"/>
            <w:vAlign w:val="center"/>
          </w:tcPr>
          <w:p w14:paraId="564284EB">
            <w:pPr>
              <w:pStyle w:val="179"/>
            </w:pPr>
            <w:r>
              <w:t>汇水治理</w:t>
            </w:r>
            <w:r>
              <w:rPr>
                <w:rFonts w:hint="eastAsia"/>
              </w:rPr>
              <w:t>，</w:t>
            </w:r>
            <w:r>
              <w:t>设置导流渠</w:t>
            </w:r>
            <w:r>
              <w:rPr>
                <w:rFonts w:hint="eastAsia"/>
              </w:rPr>
              <w:t>40</w:t>
            </w:r>
            <w:r>
              <w:t>0m</w:t>
            </w:r>
          </w:p>
        </w:tc>
        <w:tc>
          <w:tcPr>
            <w:tcW w:w="645" w:type="pct"/>
            <w:tcBorders>
              <w:right w:val="single" w:color="auto" w:sz="12" w:space="0"/>
            </w:tcBorders>
            <w:vAlign w:val="center"/>
          </w:tcPr>
          <w:p w14:paraId="13093402">
            <w:pPr>
              <w:pStyle w:val="179"/>
            </w:pPr>
            <w:r>
              <w:rPr>
                <w:rFonts w:hint="eastAsia"/>
              </w:rPr>
              <w:t>5.0</w:t>
            </w:r>
          </w:p>
        </w:tc>
      </w:tr>
      <w:tr w14:paraId="552AE48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57" w:type="dxa"/>
            <w:bottom w:w="0" w:type="dxa"/>
            <w:right w:w="57" w:type="dxa"/>
          </w:tblCellMar>
        </w:tblPrEx>
        <w:trPr>
          <w:trHeight w:val="340" w:hRule="atLeast"/>
          <w:jc w:val="center"/>
        </w:trPr>
        <w:tc>
          <w:tcPr>
            <w:tcW w:w="372" w:type="pct"/>
            <w:tcBorders>
              <w:left w:val="single" w:color="auto" w:sz="12" w:space="0"/>
            </w:tcBorders>
            <w:vAlign w:val="center"/>
          </w:tcPr>
          <w:p w14:paraId="1D140950">
            <w:pPr>
              <w:pStyle w:val="179"/>
            </w:pPr>
            <w:r>
              <w:t>3</w:t>
            </w:r>
          </w:p>
        </w:tc>
        <w:tc>
          <w:tcPr>
            <w:tcW w:w="1102" w:type="pct"/>
            <w:vAlign w:val="center"/>
          </w:tcPr>
          <w:p w14:paraId="0E91C470">
            <w:pPr>
              <w:pStyle w:val="179"/>
            </w:pPr>
            <w:r>
              <w:t>噪声治理措施</w:t>
            </w:r>
          </w:p>
        </w:tc>
        <w:tc>
          <w:tcPr>
            <w:tcW w:w="593" w:type="pct"/>
            <w:vAlign w:val="center"/>
          </w:tcPr>
          <w:p w14:paraId="03D0AD54">
            <w:pPr>
              <w:pStyle w:val="179"/>
            </w:pPr>
            <w:r>
              <w:t>营运期</w:t>
            </w:r>
          </w:p>
        </w:tc>
        <w:tc>
          <w:tcPr>
            <w:tcW w:w="2288" w:type="pct"/>
            <w:vAlign w:val="center"/>
          </w:tcPr>
          <w:p w14:paraId="6F4BF472">
            <w:pPr>
              <w:pStyle w:val="179"/>
            </w:pPr>
            <w:r>
              <w:rPr>
                <w:rFonts w:hint="eastAsia"/>
              </w:rPr>
              <w:t>机械设备保养</w:t>
            </w:r>
          </w:p>
        </w:tc>
        <w:tc>
          <w:tcPr>
            <w:tcW w:w="645" w:type="pct"/>
            <w:tcBorders>
              <w:right w:val="single" w:color="auto" w:sz="12" w:space="0"/>
            </w:tcBorders>
            <w:vAlign w:val="center"/>
          </w:tcPr>
          <w:p w14:paraId="3F431EEB">
            <w:pPr>
              <w:pStyle w:val="179"/>
            </w:pPr>
            <w:r>
              <w:rPr>
                <w:rFonts w:hint="eastAsia"/>
              </w:rPr>
              <w:t>14.0</w:t>
            </w:r>
          </w:p>
        </w:tc>
      </w:tr>
      <w:tr w14:paraId="32A974C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57" w:type="dxa"/>
            <w:bottom w:w="0" w:type="dxa"/>
            <w:right w:w="57" w:type="dxa"/>
          </w:tblCellMar>
        </w:tblPrEx>
        <w:trPr>
          <w:trHeight w:val="340" w:hRule="atLeast"/>
          <w:jc w:val="center"/>
        </w:trPr>
        <w:tc>
          <w:tcPr>
            <w:tcW w:w="372" w:type="pct"/>
            <w:tcBorders>
              <w:left w:val="single" w:color="auto" w:sz="12" w:space="0"/>
            </w:tcBorders>
            <w:vAlign w:val="center"/>
          </w:tcPr>
          <w:p w14:paraId="1AE113DE">
            <w:pPr>
              <w:pStyle w:val="179"/>
            </w:pPr>
            <w:r>
              <w:t>4</w:t>
            </w:r>
          </w:p>
        </w:tc>
        <w:tc>
          <w:tcPr>
            <w:tcW w:w="1102" w:type="pct"/>
            <w:vAlign w:val="center"/>
          </w:tcPr>
          <w:p w14:paraId="6021A36D">
            <w:pPr>
              <w:pStyle w:val="179"/>
            </w:pPr>
            <w:r>
              <w:t>生态保护措施</w:t>
            </w:r>
          </w:p>
        </w:tc>
        <w:tc>
          <w:tcPr>
            <w:tcW w:w="593" w:type="pct"/>
            <w:vAlign w:val="center"/>
          </w:tcPr>
          <w:p w14:paraId="725CF00E">
            <w:pPr>
              <w:pStyle w:val="179"/>
            </w:pPr>
            <w:r>
              <w:t>营运期</w:t>
            </w:r>
          </w:p>
        </w:tc>
        <w:tc>
          <w:tcPr>
            <w:tcW w:w="2288" w:type="pct"/>
            <w:vAlign w:val="center"/>
          </w:tcPr>
          <w:p w14:paraId="223B7F63">
            <w:pPr>
              <w:pStyle w:val="179"/>
            </w:pPr>
            <w:r>
              <w:rPr>
                <w:rFonts w:hint="eastAsia"/>
              </w:rPr>
              <w:t>矿区四周</w:t>
            </w:r>
            <w:r>
              <w:t>设置</w:t>
            </w:r>
            <w:r>
              <w:rPr>
                <w:lang w:bidi="en-US"/>
              </w:rPr>
              <w:t>截流沟，根据地势在</w:t>
            </w:r>
            <w:r>
              <w:rPr>
                <w:rFonts w:hint="eastAsia"/>
                <w:lang w:bidi="en-US"/>
              </w:rPr>
              <w:t>矿区四周</w:t>
            </w:r>
            <w:r>
              <w:rPr>
                <w:lang w:bidi="en-US"/>
              </w:rPr>
              <w:t>设置底宽0.</w:t>
            </w:r>
            <w:r>
              <w:rPr>
                <w:rFonts w:hint="eastAsia"/>
                <w:lang w:bidi="en-US"/>
              </w:rPr>
              <w:t>6</w:t>
            </w:r>
            <w:r>
              <w:rPr>
                <w:lang w:bidi="en-US"/>
              </w:rPr>
              <w:t>m，深0.</w:t>
            </w:r>
            <w:r>
              <w:rPr>
                <w:rFonts w:hint="eastAsia"/>
                <w:lang w:bidi="en-US"/>
              </w:rPr>
              <w:t>5</w:t>
            </w:r>
            <w:r>
              <w:rPr>
                <w:lang w:bidi="en-US"/>
              </w:rPr>
              <w:t>m，</w:t>
            </w:r>
            <w:r>
              <w:rPr>
                <w:rFonts w:hint="eastAsia"/>
                <w:lang w:bidi="en-US"/>
              </w:rPr>
              <w:t>长1466</w:t>
            </w:r>
            <w:r>
              <w:rPr>
                <w:lang w:bidi="en-US"/>
              </w:rPr>
              <w:t>m截流沟</w:t>
            </w:r>
            <w:r>
              <w:rPr>
                <w:rFonts w:hint="eastAsia"/>
                <w:lang w:bidi="en-US"/>
              </w:rPr>
              <w:t>。</w:t>
            </w:r>
          </w:p>
        </w:tc>
        <w:tc>
          <w:tcPr>
            <w:tcW w:w="645" w:type="pct"/>
            <w:tcBorders>
              <w:right w:val="single" w:color="auto" w:sz="12" w:space="0"/>
            </w:tcBorders>
            <w:vAlign w:val="center"/>
          </w:tcPr>
          <w:p w14:paraId="473688B1">
            <w:pPr>
              <w:pStyle w:val="179"/>
            </w:pPr>
            <w:r>
              <w:rPr>
                <w:rFonts w:hint="eastAsia"/>
              </w:rPr>
              <w:t>26.0</w:t>
            </w:r>
          </w:p>
        </w:tc>
      </w:tr>
      <w:tr w14:paraId="08EE92B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57" w:type="dxa"/>
            <w:bottom w:w="0" w:type="dxa"/>
            <w:right w:w="57" w:type="dxa"/>
          </w:tblCellMar>
        </w:tblPrEx>
        <w:trPr>
          <w:trHeight w:val="340" w:hRule="atLeast"/>
          <w:jc w:val="center"/>
        </w:trPr>
        <w:tc>
          <w:tcPr>
            <w:tcW w:w="372" w:type="pct"/>
            <w:vMerge w:val="restart"/>
            <w:tcBorders>
              <w:left w:val="single" w:color="auto" w:sz="12" w:space="0"/>
            </w:tcBorders>
            <w:vAlign w:val="center"/>
          </w:tcPr>
          <w:p w14:paraId="0D90BF14">
            <w:pPr>
              <w:pStyle w:val="179"/>
            </w:pPr>
            <w:r>
              <w:t>5</w:t>
            </w:r>
          </w:p>
        </w:tc>
        <w:tc>
          <w:tcPr>
            <w:tcW w:w="1102" w:type="pct"/>
            <w:vMerge w:val="restart"/>
            <w:vAlign w:val="center"/>
          </w:tcPr>
          <w:p w14:paraId="38E55EB8">
            <w:pPr>
              <w:pStyle w:val="179"/>
            </w:pPr>
            <w:r>
              <w:t>固废</w:t>
            </w:r>
          </w:p>
        </w:tc>
        <w:tc>
          <w:tcPr>
            <w:tcW w:w="593" w:type="pct"/>
            <w:vAlign w:val="center"/>
          </w:tcPr>
          <w:p w14:paraId="5D5B0D40">
            <w:pPr>
              <w:pStyle w:val="179"/>
            </w:pPr>
            <w:r>
              <w:t>施工期</w:t>
            </w:r>
          </w:p>
        </w:tc>
        <w:tc>
          <w:tcPr>
            <w:tcW w:w="2288" w:type="pct"/>
            <w:vAlign w:val="center"/>
          </w:tcPr>
          <w:p w14:paraId="1602A8FB">
            <w:pPr>
              <w:pStyle w:val="179"/>
            </w:pPr>
            <w:r>
              <w:t>固废运输</w:t>
            </w:r>
          </w:p>
        </w:tc>
        <w:tc>
          <w:tcPr>
            <w:tcW w:w="645" w:type="pct"/>
            <w:tcBorders>
              <w:right w:val="single" w:color="auto" w:sz="12" w:space="0"/>
            </w:tcBorders>
            <w:vAlign w:val="center"/>
          </w:tcPr>
          <w:p w14:paraId="21618C21">
            <w:pPr>
              <w:pStyle w:val="179"/>
            </w:pPr>
            <w:r>
              <w:t>1.0</w:t>
            </w:r>
          </w:p>
        </w:tc>
      </w:tr>
      <w:tr w14:paraId="6CD5B05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57" w:type="dxa"/>
            <w:bottom w:w="0" w:type="dxa"/>
            <w:right w:w="57" w:type="dxa"/>
          </w:tblCellMar>
        </w:tblPrEx>
        <w:trPr>
          <w:trHeight w:val="340" w:hRule="atLeast"/>
          <w:jc w:val="center"/>
        </w:trPr>
        <w:tc>
          <w:tcPr>
            <w:tcW w:w="372" w:type="pct"/>
            <w:vMerge w:val="continue"/>
            <w:tcBorders>
              <w:left w:val="single" w:color="auto" w:sz="12" w:space="0"/>
            </w:tcBorders>
            <w:vAlign w:val="center"/>
          </w:tcPr>
          <w:p w14:paraId="66BF107F">
            <w:pPr>
              <w:pStyle w:val="179"/>
            </w:pPr>
          </w:p>
        </w:tc>
        <w:tc>
          <w:tcPr>
            <w:tcW w:w="1102" w:type="pct"/>
            <w:vMerge w:val="continue"/>
            <w:vAlign w:val="center"/>
          </w:tcPr>
          <w:p w14:paraId="798FD7EE">
            <w:pPr>
              <w:pStyle w:val="179"/>
            </w:pPr>
          </w:p>
        </w:tc>
        <w:tc>
          <w:tcPr>
            <w:tcW w:w="593" w:type="pct"/>
            <w:vAlign w:val="center"/>
          </w:tcPr>
          <w:p w14:paraId="37682F01">
            <w:pPr>
              <w:pStyle w:val="179"/>
            </w:pPr>
            <w:r>
              <w:t>营运期</w:t>
            </w:r>
          </w:p>
        </w:tc>
        <w:tc>
          <w:tcPr>
            <w:tcW w:w="2288" w:type="pct"/>
            <w:vAlign w:val="center"/>
          </w:tcPr>
          <w:p w14:paraId="23CDE39D">
            <w:pPr>
              <w:pStyle w:val="179"/>
            </w:pPr>
            <w:r>
              <w:t>固废运输</w:t>
            </w:r>
          </w:p>
        </w:tc>
        <w:tc>
          <w:tcPr>
            <w:tcW w:w="645" w:type="pct"/>
            <w:tcBorders>
              <w:right w:val="single" w:color="auto" w:sz="12" w:space="0"/>
            </w:tcBorders>
            <w:vAlign w:val="center"/>
          </w:tcPr>
          <w:p w14:paraId="2BF8E827">
            <w:pPr>
              <w:pStyle w:val="179"/>
            </w:pPr>
            <w:r>
              <w:t>1.0</w:t>
            </w:r>
          </w:p>
        </w:tc>
      </w:tr>
      <w:tr w14:paraId="05249E85">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57" w:type="dxa"/>
            <w:bottom w:w="0" w:type="dxa"/>
            <w:right w:w="57" w:type="dxa"/>
          </w:tblCellMar>
        </w:tblPrEx>
        <w:trPr>
          <w:trHeight w:val="340" w:hRule="atLeast"/>
          <w:jc w:val="center"/>
        </w:trPr>
        <w:tc>
          <w:tcPr>
            <w:tcW w:w="372" w:type="pct"/>
            <w:vMerge w:val="restart"/>
            <w:tcBorders>
              <w:left w:val="single" w:color="auto" w:sz="12" w:space="0"/>
            </w:tcBorders>
            <w:vAlign w:val="center"/>
          </w:tcPr>
          <w:p w14:paraId="42BA5221">
            <w:pPr>
              <w:pStyle w:val="179"/>
            </w:pPr>
            <w:r>
              <w:t>6</w:t>
            </w:r>
          </w:p>
        </w:tc>
        <w:tc>
          <w:tcPr>
            <w:tcW w:w="1695" w:type="pct"/>
            <w:gridSpan w:val="2"/>
            <w:vMerge w:val="restart"/>
            <w:vAlign w:val="center"/>
          </w:tcPr>
          <w:p w14:paraId="4D029E31">
            <w:pPr>
              <w:pStyle w:val="179"/>
            </w:pPr>
            <w:r>
              <w:t>生态恢复措施</w:t>
            </w:r>
          </w:p>
        </w:tc>
        <w:tc>
          <w:tcPr>
            <w:tcW w:w="2288" w:type="pct"/>
            <w:vAlign w:val="center"/>
          </w:tcPr>
          <w:p w14:paraId="4EE5A266">
            <w:pPr>
              <w:pStyle w:val="179"/>
            </w:pPr>
            <w:r>
              <w:rPr>
                <w:rFonts w:hint="eastAsia"/>
              </w:rPr>
              <w:t>土地平整、</w:t>
            </w:r>
            <w:r>
              <w:t>植被恢复</w:t>
            </w:r>
          </w:p>
        </w:tc>
        <w:tc>
          <w:tcPr>
            <w:tcW w:w="645" w:type="pct"/>
            <w:tcBorders>
              <w:right w:val="single" w:color="auto" w:sz="12" w:space="0"/>
            </w:tcBorders>
            <w:vAlign w:val="center"/>
          </w:tcPr>
          <w:p w14:paraId="255F48AB">
            <w:pPr>
              <w:pStyle w:val="179"/>
            </w:pPr>
            <w:r>
              <w:rPr>
                <w:rFonts w:hint="eastAsia"/>
              </w:rPr>
              <w:t>160</w:t>
            </w:r>
            <w:r>
              <w:t>.0</w:t>
            </w:r>
          </w:p>
        </w:tc>
      </w:tr>
      <w:tr w14:paraId="64798DF8">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57" w:type="dxa"/>
            <w:bottom w:w="0" w:type="dxa"/>
            <w:right w:w="57" w:type="dxa"/>
          </w:tblCellMar>
        </w:tblPrEx>
        <w:trPr>
          <w:trHeight w:val="340" w:hRule="atLeast"/>
          <w:jc w:val="center"/>
        </w:trPr>
        <w:tc>
          <w:tcPr>
            <w:tcW w:w="372" w:type="pct"/>
            <w:vMerge w:val="continue"/>
            <w:tcBorders>
              <w:left w:val="single" w:color="auto" w:sz="12" w:space="0"/>
            </w:tcBorders>
            <w:vAlign w:val="center"/>
          </w:tcPr>
          <w:p w14:paraId="09FD810D">
            <w:pPr>
              <w:pStyle w:val="179"/>
            </w:pPr>
          </w:p>
        </w:tc>
        <w:tc>
          <w:tcPr>
            <w:tcW w:w="1695" w:type="pct"/>
            <w:gridSpan w:val="2"/>
            <w:vMerge w:val="continue"/>
            <w:vAlign w:val="center"/>
          </w:tcPr>
          <w:p w14:paraId="407393AA">
            <w:pPr>
              <w:pStyle w:val="179"/>
            </w:pPr>
          </w:p>
        </w:tc>
        <w:tc>
          <w:tcPr>
            <w:tcW w:w="2288" w:type="pct"/>
            <w:vAlign w:val="center"/>
          </w:tcPr>
          <w:p w14:paraId="695C9296">
            <w:pPr>
              <w:pStyle w:val="179"/>
            </w:pPr>
            <w:r>
              <w:t>警示标志牌设置</w:t>
            </w:r>
          </w:p>
        </w:tc>
        <w:tc>
          <w:tcPr>
            <w:tcW w:w="645" w:type="pct"/>
            <w:tcBorders>
              <w:right w:val="single" w:color="auto" w:sz="12" w:space="0"/>
            </w:tcBorders>
            <w:vAlign w:val="center"/>
          </w:tcPr>
          <w:p w14:paraId="41343958">
            <w:pPr>
              <w:pStyle w:val="179"/>
            </w:pPr>
            <w:r>
              <w:rPr>
                <w:rFonts w:hint="eastAsia"/>
              </w:rPr>
              <w:t>3</w:t>
            </w:r>
            <w:r>
              <w:t>.0</w:t>
            </w:r>
          </w:p>
        </w:tc>
      </w:tr>
      <w:tr w14:paraId="6C380660">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57" w:type="dxa"/>
            <w:bottom w:w="0" w:type="dxa"/>
            <w:right w:w="57" w:type="dxa"/>
          </w:tblCellMar>
        </w:tblPrEx>
        <w:trPr>
          <w:trHeight w:val="340" w:hRule="atLeast"/>
          <w:jc w:val="center"/>
        </w:trPr>
        <w:tc>
          <w:tcPr>
            <w:tcW w:w="372" w:type="pct"/>
            <w:vMerge w:val="continue"/>
            <w:tcBorders>
              <w:left w:val="single" w:color="auto" w:sz="12" w:space="0"/>
            </w:tcBorders>
            <w:vAlign w:val="center"/>
          </w:tcPr>
          <w:p w14:paraId="2B14B8DF">
            <w:pPr>
              <w:pStyle w:val="179"/>
            </w:pPr>
          </w:p>
        </w:tc>
        <w:tc>
          <w:tcPr>
            <w:tcW w:w="1695" w:type="pct"/>
            <w:gridSpan w:val="2"/>
            <w:vMerge w:val="continue"/>
            <w:vAlign w:val="center"/>
          </w:tcPr>
          <w:p w14:paraId="5099DBA7">
            <w:pPr>
              <w:pStyle w:val="179"/>
            </w:pPr>
          </w:p>
        </w:tc>
        <w:tc>
          <w:tcPr>
            <w:tcW w:w="2288" w:type="pct"/>
            <w:vAlign w:val="center"/>
          </w:tcPr>
          <w:p w14:paraId="312CC591">
            <w:pPr>
              <w:pStyle w:val="179"/>
            </w:pPr>
            <w:r>
              <w:t>生态监测与管护</w:t>
            </w:r>
          </w:p>
        </w:tc>
        <w:tc>
          <w:tcPr>
            <w:tcW w:w="645" w:type="pct"/>
            <w:tcBorders>
              <w:right w:val="single" w:color="auto" w:sz="12" w:space="0"/>
            </w:tcBorders>
            <w:vAlign w:val="center"/>
          </w:tcPr>
          <w:p w14:paraId="7FD8D517">
            <w:pPr>
              <w:pStyle w:val="179"/>
            </w:pPr>
            <w:r>
              <w:rPr>
                <w:rFonts w:hint="eastAsia"/>
              </w:rPr>
              <w:t>50</w:t>
            </w:r>
            <w:r>
              <w:t>.0</w:t>
            </w:r>
          </w:p>
        </w:tc>
      </w:tr>
      <w:tr w14:paraId="0E8D4F20">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57" w:type="dxa"/>
            <w:bottom w:w="0" w:type="dxa"/>
            <w:right w:w="57" w:type="dxa"/>
          </w:tblCellMar>
        </w:tblPrEx>
        <w:trPr>
          <w:trHeight w:val="340" w:hRule="atLeast"/>
          <w:jc w:val="center"/>
        </w:trPr>
        <w:tc>
          <w:tcPr>
            <w:tcW w:w="372" w:type="pct"/>
            <w:tcBorders>
              <w:left w:val="single" w:color="auto" w:sz="12" w:space="0"/>
            </w:tcBorders>
            <w:vAlign w:val="center"/>
          </w:tcPr>
          <w:p w14:paraId="776DAE61">
            <w:pPr>
              <w:pStyle w:val="179"/>
            </w:pPr>
            <w:r>
              <w:rPr>
                <w:rFonts w:hint="eastAsia"/>
              </w:rPr>
              <w:t>7</w:t>
            </w:r>
          </w:p>
        </w:tc>
        <w:tc>
          <w:tcPr>
            <w:tcW w:w="1695" w:type="pct"/>
            <w:gridSpan w:val="2"/>
            <w:vAlign w:val="center"/>
          </w:tcPr>
          <w:p w14:paraId="15455831">
            <w:pPr>
              <w:pStyle w:val="179"/>
            </w:pPr>
            <w:r>
              <w:t>风险</w:t>
            </w:r>
          </w:p>
        </w:tc>
        <w:tc>
          <w:tcPr>
            <w:tcW w:w="2288" w:type="pct"/>
            <w:vAlign w:val="center"/>
          </w:tcPr>
          <w:p w14:paraId="616E0B53">
            <w:pPr>
              <w:pStyle w:val="179"/>
              <w:rPr>
                <w:b/>
              </w:rPr>
            </w:pPr>
            <w:r>
              <w:t>编制突发环境事件应急预案</w:t>
            </w:r>
          </w:p>
        </w:tc>
        <w:tc>
          <w:tcPr>
            <w:tcW w:w="645" w:type="pct"/>
            <w:tcBorders>
              <w:right w:val="single" w:color="auto" w:sz="12" w:space="0"/>
            </w:tcBorders>
            <w:vAlign w:val="center"/>
          </w:tcPr>
          <w:p w14:paraId="035EFBE6">
            <w:pPr>
              <w:pStyle w:val="179"/>
            </w:pPr>
            <w:r>
              <w:rPr>
                <w:rFonts w:hint="eastAsia"/>
              </w:rPr>
              <w:t>5</w:t>
            </w:r>
            <w:r>
              <w:t>.0</w:t>
            </w:r>
          </w:p>
        </w:tc>
      </w:tr>
      <w:tr w14:paraId="1EAECC0B">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57" w:type="dxa"/>
            <w:bottom w:w="0" w:type="dxa"/>
            <w:right w:w="57" w:type="dxa"/>
          </w:tblCellMar>
        </w:tblPrEx>
        <w:trPr>
          <w:trHeight w:val="340" w:hRule="atLeast"/>
          <w:jc w:val="center"/>
        </w:trPr>
        <w:tc>
          <w:tcPr>
            <w:tcW w:w="372" w:type="pct"/>
            <w:tcBorders>
              <w:left w:val="single" w:color="auto" w:sz="12" w:space="0"/>
            </w:tcBorders>
            <w:vAlign w:val="center"/>
          </w:tcPr>
          <w:p w14:paraId="175D4F0E">
            <w:pPr>
              <w:pStyle w:val="179"/>
            </w:pPr>
            <w:r>
              <w:rPr>
                <w:rFonts w:hint="eastAsia"/>
              </w:rPr>
              <w:t>8</w:t>
            </w:r>
          </w:p>
        </w:tc>
        <w:tc>
          <w:tcPr>
            <w:tcW w:w="1695" w:type="pct"/>
            <w:gridSpan w:val="2"/>
            <w:vAlign w:val="center"/>
          </w:tcPr>
          <w:p w14:paraId="7364339D">
            <w:pPr>
              <w:pStyle w:val="179"/>
            </w:pPr>
            <w:r>
              <w:t>环保设施运行维护费用</w:t>
            </w:r>
          </w:p>
        </w:tc>
        <w:tc>
          <w:tcPr>
            <w:tcW w:w="2288" w:type="pct"/>
            <w:vAlign w:val="center"/>
          </w:tcPr>
          <w:p w14:paraId="317DFF1D">
            <w:pPr>
              <w:pStyle w:val="179"/>
            </w:pPr>
          </w:p>
        </w:tc>
        <w:tc>
          <w:tcPr>
            <w:tcW w:w="645" w:type="pct"/>
            <w:tcBorders>
              <w:right w:val="single" w:color="auto" w:sz="12" w:space="0"/>
            </w:tcBorders>
            <w:vAlign w:val="center"/>
          </w:tcPr>
          <w:p w14:paraId="3BF8A4E5">
            <w:pPr>
              <w:pStyle w:val="179"/>
            </w:pPr>
            <w:r>
              <w:rPr>
                <w:rFonts w:hint="eastAsia"/>
              </w:rPr>
              <w:t>20</w:t>
            </w:r>
          </w:p>
        </w:tc>
      </w:tr>
      <w:tr w14:paraId="673D23A7">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57" w:type="dxa"/>
            <w:bottom w:w="0" w:type="dxa"/>
            <w:right w:w="57" w:type="dxa"/>
          </w:tblCellMar>
        </w:tblPrEx>
        <w:trPr>
          <w:trHeight w:val="340" w:hRule="atLeast"/>
          <w:jc w:val="center"/>
        </w:trPr>
        <w:tc>
          <w:tcPr>
            <w:tcW w:w="2067" w:type="pct"/>
            <w:gridSpan w:val="3"/>
            <w:tcBorders>
              <w:left w:val="single" w:color="auto" w:sz="12" w:space="0"/>
              <w:bottom w:val="single" w:color="auto" w:sz="12" w:space="0"/>
            </w:tcBorders>
            <w:vAlign w:val="center"/>
          </w:tcPr>
          <w:p w14:paraId="68DCDDE1">
            <w:pPr>
              <w:pStyle w:val="179"/>
            </w:pPr>
            <w:r>
              <w:t>合计</w:t>
            </w:r>
          </w:p>
        </w:tc>
        <w:tc>
          <w:tcPr>
            <w:tcW w:w="2288" w:type="pct"/>
            <w:tcBorders>
              <w:bottom w:val="single" w:color="auto" w:sz="12" w:space="0"/>
            </w:tcBorders>
            <w:vAlign w:val="center"/>
          </w:tcPr>
          <w:p w14:paraId="27E09679">
            <w:pPr>
              <w:pStyle w:val="179"/>
            </w:pPr>
            <w:r>
              <w:t>/</w:t>
            </w:r>
          </w:p>
        </w:tc>
        <w:tc>
          <w:tcPr>
            <w:tcW w:w="645" w:type="pct"/>
            <w:tcBorders>
              <w:bottom w:val="single" w:color="auto" w:sz="12" w:space="0"/>
              <w:right w:val="single" w:color="auto" w:sz="12" w:space="0"/>
            </w:tcBorders>
            <w:vAlign w:val="center"/>
          </w:tcPr>
          <w:p w14:paraId="2386B351">
            <w:pPr>
              <w:pStyle w:val="179"/>
            </w:pPr>
            <w:r>
              <w:rPr>
                <w:rFonts w:hint="eastAsia"/>
              </w:rPr>
              <w:t>296</w:t>
            </w:r>
          </w:p>
        </w:tc>
      </w:tr>
    </w:tbl>
    <w:p w14:paraId="0091116F">
      <w:pPr>
        <w:ind w:left="640" w:firstLine="0" w:firstLineChars="0"/>
        <w:rPr>
          <w:rStyle w:val="137"/>
          <w:rFonts w:hAnsi="Times New Roman" w:cs="Times New Roman"/>
          <w:b w:val="0"/>
          <w:bCs/>
          <w:kern w:val="2"/>
          <w:sz w:val="32"/>
          <w:szCs w:val="32"/>
        </w:rPr>
        <w:sectPr>
          <w:pgSz w:w="11850" w:h="16783"/>
          <w:pgMar w:top="1440" w:right="1797" w:bottom="1440" w:left="1797" w:header="851" w:footer="992" w:gutter="0"/>
          <w:cols w:space="720" w:num="1"/>
          <w:docGrid w:linePitch="312" w:charSpace="0"/>
        </w:sectPr>
      </w:pPr>
    </w:p>
    <w:p w14:paraId="59150DB7">
      <w:pPr>
        <w:pStyle w:val="2"/>
        <w:spacing w:before="120" w:after="180"/>
        <w:rPr>
          <w:rFonts w:cs="Times New Roman"/>
        </w:rPr>
      </w:pPr>
      <w:bookmarkStart w:id="571" w:name="_Toc234927713"/>
      <w:r>
        <w:rPr>
          <w:rFonts w:cs="Times New Roman"/>
        </w:rPr>
        <w:t>环境影响经济损益分析</w:t>
      </w:r>
      <w:bookmarkEnd w:id="571"/>
    </w:p>
    <w:p w14:paraId="50128416">
      <w:pPr>
        <w:ind w:firstLine="480"/>
      </w:pPr>
      <w:r>
        <w:t>环境影响经济损益分析的目的在于衡量建设项目所需投入的环保投资和能收到的环保效果，以评价建设项目的环境经济可行性。环境影响经济损益分析是从环境经济角度对项目可行性进行评价，以货币形式定量表述建设项目对环境影响程度和相应的环境工程效益，从而为决策部门提供科学依据，使建设项目在营运后能更好地实现经济效益、环境效益和社会效益的统一。</w:t>
      </w:r>
    </w:p>
    <w:p w14:paraId="6A5A6A0A">
      <w:pPr>
        <w:pStyle w:val="3"/>
        <w:spacing w:before="180" w:after="120"/>
        <w:rPr>
          <w:rFonts w:cs="Times New Roman"/>
          <w:bCs/>
        </w:rPr>
      </w:pPr>
      <w:bookmarkStart w:id="572" w:name="_Toc234927714"/>
      <w:r>
        <w:rPr>
          <w:rFonts w:cs="Times New Roman"/>
        </w:rPr>
        <w:t>环保投资的环境效益</w:t>
      </w:r>
      <w:bookmarkEnd w:id="572"/>
    </w:p>
    <w:p w14:paraId="24B628E4">
      <w:pPr>
        <w:ind w:firstLine="480"/>
      </w:pPr>
      <w:r>
        <w:t>环保投资的环境效益主要体现为污染物减排、对“三废”的综合利用和能源的回收利用，降低单位产品的物耗和成本，保护和改善当地的环境质量。</w:t>
      </w:r>
    </w:p>
    <w:p w14:paraId="38E45732">
      <w:pPr>
        <w:ind w:firstLine="482"/>
        <w:rPr>
          <w:b/>
        </w:rPr>
      </w:pPr>
      <w:r>
        <w:rPr>
          <w:rFonts w:hint="eastAsia"/>
          <w:b/>
        </w:rPr>
        <w:t>1、</w:t>
      </w:r>
      <w:r>
        <w:rPr>
          <w:b/>
        </w:rPr>
        <w:t>项目建设的环境负效益</w:t>
      </w:r>
    </w:p>
    <w:p w14:paraId="1475B276">
      <w:pPr>
        <w:ind w:firstLine="480"/>
      </w:pPr>
      <w:r>
        <w:t>根据对工程性质、建设规模等方面的分析，本项目的建设不可避免对环境产生一定的影响。主要是污染物的排放给环境带来的负效益如下：</w:t>
      </w:r>
    </w:p>
    <w:p w14:paraId="710B2CEF">
      <w:pPr>
        <w:ind w:firstLine="480"/>
      </w:pPr>
      <w:r>
        <w:t>大气环境影响：项目废气主要为采矿粉尘以及场地扬尘等，将对区域环境空气质量产生一定影响。</w:t>
      </w:r>
    </w:p>
    <w:p w14:paraId="3346E5BC">
      <w:pPr>
        <w:ind w:firstLine="480"/>
      </w:pPr>
      <w:r>
        <w:t>水环境：本项目废水主要为生活污水等，废水的主要污染物为COD、SS、BOD</w:t>
      </w:r>
      <w:r>
        <w:rPr>
          <w:vertAlign w:val="subscript"/>
        </w:rPr>
        <w:t>5</w:t>
      </w:r>
      <w:r>
        <w:t>和氨氮。生活污水</w:t>
      </w:r>
      <w:r>
        <w:rPr>
          <w:rFonts w:hint="eastAsia"/>
        </w:rPr>
        <w:t>排入防渗旱厕</w:t>
      </w:r>
      <w:r>
        <w:t>，定期清掏外运。</w:t>
      </w:r>
    </w:p>
    <w:p w14:paraId="50995165">
      <w:pPr>
        <w:ind w:firstLine="480"/>
      </w:pPr>
      <w:r>
        <w:t>声环境：本项目采矿和运输设备等会产生设备噪声，运行期项目</w:t>
      </w:r>
      <w:r>
        <w:rPr>
          <w:rFonts w:hint="eastAsia"/>
        </w:rPr>
        <w:t>不进行</w:t>
      </w:r>
      <w:r>
        <w:t>爆破，运行时间为180d，每天工作</w:t>
      </w:r>
      <w:r>
        <w:rPr>
          <w:rFonts w:hint="eastAsia"/>
        </w:rPr>
        <w:t>8</w:t>
      </w:r>
      <w:r>
        <w:t>h，对周围的声环境影响</w:t>
      </w:r>
      <w:r>
        <w:rPr>
          <w:rFonts w:hint="eastAsia"/>
        </w:rPr>
        <w:t>较小</w:t>
      </w:r>
      <w:r>
        <w:t>。</w:t>
      </w:r>
    </w:p>
    <w:p w14:paraId="7F7C0626">
      <w:pPr>
        <w:ind w:firstLine="480"/>
      </w:pPr>
      <w:r>
        <w:t>固废：本项目的建设，增加了</w:t>
      </w:r>
      <w:r>
        <w:rPr>
          <w:rFonts w:hint="eastAsia"/>
        </w:rPr>
        <w:t>生活</w:t>
      </w:r>
      <w:r>
        <w:t>垃圾等固体废物的产生量。</w:t>
      </w:r>
    </w:p>
    <w:p w14:paraId="52B8F80E">
      <w:pPr>
        <w:ind w:firstLine="480"/>
      </w:pPr>
      <w:r>
        <w:rPr>
          <w:rFonts w:hint="eastAsia"/>
        </w:rPr>
        <w:t>2、</w:t>
      </w:r>
      <w:r>
        <w:t>环保投资的环境效益</w:t>
      </w:r>
    </w:p>
    <w:p w14:paraId="337D012F">
      <w:pPr>
        <w:ind w:firstLine="480"/>
      </w:pPr>
      <w:r>
        <w:t>运行期，本项目通过采取相应的环保措施，对产生的污染物的浓度、产生量进行了一定的削减，具有显著的环境效益。本项目采取有效的污染物处理措施后，使项目产生的污染物得到较大的消减，可减轻对环境的污染负荷，达到了保护环境的目的。</w:t>
      </w:r>
    </w:p>
    <w:p w14:paraId="3882DF88">
      <w:pPr>
        <w:pStyle w:val="3"/>
        <w:spacing w:before="180" w:after="120"/>
        <w:rPr>
          <w:rFonts w:cs="Times New Roman"/>
          <w:bCs/>
        </w:rPr>
      </w:pPr>
      <w:bookmarkStart w:id="573" w:name="_Toc61012973"/>
      <w:bookmarkStart w:id="574" w:name="_Toc234927715"/>
      <w:bookmarkStart w:id="575" w:name="_Toc516128070"/>
      <w:bookmarkStart w:id="576" w:name="_Toc61012678"/>
      <w:bookmarkStart w:id="577" w:name="_Toc12649415"/>
      <w:bookmarkStart w:id="578" w:name="_Toc61013154"/>
      <w:bookmarkStart w:id="579" w:name="_Toc61013974"/>
      <w:bookmarkStart w:id="580" w:name="_Toc30985"/>
      <w:bookmarkStart w:id="581" w:name="_Toc61013769"/>
      <w:bookmarkStart w:id="582" w:name="_Toc516127511"/>
      <w:bookmarkStart w:id="583" w:name="_Toc28299"/>
      <w:bookmarkStart w:id="584" w:name="_Toc61013359"/>
      <w:bookmarkStart w:id="585" w:name="_Toc61013564"/>
      <w:r>
        <w:rPr>
          <w:rFonts w:cs="Times New Roman"/>
        </w:rPr>
        <w:t>环保投资的经济效益分析</w:t>
      </w:r>
      <w:bookmarkEnd w:id="573"/>
      <w:bookmarkEnd w:id="574"/>
      <w:bookmarkEnd w:id="575"/>
      <w:bookmarkEnd w:id="576"/>
      <w:bookmarkEnd w:id="577"/>
      <w:bookmarkEnd w:id="578"/>
      <w:bookmarkEnd w:id="579"/>
      <w:bookmarkEnd w:id="580"/>
      <w:bookmarkEnd w:id="581"/>
      <w:bookmarkEnd w:id="582"/>
      <w:bookmarkEnd w:id="583"/>
      <w:bookmarkEnd w:id="584"/>
      <w:bookmarkEnd w:id="585"/>
    </w:p>
    <w:p w14:paraId="2D50E6BD">
      <w:pPr>
        <w:ind w:firstLine="480"/>
      </w:pPr>
      <w:r>
        <w:t>《中华人民共和国环境保护税法》《中华人民共和国环境保护税法实施条例》已于2018年1月1日起实施，取代原来征收的排污费。地方税务机关负责环境保护税的征收管理，环境保护主管部门负责对污染物的监测管理。</w:t>
      </w:r>
    </w:p>
    <w:p w14:paraId="1A75B8E8">
      <w:pPr>
        <w:ind w:firstLine="480"/>
      </w:pPr>
      <w:r>
        <w:t>本项目环保投资的经济效益主要体现为采取环保措施后污染物排放达到环境保护标准时，直接消减环境保护税带来的经济效益。黑龙江省大气污染物应纳税额标准1.2元/污染当量，水污染物应纳税额标准1.4元/污染当量。</w:t>
      </w:r>
    </w:p>
    <w:p w14:paraId="1F5DA4B7">
      <w:pPr>
        <w:pStyle w:val="178"/>
      </w:pPr>
      <w:r>
        <w:t>表7.2-1  排污费征收标准及计算方法</w:t>
      </w:r>
    </w:p>
    <w:tbl>
      <w:tblPr>
        <w:tblStyle w:val="36"/>
        <w:tblW w:w="4999"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431"/>
        <w:gridCol w:w="7095"/>
      </w:tblGrid>
      <w:tr w14:paraId="710B5E4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39" w:type="pct"/>
            <w:vAlign w:val="center"/>
          </w:tcPr>
          <w:p w14:paraId="25E2B626">
            <w:pPr>
              <w:pStyle w:val="179"/>
              <w:rPr>
                <w:b/>
              </w:rPr>
            </w:pPr>
            <w:r>
              <w:rPr>
                <w:b/>
              </w:rPr>
              <w:t>污染物</w:t>
            </w:r>
          </w:p>
        </w:tc>
        <w:tc>
          <w:tcPr>
            <w:tcW w:w="4160" w:type="pct"/>
          </w:tcPr>
          <w:p w14:paraId="350B4C45">
            <w:pPr>
              <w:pStyle w:val="179"/>
              <w:rPr>
                <w:b/>
              </w:rPr>
            </w:pPr>
            <w:r>
              <w:rPr>
                <w:b/>
              </w:rPr>
              <w:t>征收标准及计算方法</w:t>
            </w:r>
          </w:p>
        </w:tc>
      </w:tr>
      <w:tr w14:paraId="01B0A37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39" w:type="pct"/>
            <w:vAlign w:val="center"/>
          </w:tcPr>
          <w:p w14:paraId="3F8EFE53">
            <w:pPr>
              <w:pStyle w:val="179"/>
            </w:pPr>
            <w:r>
              <w:t>废水</w:t>
            </w:r>
          </w:p>
        </w:tc>
        <w:tc>
          <w:tcPr>
            <w:tcW w:w="4160" w:type="pct"/>
          </w:tcPr>
          <w:p w14:paraId="0C47C70D">
            <w:pPr>
              <w:pStyle w:val="179"/>
            </w:pPr>
            <w:r>
              <w:t>污水排污费按排污者排放污染物的种类、数量以污染当量计征，每一污染当量征收标准为1.4元，对每一排放口征收污水排污费的污染物种类数，以污染当量数从多到少的顺序，最多不超过3项。其中，超过国家或地方规定的污染物排放标准的，按照排放污染物的种类、数量和本办法规定的收费标准计征污水排污费的收费额加一倍征收超标准排污费。某污染物的污染当量数=该污染物的排放量（千克）/该污染物的污染当量值（千克）</w:t>
            </w:r>
          </w:p>
        </w:tc>
      </w:tr>
      <w:tr w14:paraId="3EF4765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39" w:type="pct"/>
            <w:vAlign w:val="center"/>
          </w:tcPr>
          <w:p w14:paraId="516CDC40">
            <w:pPr>
              <w:pStyle w:val="179"/>
            </w:pPr>
            <w:r>
              <w:t>废气</w:t>
            </w:r>
          </w:p>
        </w:tc>
        <w:tc>
          <w:tcPr>
            <w:tcW w:w="4160" w:type="pct"/>
          </w:tcPr>
          <w:p w14:paraId="24BD0DC9">
            <w:pPr>
              <w:pStyle w:val="179"/>
            </w:pPr>
            <w:r>
              <w:t>废气排污费按排污者排放污染物的种类、数量以污染当量计算征收，每一污染当量征收标准为1.2元，二氧化硫和氮氧化合物每当量收费为1.2元。对每一排放口征收废气排污费的污染物种类数，以污染当量数从多到少的顺序，最多不超过三项。某污染物的污染当量数=该污染物的排放量（千克）/该污染物的污染当量值（千克）</w:t>
            </w:r>
          </w:p>
        </w:tc>
      </w:tr>
      <w:tr w14:paraId="495F780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39" w:type="pct"/>
            <w:vAlign w:val="center"/>
          </w:tcPr>
          <w:p w14:paraId="40646C80">
            <w:pPr>
              <w:pStyle w:val="179"/>
            </w:pPr>
            <w:r>
              <w:t>固废</w:t>
            </w:r>
          </w:p>
        </w:tc>
        <w:tc>
          <w:tcPr>
            <w:tcW w:w="4160" w:type="pct"/>
          </w:tcPr>
          <w:p w14:paraId="40897E18">
            <w:pPr>
              <w:pStyle w:val="179"/>
            </w:pPr>
            <w:r>
              <w:t>1、对无专用贮存或者处置设施和专用贮存或处置设施达不到环境保护标准（即无防渗漏、防扬散、防流失设施）排放的工业固体废物，一次性征收固体废物排污费。2、对以填埋方式处置危险废物不符合国家有关规定的，危险废物排污费征收标准为每次每吨1000元。</w:t>
            </w:r>
          </w:p>
        </w:tc>
      </w:tr>
      <w:tr w14:paraId="15B5943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39" w:type="pct"/>
            <w:vAlign w:val="center"/>
          </w:tcPr>
          <w:p w14:paraId="07A6DF1D">
            <w:pPr>
              <w:pStyle w:val="179"/>
            </w:pPr>
            <w:r>
              <w:t>噪声</w:t>
            </w:r>
          </w:p>
        </w:tc>
        <w:tc>
          <w:tcPr>
            <w:tcW w:w="4160" w:type="pct"/>
          </w:tcPr>
          <w:p w14:paraId="3BA80BBF">
            <w:pPr>
              <w:pStyle w:val="179"/>
            </w:pPr>
            <w:r>
              <w:t>对排污者产生环境噪声，超过国家规定的环境噪声排放标准，且干扰他人正常生活、工作和学习的，按照超标的分贝数征收噪声超标排污费。</w:t>
            </w:r>
          </w:p>
        </w:tc>
      </w:tr>
    </w:tbl>
    <w:p w14:paraId="512B435A">
      <w:pPr>
        <w:ind w:firstLine="480"/>
      </w:pPr>
      <w:r>
        <w:rPr>
          <w:rFonts w:hint="eastAsia"/>
        </w:rPr>
        <w:t>项目不增加应纳税污染物排放，</w:t>
      </w:r>
      <w:r>
        <w:t>环保税为0。</w:t>
      </w:r>
    </w:p>
    <w:p w14:paraId="3BBB902F">
      <w:pPr>
        <w:ind w:firstLine="480"/>
      </w:pPr>
      <w:r>
        <w:t>综上所述，本项目采取相应的污染防治措施对污染物进行治理达标后，一方面可以节省环保税，另一方面能使污染物资源化利用，实现减量化无害化资源化利用，做到达标排放，减小对环境的污染，在带来良好的经济效益和社会效益的同时，又将其对环境的影响降至合理的程度。</w:t>
      </w:r>
    </w:p>
    <w:p w14:paraId="781CD289">
      <w:pPr>
        <w:ind w:firstLine="480"/>
      </w:pPr>
      <w:r>
        <w:t>本项目的实施可促进当地的经济发展，提高当地人民的生活水平，社会、经济效益明显。但本项目建设运行不可避免的将带来一些环境问题，要减少工程自身带来的环境损失，就必须采取相应的环境保护措施，为此本项目将投入一定的费用，对项目运行期所带来的粉尘、废水等进行治理，以及矿山运行后期的水土流失治理和生态恢复治理。据初步估算，本项目环保投资296万元，其中环保投资占工程总投资的8.46%。本项目环保投资具体见环保投资估算一览表。</w:t>
      </w:r>
      <w:bookmarkStart w:id="586" w:name="_Toc31751"/>
      <w:bookmarkStart w:id="587" w:name="_Toc23079"/>
    </w:p>
    <w:p w14:paraId="57B7AAD8">
      <w:pPr>
        <w:ind w:firstLine="480"/>
      </w:pPr>
      <w:r>
        <w:t>（1）直接效益</w:t>
      </w:r>
    </w:p>
    <w:p w14:paraId="48604123">
      <w:pPr>
        <w:ind w:firstLine="480"/>
      </w:pPr>
      <w:r>
        <w:t xml:space="preserve">本项目实施后将对区域大气、水环境、声环境、地质环境、生态环境及景观环境等产生不利影响。本项目环保投资的直接效益即是对这些不利影响采取相应切实有效措施后所挽回的经济损失。环保投资的直接效益很难用货币形式来进行衡量，只能通过粗略计算或分析，在不采取环保措施的情况下，工程废水、扬尘、噪声及尾矿等给人体健康、生产生活、自然景观等方面带来的经济损失，用以反馈环保投资的直接经济效益。 </w:t>
      </w:r>
    </w:p>
    <w:p w14:paraId="07164750">
      <w:pPr>
        <w:ind w:firstLine="480"/>
      </w:pPr>
      <w:r>
        <w:t xml:space="preserve">（2）间接效益 </w:t>
      </w:r>
    </w:p>
    <w:p w14:paraId="44AEE558">
      <w:pPr>
        <w:ind w:firstLine="480"/>
      </w:pPr>
      <w:r>
        <w:t xml:space="preserve">除上述直接效益外，在实施有效环保措施后，还会产生以下间接效益：保护动植物生存环境，保证区域村民生活质量和正常生产生活秩序，维持村民的环境健康和减轻村民的烦躁情绪，减少社会不稳定的诱发因素。 </w:t>
      </w:r>
    </w:p>
    <w:p w14:paraId="7269E1A8">
      <w:pPr>
        <w:ind w:firstLine="480"/>
      </w:pPr>
      <w:r>
        <w:t xml:space="preserve">所有这些间接效益在目前是不可能用货币形式来度量的，但可以肯定的是，它应是环保投资所获取的环境效益的重要组成部分。 </w:t>
      </w:r>
    </w:p>
    <w:p w14:paraId="7EAA3156">
      <w:pPr>
        <w:ind w:firstLine="480"/>
      </w:pPr>
      <w:r>
        <w:t>本项目的建设可促进当地的经济发展，提高当地人民的生活水平，社会、经济效益明显。但工程建设和运行会对周围环境形成一些负面影响，如：施工期施工噪声、废水、扬尘、废气的排放可能造成区域环境质量下降；工程占地、开挖对区域生态环境有影响；运行期的生产粉尘、</w:t>
      </w:r>
      <w:r>
        <w:rPr>
          <w:rFonts w:hint="eastAsia"/>
        </w:rPr>
        <w:t>生活</w:t>
      </w:r>
      <w:r>
        <w:t xml:space="preserve">污水、噪声、固废等，都会给环境受纳体带来影响。 </w:t>
      </w:r>
    </w:p>
    <w:p w14:paraId="2B339EF8">
      <w:pPr>
        <w:ind w:firstLine="480"/>
      </w:pPr>
      <w:r>
        <w:t>要减弱工程自身带来的环境损失，就必须采取相应的环境保护措施。尽管采取环保措施会增加工程投入和运行成本，给工程带来一定的经济负担，但是，无论从环保角度上讲，还是从工程整体效益方面考虑，该工程均应设置污染物处理设施，使其达标排放，这对区域大气环境、水环境、声环境、生态环境都将起到有力的保护作用，以实现工程社会、环境和经济效益的统一。与此相比，根据环境影响分析，工程带来的部分环境损失是局部的、小范围的，部分环境损失经采取适当措施后可予以弥补。</w:t>
      </w:r>
    </w:p>
    <w:p w14:paraId="775C27A8">
      <w:pPr>
        <w:pStyle w:val="3"/>
        <w:spacing w:before="180" w:after="120"/>
        <w:rPr>
          <w:rFonts w:cs="Times New Roman"/>
          <w:bCs/>
        </w:rPr>
      </w:pPr>
      <w:bookmarkStart w:id="588" w:name="_Toc61013360"/>
      <w:bookmarkStart w:id="589" w:name="_Toc61013975"/>
      <w:bookmarkStart w:id="590" w:name="_Toc61012974"/>
      <w:bookmarkStart w:id="591" w:name="_Toc61012679"/>
      <w:bookmarkStart w:id="592" w:name="_Toc12649416"/>
      <w:bookmarkStart w:id="593" w:name="_Toc61013565"/>
      <w:bookmarkStart w:id="594" w:name="_Toc61013155"/>
      <w:bookmarkStart w:id="595" w:name="_Toc61013770"/>
      <w:bookmarkStart w:id="596" w:name="_Toc234927716"/>
      <w:r>
        <w:rPr>
          <w:rFonts w:cs="Times New Roman"/>
        </w:rPr>
        <w:t>社会效益分析</w:t>
      </w:r>
      <w:bookmarkEnd w:id="586"/>
      <w:bookmarkEnd w:id="587"/>
      <w:bookmarkEnd w:id="588"/>
      <w:bookmarkEnd w:id="589"/>
      <w:bookmarkEnd w:id="590"/>
      <w:bookmarkEnd w:id="591"/>
      <w:bookmarkEnd w:id="592"/>
      <w:bookmarkEnd w:id="593"/>
      <w:bookmarkEnd w:id="594"/>
      <w:bookmarkEnd w:id="595"/>
      <w:bookmarkEnd w:id="596"/>
    </w:p>
    <w:p w14:paraId="408DF046">
      <w:pPr>
        <w:ind w:firstLine="480"/>
        <w:rPr>
          <w:lang w:val="zh-CN"/>
        </w:rPr>
      </w:pPr>
      <w:r>
        <w:rPr>
          <w:lang w:val="zh-CN"/>
        </w:rPr>
        <w:t>（1）项目建成投入运营后，对当地的经济发展也有一定的促进作用。</w:t>
      </w:r>
    </w:p>
    <w:p w14:paraId="1BA46CDC">
      <w:pPr>
        <w:ind w:firstLine="480"/>
        <w:rPr>
          <w:lang w:val="zh-CN"/>
        </w:rPr>
      </w:pPr>
      <w:r>
        <w:rPr>
          <w:lang w:val="zh-CN"/>
        </w:rPr>
        <w:t>（2）该项目建成后可以为当地提供一些工作岗位，将解决一部分社会人员的就业问题，对缓解当前社会上普遍存在的就业紧张的状况起到一定的作用。</w:t>
      </w:r>
    </w:p>
    <w:p w14:paraId="0D62A226">
      <w:pPr>
        <w:ind w:firstLine="480"/>
        <w:rPr>
          <w:lang w:val="zh-CN"/>
        </w:rPr>
      </w:pPr>
      <w:r>
        <w:rPr>
          <w:lang w:val="zh-CN"/>
        </w:rPr>
        <w:t>（3）该项目建成后将可以为地方财政收入的增长做出贡献。</w:t>
      </w:r>
    </w:p>
    <w:p w14:paraId="47BAD1D8">
      <w:pPr>
        <w:pStyle w:val="3"/>
        <w:spacing w:before="180" w:after="120"/>
        <w:rPr>
          <w:rFonts w:cs="Times New Roman"/>
          <w:bCs/>
        </w:rPr>
      </w:pPr>
      <w:bookmarkStart w:id="597" w:name="_Toc61012680"/>
      <w:bookmarkStart w:id="598" w:name="_Toc12649417"/>
      <w:bookmarkStart w:id="599" w:name="_Toc61013156"/>
      <w:bookmarkStart w:id="600" w:name="_Toc61013361"/>
      <w:bookmarkStart w:id="601" w:name="_Toc61013976"/>
      <w:bookmarkStart w:id="602" w:name="_Toc61013771"/>
      <w:bookmarkStart w:id="603" w:name="_Toc9994"/>
      <w:bookmarkStart w:id="604" w:name="_Toc61012975"/>
      <w:bookmarkStart w:id="605" w:name="_Toc234927717"/>
      <w:bookmarkStart w:id="606" w:name="_Toc61013566"/>
      <w:bookmarkStart w:id="607" w:name="_Toc30110"/>
      <w:r>
        <w:rPr>
          <w:rFonts w:cs="Times New Roman"/>
        </w:rPr>
        <w:t>小结</w:t>
      </w:r>
      <w:bookmarkEnd w:id="597"/>
      <w:bookmarkEnd w:id="598"/>
      <w:bookmarkEnd w:id="599"/>
      <w:bookmarkEnd w:id="600"/>
      <w:bookmarkEnd w:id="601"/>
      <w:bookmarkEnd w:id="602"/>
      <w:bookmarkEnd w:id="603"/>
      <w:bookmarkEnd w:id="604"/>
      <w:bookmarkEnd w:id="605"/>
      <w:bookmarkEnd w:id="606"/>
      <w:bookmarkEnd w:id="607"/>
    </w:p>
    <w:p w14:paraId="1D91D5F9">
      <w:pPr>
        <w:ind w:firstLine="480"/>
        <w:rPr>
          <w:lang w:val="zh-CN"/>
        </w:rPr>
      </w:pPr>
      <w:r>
        <w:rPr>
          <w:lang w:val="zh-CN"/>
        </w:rPr>
        <w:t>结合本项目的社会经济效益、环保投入和环境效益进行综合分析得出，项目在创造良好经济效益和社会效益的同时，经采取污染防治措施后，对环境的影响较小，能够将工程带来的环境损失降到可接受程度，比较好的做到社会效益、经济效益和环境效益的统一。</w:t>
      </w:r>
    </w:p>
    <w:p w14:paraId="1C961A6E">
      <w:pPr>
        <w:ind w:firstLine="480"/>
        <w:rPr>
          <w:rFonts w:hAnsi="Times New Roman" w:cs="Times New Roman"/>
        </w:rPr>
      </w:pPr>
      <w:r>
        <w:rPr>
          <w:rFonts w:hAnsi="Times New Roman" w:cs="Times New Roman"/>
        </w:rPr>
        <w:br w:type="page"/>
      </w:r>
    </w:p>
    <w:p w14:paraId="51E4FADC">
      <w:pPr>
        <w:pStyle w:val="2"/>
        <w:spacing w:before="120" w:after="180"/>
        <w:rPr>
          <w:rFonts w:cs="Times New Roman"/>
        </w:rPr>
      </w:pPr>
      <w:bookmarkStart w:id="608" w:name="_Toc61013362"/>
      <w:bookmarkStart w:id="609" w:name="_Toc61013977"/>
      <w:bookmarkStart w:id="610" w:name="_Toc61013567"/>
      <w:bookmarkStart w:id="611" w:name="_Toc12649418"/>
      <w:bookmarkStart w:id="612" w:name="_Toc61013772"/>
      <w:bookmarkStart w:id="613" w:name="_Toc76395520"/>
      <w:bookmarkStart w:id="614" w:name="_Toc61013157"/>
      <w:bookmarkStart w:id="615" w:name="_Toc6404"/>
      <w:bookmarkStart w:id="616" w:name="_Toc61012976"/>
      <w:bookmarkStart w:id="617" w:name="_Toc61012681"/>
      <w:bookmarkStart w:id="618" w:name="_Toc234927718"/>
      <w:r>
        <w:rPr>
          <w:rFonts w:cs="Times New Roman"/>
        </w:rPr>
        <w:t>环境管理与监测计划</w:t>
      </w:r>
      <w:bookmarkEnd w:id="608"/>
      <w:bookmarkEnd w:id="609"/>
      <w:bookmarkEnd w:id="610"/>
      <w:bookmarkEnd w:id="611"/>
      <w:bookmarkEnd w:id="612"/>
      <w:bookmarkEnd w:id="613"/>
      <w:bookmarkEnd w:id="614"/>
      <w:bookmarkEnd w:id="615"/>
      <w:bookmarkEnd w:id="616"/>
      <w:bookmarkEnd w:id="617"/>
      <w:bookmarkEnd w:id="618"/>
    </w:p>
    <w:p w14:paraId="3A064FA7">
      <w:pPr>
        <w:pStyle w:val="3"/>
        <w:spacing w:before="180" w:after="120"/>
        <w:rPr>
          <w:rFonts w:cs="Times New Roman"/>
        </w:rPr>
      </w:pPr>
      <w:bookmarkStart w:id="619" w:name="_Toc360453976"/>
      <w:bookmarkStart w:id="620" w:name="_Toc358299729"/>
      <w:bookmarkStart w:id="621" w:name="_Toc358358111"/>
      <w:bookmarkStart w:id="622" w:name="_Toc61013773"/>
      <w:bookmarkStart w:id="623" w:name="_Toc23395"/>
      <w:bookmarkStart w:id="624" w:name="_Toc263586295"/>
      <w:bookmarkStart w:id="625" w:name="_Toc217911848"/>
      <w:bookmarkStart w:id="626" w:name="_Toc262740177"/>
      <w:bookmarkStart w:id="627" w:name="_Toc503272364"/>
      <w:bookmarkStart w:id="628" w:name="_Toc76395521"/>
      <w:bookmarkStart w:id="629" w:name="_Toc61013978"/>
      <w:bookmarkStart w:id="630" w:name="_Toc12649419"/>
      <w:bookmarkStart w:id="631" w:name="_Toc61012682"/>
      <w:bookmarkStart w:id="632" w:name="_Toc61013158"/>
      <w:bookmarkStart w:id="633" w:name="_Toc61013568"/>
      <w:bookmarkStart w:id="634" w:name="_Toc469400927"/>
      <w:bookmarkStart w:id="635" w:name="_Toc234927719"/>
      <w:bookmarkStart w:id="636" w:name="_Toc61012977"/>
      <w:bookmarkStart w:id="637" w:name="_Toc358300204"/>
      <w:bookmarkStart w:id="638" w:name="_Toc61013363"/>
      <w:r>
        <w:rPr>
          <w:rFonts w:cs="Times New Roman"/>
        </w:rPr>
        <w:t>环境管理</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037B6BF9">
      <w:pPr>
        <w:ind w:firstLine="480"/>
      </w:pPr>
      <w:r>
        <w:rPr>
          <w:rFonts w:hint="eastAsia"/>
        </w:rPr>
        <w:t>环境管理是企业管理的一项重要内容，加强环境监督力度，尽可能减少“三废”排放，提高资源合理利用率，把对环境的不利影响减少到最低限度，是企业实现环境、经济、社会效益统一、协发展的重要措施；环境监测是环境管理的重要组成部分，加强环境监测是为及时、准确了解和掌握工程排污特征，为企业防治污染，为环境监督管理部门科学管理、科学决策提供依据。</w:t>
      </w:r>
    </w:p>
    <w:p w14:paraId="3287FD53">
      <w:pPr>
        <w:pStyle w:val="4"/>
        <w:spacing w:before="180" w:after="120"/>
        <w:rPr>
          <w:rFonts w:hAnsi="Times New Roman" w:cs="Times New Roman"/>
        </w:rPr>
      </w:pPr>
      <w:bookmarkStart w:id="639" w:name="_Toc61013569"/>
      <w:bookmarkStart w:id="640" w:name="_Toc262740178"/>
      <w:bookmarkStart w:id="641" w:name="_Toc61013364"/>
      <w:bookmarkStart w:id="642" w:name="_Toc61013774"/>
      <w:bookmarkStart w:id="643" w:name="_Toc12649420"/>
      <w:bookmarkStart w:id="644" w:name="_Toc61012683"/>
      <w:bookmarkStart w:id="645" w:name="_Toc61013159"/>
      <w:bookmarkStart w:id="646" w:name="_Toc61013979"/>
      <w:r>
        <w:rPr>
          <w:rFonts w:hAnsi="Times New Roman" w:cs="Times New Roman"/>
        </w:rPr>
        <w:t>环境管理目的</w:t>
      </w:r>
      <w:bookmarkEnd w:id="639"/>
      <w:bookmarkEnd w:id="640"/>
      <w:bookmarkEnd w:id="641"/>
      <w:bookmarkEnd w:id="642"/>
      <w:bookmarkEnd w:id="643"/>
      <w:bookmarkEnd w:id="644"/>
      <w:bookmarkEnd w:id="645"/>
      <w:bookmarkEnd w:id="646"/>
    </w:p>
    <w:p w14:paraId="422E0887">
      <w:pPr>
        <w:ind w:firstLine="480"/>
        <w:rPr>
          <w:lang w:val="zh-CN"/>
        </w:rPr>
      </w:pPr>
      <w:r>
        <w:rPr>
          <w:lang w:val="zh-CN"/>
        </w:rPr>
        <w:t>通过环境管理，</w:t>
      </w:r>
      <w:r>
        <w:t>保证环保措施的实施和落实，及时发现、修正和改进环保措施的不足之处，以便有效地控制环境污染，使环境资源维持在期望值范围之内，使项目达到预期的社会效益、经济效益和环境效益，调整好企业发展与环境保护之间的关系。另外，加强企业的环境管理，可使环保的有关管理条例、法律、法规得以贯彻和执行</w:t>
      </w:r>
      <w:r>
        <w:rPr>
          <w:lang w:val="zh-CN"/>
        </w:rPr>
        <w:t>。</w:t>
      </w:r>
    </w:p>
    <w:p w14:paraId="1D02B0AF">
      <w:pPr>
        <w:pStyle w:val="4"/>
        <w:spacing w:before="180" w:after="120"/>
        <w:rPr>
          <w:rFonts w:hAnsi="Times New Roman" w:cs="Times New Roman"/>
        </w:rPr>
      </w:pPr>
      <w:bookmarkStart w:id="647" w:name="_Toc73678691"/>
      <w:r>
        <w:rPr>
          <w:rFonts w:hAnsi="Times New Roman" w:cs="Times New Roman"/>
          <w:bCs/>
        </w:rPr>
        <w:t>环境管理体系</w:t>
      </w:r>
    </w:p>
    <w:p w14:paraId="0F9ECA55">
      <w:pPr>
        <w:ind w:firstLine="480"/>
      </w:pPr>
      <w:r>
        <w:t>企业环境管理体系作为企业管理体系中的一部分，应与之相协调统一。实行企业董事长领导下的“一人主管，分工负责；职能部门，各负其责；落实基层，监督考核”的原则，建立以企业领导为核心，环保人员为基础的全员责任制的环境管理体系。使环境管理贯穿于企业管理的整个过程，并落实到企业的各个层次，分解到生产的各个环节，把企业管理与环境管理紧密地结合起来，不但要建立完善的企业管理体系和各项规章制度，也要建立完善的环境管理体系和各项规章制度，使企业的环境管理工作真正落到实处。</w:t>
      </w:r>
    </w:p>
    <w:p w14:paraId="1271B8AD">
      <w:pPr>
        <w:ind w:firstLine="480"/>
        <w:rPr>
          <w:lang w:val="zh-CN"/>
        </w:rPr>
      </w:pPr>
      <w:r>
        <w:t>本项目建设后，应设兼职环保监督人员，配备必要的现代化管理手段；建立严格的环保岗位责任制</w:t>
      </w:r>
      <w:r>
        <w:rPr>
          <w:rFonts w:hint="eastAsia"/>
        </w:rPr>
        <w:t>，</w:t>
      </w:r>
      <w:r>
        <w:t>协调好发展经济与环境保护的关系，使经济效益与环境效益相协调统一</w:t>
      </w:r>
      <w:r>
        <w:rPr>
          <w:rFonts w:hint="eastAsia"/>
        </w:rPr>
        <w:t>。</w:t>
      </w:r>
    </w:p>
    <w:p w14:paraId="7ACAB344">
      <w:pPr>
        <w:pStyle w:val="4"/>
        <w:spacing w:before="180" w:after="120"/>
        <w:rPr>
          <w:rFonts w:hAnsi="Times New Roman" w:cs="Times New Roman"/>
        </w:rPr>
      </w:pPr>
      <w:bookmarkStart w:id="648" w:name="_Toc61012685"/>
      <w:bookmarkStart w:id="649" w:name="_Toc61013161"/>
      <w:bookmarkStart w:id="650" w:name="_Toc61013366"/>
      <w:bookmarkStart w:id="651" w:name="_Toc61013776"/>
      <w:bookmarkStart w:id="652" w:name="_Toc262740180"/>
      <w:bookmarkStart w:id="653" w:name="_Toc12649422"/>
      <w:bookmarkStart w:id="654" w:name="_Toc61013981"/>
      <w:bookmarkStart w:id="655" w:name="_Toc61013571"/>
      <w:r>
        <w:rPr>
          <w:rFonts w:hAnsi="Times New Roman" w:cs="Times New Roman"/>
        </w:rPr>
        <w:t>环境管理机构工作职责</w:t>
      </w:r>
      <w:bookmarkEnd w:id="648"/>
      <w:bookmarkEnd w:id="649"/>
      <w:bookmarkEnd w:id="650"/>
      <w:bookmarkEnd w:id="651"/>
      <w:bookmarkEnd w:id="652"/>
      <w:bookmarkEnd w:id="653"/>
      <w:bookmarkEnd w:id="654"/>
      <w:bookmarkEnd w:id="655"/>
    </w:p>
    <w:p w14:paraId="7DC00E4C">
      <w:pPr>
        <w:ind w:firstLine="480"/>
        <w:rPr>
          <w:lang w:val="zh-CN"/>
        </w:rPr>
      </w:pPr>
      <w:r>
        <w:rPr>
          <w:lang w:val="zh-CN"/>
        </w:rPr>
        <w:t>（1）贯彻执行国家和地方环境保护的有关方针、政策、法律、法规和标准。</w:t>
      </w:r>
    </w:p>
    <w:p w14:paraId="561CE42D">
      <w:pPr>
        <w:ind w:firstLine="480"/>
        <w:rPr>
          <w:lang w:val="zh-CN"/>
        </w:rPr>
      </w:pPr>
      <w:r>
        <w:rPr>
          <w:lang w:val="zh-CN"/>
        </w:rPr>
        <w:t>（2）结合本负责编制项目在建设期、服务期及服务期满后的环境管理与环境监测计划，并组织实施。</w:t>
      </w:r>
    </w:p>
    <w:p w14:paraId="5EE6E452">
      <w:pPr>
        <w:ind w:firstLine="480"/>
        <w:rPr>
          <w:lang w:val="zh-CN"/>
        </w:rPr>
      </w:pPr>
      <w:r>
        <w:rPr>
          <w:lang w:val="zh-CN"/>
        </w:rPr>
        <w:t>（3）监督检查环境影响报告书中所提出的各项环保防治措施的落实情况，监督检查矿山的环境管理、污染源监测及各项环保设施的运行情况，指导污染治理设施的维护、检修和保养。</w:t>
      </w:r>
    </w:p>
    <w:p w14:paraId="75D0DA73">
      <w:pPr>
        <w:ind w:firstLine="480"/>
        <w:rPr>
          <w:lang w:val="zh-CN"/>
        </w:rPr>
      </w:pPr>
      <w:r>
        <w:rPr>
          <w:lang w:val="zh-CN"/>
        </w:rPr>
        <w:t>（4）组织有关部门制定和实施企业污染事故应急计划和防治措施，以便发现问题及时处理，制止和减缓对周围环境的污染。</w:t>
      </w:r>
    </w:p>
    <w:p w14:paraId="2A1FB9E0">
      <w:pPr>
        <w:ind w:firstLine="480"/>
        <w:rPr>
          <w:lang w:val="zh-CN"/>
        </w:rPr>
      </w:pPr>
      <w:r>
        <w:rPr>
          <w:lang w:val="zh-CN"/>
        </w:rPr>
        <w:t>（5）推广、应用先进的生产设施和工艺，控制生产过程中产生的污染。在生产过程中贯彻清洁生产的思想。</w:t>
      </w:r>
    </w:p>
    <w:p w14:paraId="12CE2518">
      <w:pPr>
        <w:ind w:firstLine="480"/>
        <w:rPr>
          <w:lang w:val="zh-CN"/>
        </w:rPr>
      </w:pPr>
      <w:r>
        <w:rPr>
          <w:lang w:val="zh-CN"/>
        </w:rPr>
        <w:t>（6）建立企业污染源、污染物治理、排放浓度及总量数据库。</w:t>
      </w:r>
    </w:p>
    <w:p w14:paraId="271769C7">
      <w:pPr>
        <w:ind w:firstLine="480"/>
        <w:rPr>
          <w:lang w:val="zh-CN"/>
        </w:rPr>
      </w:pPr>
      <w:r>
        <w:rPr>
          <w:lang w:val="zh-CN"/>
        </w:rPr>
        <w:t>（7）组织协调公司建设项目环境影响评价工作，参与“三同时”验收工作。</w:t>
      </w:r>
    </w:p>
    <w:p w14:paraId="655C048B">
      <w:pPr>
        <w:pStyle w:val="4"/>
        <w:spacing w:before="180" w:after="120"/>
        <w:rPr>
          <w:rFonts w:hAnsi="Times New Roman" w:cs="Times New Roman"/>
        </w:rPr>
      </w:pPr>
      <w:bookmarkStart w:id="656" w:name="_Toc12649423"/>
      <w:bookmarkStart w:id="657" w:name="_Toc61013982"/>
      <w:bookmarkStart w:id="658" w:name="_Toc61012686"/>
      <w:bookmarkStart w:id="659" w:name="_Toc61013367"/>
      <w:bookmarkStart w:id="660" w:name="_Toc262740181"/>
      <w:bookmarkStart w:id="661" w:name="_Toc61013777"/>
      <w:bookmarkStart w:id="662" w:name="_Toc61013162"/>
      <w:bookmarkStart w:id="663" w:name="_Toc61013572"/>
      <w:r>
        <w:rPr>
          <w:rFonts w:hAnsi="Times New Roman" w:cs="Times New Roman"/>
        </w:rPr>
        <w:t>管理手段</w:t>
      </w:r>
      <w:bookmarkEnd w:id="656"/>
      <w:bookmarkEnd w:id="657"/>
      <w:bookmarkEnd w:id="658"/>
      <w:bookmarkEnd w:id="659"/>
      <w:bookmarkEnd w:id="660"/>
      <w:bookmarkEnd w:id="661"/>
      <w:bookmarkEnd w:id="662"/>
      <w:bookmarkEnd w:id="663"/>
    </w:p>
    <w:p w14:paraId="0A078327">
      <w:pPr>
        <w:ind w:firstLine="480"/>
        <w:rPr>
          <w:lang w:val="zh-CN"/>
        </w:rPr>
      </w:pPr>
      <w:r>
        <w:rPr>
          <w:lang w:val="zh-CN"/>
        </w:rPr>
        <w:t>（1）行政手段</w:t>
      </w:r>
    </w:p>
    <w:p w14:paraId="129F5D39">
      <w:pPr>
        <w:ind w:firstLine="480"/>
        <w:rPr>
          <w:lang w:val="zh-CN"/>
        </w:rPr>
      </w:pPr>
      <w:r>
        <w:rPr>
          <w:lang w:val="zh-CN"/>
        </w:rPr>
        <w:t>将环境保护列入岗位责任制，以行政手段指导、督促和检查生产部门的环保工作，促使生产单位按要求完成环保任务。</w:t>
      </w:r>
    </w:p>
    <w:p w14:paraId="5714717F">
      <w:pPr>
        <w:ind w:firstLine="480"/>
        <w:rPr>
          <w:lang w:val="zh-CN"/>
        </w:rPr>
      </w:pPr>
      <w:r>
        <w:rPr>
          <w:lang w:val="zh-CN"/>
        </w:rPr>
        <w:t>（2）法律手段</w:t>
      </w:r>
    </w:p>
    <w:p w14:paraId="18D8E97B">
      <w:pPr>
        <w:ind w:firstLine="480"/>
        <w:rPr>
          <w:lang w:val="zh-CN"/>
        </w:rPr>
      </w:pPr>
      <w:r>
        <w:rPr>
          <w:lang w:val="zh-CN"/>
        </w:rPr>
        <w:t>环境管理部门在处理企业日常环境污染问题时，依据环境保护法律法规对违反环境法律法规的单位和个人给予批评、警告、罚款，并对违法者追究法律责任。</w:t>
      </w:r>
    </w:p>
    <w:p w14:paraId="1277098D">
      <w:pPr>
        <w:ind w:firstLine="480"/>
        <w:rPr>
          <w:lang w:val="zh-CN"/>
        </w:rPr>
      </w:pPr>
      <w:r>
        <w:rPr>
          <w:lang w:val="zh-CN"/>
        </w:rPr>
        <w:t>（3）经济手段</w:t>
      </w:r>
    </w:p>
    <w:p w14:paraId="0DCD85D2">
      <w:pPr>
        <w:ind w:firstLine="480"/>
        <w:rPr>
          <w:lang w:val="zh-CN"/>
        </w:rPr>
      </w:pPr>
      <w:r>
        <w:rPr>
          <w:lang w:val="zh-CN"/>
        </w:rPr>
        <w:t>对企业内部违反规定造成严重污染的生产部门和个人处以罚款，对积极开展废物综合利用的单位和个人给予奖励。</w:t>
      </w:r>
    </w:p>
    <w:p w14:paraId="64D8E3A2">
      <w:pPr>
        <w:ind w:firstLine="480"/>
        <w:rPr>
          <w:lang w:val="zh-CN"/>
        </w:rPr>
      </w:pPr>
      <w:r>
        <w:rPr>
          <w:lang w:val="zh-CN"/>
        </w:rPr>
        <w:t>（4）技术手段</w:t>
      </w:r>
    </w:p>
    <w:p w14:paraId="20A13DB9">
      <w:pPr>
        <w:ind w:firstLine="480"/>
        <w:rPr>
          <w:lang w:val="zh-CN"/>
        </w:rPr>
      </w:pPr>
      <w:r>
        <w:rPr>
          <w:lang w:val="zh-CN"/>
        </w:rPr>
        <w:t>通过环境监测对企业内部污染状况进行调查，组织开展环境影响评价工作，在企业内部优先选用污染物产生量少的先进生产工艺、设备和与主体工程相配套防治污染治理设施。</w:t>
      </w:r>
    </w:p>
    <w:p w14:paraId="02136F8B">
      <w:pPr>
        <w:ind w:firstLine="480"/>
        <w:rPr>
          <w:lang w:val="zh-CN"/>
        </w:rPr>
      </w:pPr>
      <w:r>
        <w:rPr>
          <w:lang w:val="zh-CN"/>
        </w:rPr>
        <w:t>（5）教育手段</w:t>
      </w:r>
    </w:p>
    <w:p w14:paraId="0CD81F33">
      <w:pPr>
        <w:ind w:firstLine="480"/>
        <w:rPr>
          <w:lang w:val="zh-CN"/>
        </w:rPr>
      </w:pPr>
      <w:r>
        <w:rPr>
          <w:lang w:val="zh-CN"/>
        </w:rPr>
        <w:t>定期组织环保专业业务培训，开展环境教育，提高职工的环境意识，使职工自觉地为保护环境进行不懈的努力。</w:t>
      </w:r>
    </w:p>
    <w:p w14:paraId="03EBEE0F">
      <w:pPr>
        <w:pStyle w:val="4"/>
        <w:spacing w:before="180" w:after="120"/>
        <w:rPr>
          <w:rFonts w:hAnsi="Times New Roman" w:cs="Times New Roman"/>
        </w:rPr>
      </w:pPr>
      <w:bookmarkStart w:id="664" w:name="_Toc61012687"/>
      <w:bookmarkStart w:id="665" w:name="_Toc12649424"/>
      <w:bookmarkStart w:id="666" w:name="_Toc61013778"/>
      <w:bookmarkStart w:id="667" w:name="_Toc61013573"/>
      <w:bookmarkStart w:id="668" w:name="_Toc61013163"/>
      <w:bookmarkStart w:id="669" w:name="_Toc61013983"/>
      <w:bookmarkStart w:id="670" w:name="_Toc262740182"/>
      <w:bookmarkStart w:id="671" w:name="_Toc61013368"/>
      <w:r>
        <w:rPr>
          <w:rFonts w:hint="eastAsia" w:hAnsi="Times New Roman" w:cs="Times New Roman"/>
        </w:rPr>
        <w:t>环境管理计划</w:t>
      </w:r>
    </w:p>
    <w:p w14:paraId="4A0FA7BF">
      <w:pPr>
        <w:pStyle w:val="5"/>
        <w:spacing w:before="120" w:after="120"/>
      </w:pPr>
      <w:r>
        <w:t>施工期环境管理计划</w:t>
      </w:r>
      <w:bookmarkEnd w:id="664"/>
      <w:bookmarkEnd w:id="665"/>
      <w:bookmarkEnd w:id="666"/>
      <w:bookmarkEnd w:id="667"/>
      <w:bookmarkEnd w:id="668"/>
      <w:bookmarkEnd w:id="669"/>
      <w:bookmarkEnd w:id="670"/>
      <w:bookmarkEnd w:id="671"/>
    </w:p>
    <w:p w14:paraId="43F018A2">
      <w:pPr>
        <w:ind w:firstLine="480"/>
      </w:pPr>
      <w:r>
        <w:t>（1）负责施工过程中的日常环境管理；</w:t>
      </w:r>
    </w:p>
    <w:p w14:paraId="5FCA1D92">
      <w:pPr>
        <w:ind w:firstLine="480"/>
      </w:pPr>
      <w:r>
        <w:t>（2）重点检查工程进展情况是否符合“三同时”原则，项目的污染防治措施是否按计划与主体工程同时施工，质量是否符合要求。</w:t>
      </w:r>
    </w:p>
    <w:p w14:paraId="12425DFA">
      <w:pPr>
        <w:ind w:firstLine="480"/>
      </w:pPr>
      <w:r>
        <w:t>（3）参与工程环保设施的竣工验收，对不符合质量要求和达不到性能要求的环保设施，不通过验收。</w:t>
      </w:r>
    </w:p>
    <w:p w14:paraId="0BB9012B">
      <w:pPr>
        <w:ind w:firstLine="480"/>
      </w:pPr>
      <w:r>
        <w:t>（4）组织环境保护宣传，提高施工人员的环保意识和整体素质。</w:t>
      </w:r>
    </w:p>
    <w:p w14:paraId="3C08409A">
      <w:pPr>
        <w:pStyle w:val="5"/>
        <w:spacing w:before="120" w:after="120"/>
      </w:pPr>
      <w:r>
        <w:t>运营期环境管理</w:t>
      </w:r>
    </w:p>
    <w:p w14:paraId="184D870A">
      <w:pPr>
        <w:ind w:firstLine="480"/>
      </w:pPr>
      <w:r>
        <w:t>（1）“三同时”验收</w:t>
      </w:r>
    </w:p>
    <w:p w14:paraId="1582683A">
      <w:pPr>
        <w:ind w:firstLine="480"/>
      </w:pPr>
      <w:r>
        <w:t>我国环境保护法规强调，建设项目竣工后，建设单位向当地环境保护部门申请对项目配套建设的环保治理设施与主体工程竣工验收，然后本工程方可正式投产运行。</w:t>
      </w:r>
    </w:p>
    <w:p w14:paraId="054ABB21">
      <w:pPr>
        <w:ind w:firstLine="480"/>
      </w:pPr>
      <w:r>
        <w:rPr>
          <w:rFonts w:hint="eastAsia"/>
        </w:rPr>
        <w:t>（2）运行管理</w:t>
      </w:r>
    </w:p>
    <w:p w14:paraId="66941C78">
      <w:pPr>
        <w:ind w:firstLine="480"/>
      </w:pPr>
      <w:r>
        <w:t>企业有完善的岗位操作规程；运行无故障、设备完好率达98%；主要设备有具体的管理制度，并严格执行；健全、完善的环境管理制度，并纳入日常管理；制定近期计划并监督实施；记录运行数据并建立环保档案；要求企业定期监测。</w:t>
      </w:r>
    </w:p>
    <w:p w14:paraId="50812C26">
      <w:pPr>
        <w:ind w:firstLine="480"/>
      </w:pPr>
      <w:r>
        <w:t>（</w:t>
      </w:r>
      <w:r>
        <w:rPr>
          <w:rFonts w:hint="eastAsia"/>
        </w:rPr>
        <w:t>3</w:t>
      </w:r>
      <w:r>
        <w:t>）教育培训</w:t>
      </w:r>
    </w:p>
    <w:p w14:paraId="25B1B04F">
      <w:pPr>
        <w:ind w:firstLine="480"/>
      </w:pPr>
      <w:r>
        <w:t>定期组织对职工的环境教育与培训，提高全体职工的环保意识。推广应用环境保护先进技术和经验，开展有关环境保护的科研工作。</w:t>
      </w:r>
    </w:p>
    <w:p w14:paraId="1006CFEB">
      <w:pPr>
        <w:pStyle w:val="5"/>
        <w:spacing w:before="120" w:after="120"/>
      </w:pPr>
      <w:r>
        <w:t>服务期满后环境管理</w:t>
      </w:r>
    </w:p>
    <w:p w14:paraId="435CA668">
      <w:pPr>
        <w:ind w:firstLine="480"/>
        <w:rPr>
          <w:lang w:val="zh-CN"/>
        </w:rPr>
      </w:pPr>
      <w:r>
        <w:rPr>
          <w:rFonts w:hint="eastAsia" w:cs="Times New Roman"/>
        </w:rPr>
        <w:t>通过监测，掌握各环境因子的变化规律，及时发现与生态恢复有关环境问题，提出防治对策和措施</w:t>
      </w:r>
      <w:r>
        <w:rPr>
          <w:lang w:val="zh-CN"/>
        </w:rPr>
        <w:t>。</w:t>
      </w:r>
    </w:p>
    <w:p w14:paraId="2418B35D">
      <w:pPr>
        <w:pStyle w:val="4"/>
        <w:spacing w:before="180" w:after="120"/>
      </w:pPr>
      <w:r>
        <w:t>环境管理要求</w:t>
      </w:r>
    </w:p>
    <w:p w14:paraId="3ED054E4">
      <w:pPr>
        <w:ind w:firstLine="480"/>
      </w:pPr>
      <w:r>
        <w:t>（1）企业从设计到实际生产运行，应做到高起点、严要求，采用先进、成熟、低废的生产工艺和设备，尽早实施并通过认证，达到完善企业管理、树立企业形象、降低生产成本、提高产品质量、减少环境风险的生产目的，实现企业可持续发展。建议本项目按照ISO14001建立环境管理体系，制定清洁生产操作规程，健全清洁生产管理规章制度。</w:t>
      </w:r>
    </w:p>
    <w:p w14:paraId="00F6AD85">
      <w:pPr>
        <w:ind w:firstLine="480"/>
      </w:pPr>
      <w:r>
        <w:t>（2）按照节能、降耗、减污、增效的清洁生产原则，制定企业各工段的清洁生产措施实施细则，通过技术培训和清洁生产教育，提高干部职工落实清洁生产的意识和能力，使清洁生产措施落到实处。</w:t>
      </w:r>
    </w:p>
    <w:p w14:paraId="4453FF34">
      <w:pPr>
        <w:ind w:firstLine="480"/>
      </w:pPr>
      <w:r>
        <w:t>（</w:t>
      </w:r>
      <w:r>
        <w:rPr>
          <w:rFonts w:hint="eastAsia"/>
        </w:rPr>
        <w:t>3</w:t>
      </w:r>
      <w:r>
        <w:t>）污染控制的检查监督制度</w:t>
      </w:r>
    </w:p>
    <w:p w14:paraId="1FD76496">
      <w:pPr>
        <w:ind w:firstLine="480"/>
      </w:pPr>
      <w:r>
        <w:t>该部分的内容包括以下几个方面：</w:t>
      </w:r>
    </w:p>
    <w:p w14:paraId="29BD94A8">
      <w:pPr>
        <w:ind w:firstLine="480"/>
      </w:pPr>
      <w:r>
        <w:t>①采取降尘设施的检查，包括喷水、输水、储水等设施的检查；</w:t>
      </w:r>
    </w:p>
    <w:p w14:paraId="0C392BD9">
      <w:pPr>
        <w:ind w:firstLine="480"/>
      </w:pPr>
      <w:r>
        <w:t>②噪声防范设施的运行检查；</w:t>
      </w:r>
    </w:p>
    <w:p w14:paraId="59C84DC9">
      <w:pPr>
        <w:ind w:firstLine="480"/>
      </w:pPr>
      <w:r>
        <w:t>③堆土场储存设施，</w:t>
      </w:r>
      <w:r>
        <w:rPr>
          <w:rFonts w:hint="eastAsia"/>
        </w:rPr>
        <w:t>截洪沟</w:t>
      </w:r>
      <w:r>
        <w:t>的检查等；</w:t>
      </w:r>
    </w:p>
    <w:p w14:paraId="13198476">
      <w:pPr>
        <w:pStyle w:val="3"/>
        <w:spacing w:before="180" w:after="120"/>
      </w:pPr>
      <w:bookmarkStart w:id="672" w:name="_Toc234927720"/>
      <w:r>
        <w:t>环境监测</w:t>
      </w:r>
      <w:bookmarkEnd w:id="672"/>
    </w:p>
    <w:p w14:paraId="29B38FF1">
      <w:pPr>
        <w:ind w:firstLine="480"/>
        <w:rPr>
          <w:rFonts w:hAnsi="Times New Roman" w:cs="Times New Roman"/>
        </w:rPr>
      </w:pPr>
      <w:r>
        <w:rPr>
          <w:rFonts w:hAnsi="Times New Roman" w:cs="Times New Roman"/>
        </w:rPr>
        <w:t>环境监测是环境管理的依据和基础，它为环境统计和环境定量评价提供科学依据，并据此制定防治对策和规划。企业可委托当地环境监测机构负责污染源和环境质量的监测任务，根据工程生产特征及污染物排放特征，制定以下监测方案。</w:t>
      </w:r>
    </w:p>
    <w:p w14:paraId="41294D50">
      <w:pPr>
        <w:pStyle w:val="4"/>
        <w:spacing w:before="180" w:after="120"/>
        <w:rPr>
          <w:rFonts w:hAnsi="Times New Roman" w:cs="Times New Roman"/>
        </w:rPr>
      </w:pPr>
      <w:bookmarkStart w:id="673" w:name="_Toc61013580"/>
      <w:bookmarkStart w:id="674" w:name="_Toc61012694"/>
      <w:bookmarkStart w:id="675" w:name="_Toc262740185"/>
      <w:bookmarkStart w:id="676" w:name="_Toc61013375"/>
      <w:bookmarkStart w:id="677" w:name="_Toc12649431"/>
      <w:bookmarkStart w:id="678" w:name="_Toc61013990"/>
      <w:bookmarkStart w:id="679" w:name="_Toc61013785"/>
      <w:bookmarkStart w:id="680" w:name="_Toc61013170"/>
      <w:r>
        <w:rPr>
          <w:rFonts w:hAnsi="Times New Roman" w:cs="Times New Roman"/>
        </w:rPr>
        <w:t>监测机构及仪器、设备</w:t>
      </w:r>
      <w:bookmarkEnd w:id="673"/>
      <w:bookmarkEnd w:id="674"/>
      <w:bookmarkEnd w:id="675"/>
      <w:bookmarkEnd w:id="676"/>
      <w:bookmarkEnd w:id="677"/>
      <w:bookmarkEnd w:id="678"/>
      <w:bookmarkEnd w:id="679"/>
      <w:bookmarkEnd w:id="680"/>
    </w:p>
    <w:p w14:paraId="27E1415B">
      <w:pPr>
        <w:ind w:firstLine="480"/>
        <w:rPr>
          <w:rFonts w:hAnsi="Times New Roman" w:cs="Times New Roman"/>
        </w:rPr>
      </w:pPr>
      <w:r>
        <w:rPr>
          <w:rFonts w:hAnsi="Times New Roman" w:cs="Times New Roman"/>
        </w:rPr>
        <w:t>环境监测工作由建设单位委托有资质的第三方环境监测单位承担，不再购置新的监测设备。</w:t>
      </w:r>
    </w:p>
    <w:p w14:paraId="585FCA08">
      <w:pPr>
        <w:pStyle w:val="4"/>
        <w:spacing w:before="180" w:after="120"/>
        <w:rPr>
          <w:rFonts w:hAnsi="Times New Roman" w:cs="Times New Roman"/>
        </w:rPr>
      </w:pPr>
      <w:bookmarkStart w:id="681" w:name="_Toc262740186"/>
      <w:bookmarkStart w:id="682" w:name="_Toc12649432"/>
      <w:bookmarkStart w:id="683" w:name="_Toc61013171"/>
      <w:bookmarkStart w:id="684" w:name="_Toc61012695"/>
      <w:bookmarkStart w:id="685" w:name="_Toc61013991"/>
      <w:bookmarkStart w:id="686" w:name="_Toc61013786"/>
      <w:bookmarkStart w:id="687" w:name="_Toc61013376"/>
      <w:bookmarkStart w:id="688" w:name="_Toc61013581"/>
      <w:r>
        <w:rPr>
          <w:rFonts w:hAnsi="Times New Roman" w:cs="Times New Roman"/>
        </w:rPr>
        <w:t>环境监测计划的基本内容</w:t>
      </w:r>
      <w:bookmarkEnd w:id="681"/>
      <w:bookmarkEnd w:id="682"/>
      <w:bookmarkEnd w:id="683"/>
      <w:bookmarkEnd w:id="684"/>
      <w:bookmarkEnd w:id="685"/>
      <w:bookmarkEnd w:id="686"/>
      <w:bookmarkEnd w:id="687"/>
      <w:bookmarkEnd w:id="688"/>
    </w:p>
    <w:p w14:paraId="40DA7042">
      <w:pPr>
        <w:ind w:firstLine="480"/>
        <w:rPr>
          <w:rFonts w:hAnsi="Times New Roman" w:cs="Times New Roman"/>
        </w:rPr>
      </w:pPr>
      <w:r>
        <w:rPr>
          <w:rFonts w:hAnsi="Times New Roman" w:cs="Times New Roman"/>
        </w:rPr>
        <w:t>依据《排污单位自行监测技术指南 总则》（HJ819-2017）制定本项目环境监测计划。</w:t>
      </w:r>
    </w:p>
    <w:p w14:paraId="505B1585">
      <w:pPr>
        <w:pStyle w:val="178"/>
      </w:pPr>
      <w:r>
        <w:t>表</w:t>
      </w:r>
      <w:r>
        <w:rPr>
          <w:rFonts w:hint="eastAsia"/>
        </w:rPr>
        <w:t>8</w:t>
      </w:r>
      <w:r>
        <w:t>.2-1</w:t>
      </w:r>
      <w:r>
        <w:rPr>
          <w:rFonts w:hint="eastAsia"/>
        </w:rPr>
        <w:t xml:space="preserve">  </w:t>
      </w:r>
      <w:r>
        <w:t>废气及噪声监测计划</w:t>
      </w:r>
    </w:p>
    <w:tbl>
      <w:tblPr>
        <w:tblStyle w:val="36"/>
        <w:tblW w:w="8505" w:type="dxa"/>
        <w:jc w:val="center"/>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Layout w:type="autofit"/>
        <w:tblCellMar>
          <w:top w:w="0" w:type="dxa"/>
          <w:left w:w="108" w:type="dxa"/>
          <w:bottom w:w="0" w:type="dxa"/>
          <w:right w:w="108" w:type="dxa"/>
        </w:tblCellMar>
      </w:tblPr>
      <w:tblGrid>
        <w:gridCol w:w="710"/>
        <w:gridCol w:w="710"/>
        <w:gridCol w:w="1220"/>
        <w:gridCol w:w="1465"/>
        <w:gridCol w:w="1172"/>
        <w:gridCol w:w="3228"/>
      </w:tblGrid>
      <w:tr w14:paraId="0BFE3B2F">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290" w:hRule="atLeast"/>
          <w:jc w:val="center"/>
        </w:trPr>
        <w:tc>
          <w:tcPr>
            <w:tcW w:w="417" w:type="pct"/>
            <w:vAlign w:val="center"/>
          </w:tcPr>
          <w:p w14:paraId="11B38200">
            <w:pPr>
              <w:pStyle w:val="179"/>
              <w:rPr>
                <w:b/>
              </w:rPr>
            </w:pPr>
            <w:r>
              <w:rPr>
                <w:b/>
              </w:rPr>
              <w:t>时段</w:t>
            </w:r>
          </w:p>
        </w:tc>
        <w:tc>
          <w:tcPr>
            <w:tcW w:w="417" w:type="pct"/>
            <w:vAlign w:val="center"/>
          </w:tcPr>
          <w:p w14:paraId="2A3636DF">
            <w:pPr>
              <w:pStyle w:val="179"/>
              <w:rPr>
                <w:b/>
              </w:rPr>
            </w:pPr>
            <w:r>
              <w:rPr>
                <w:b/>
              </w:rPr>
              <w:t>类别</w:t>
            </w:r>
          </w:p>
        </w:tc>
        <w:tc>
          <w:tcPr>
            <w:tcW w:w="717" w:type="pct"/>
            <w:vAlign w:val="center"/>
          </w:tcPr>
          <w:p w14:paraId="67B8E914">
            <w:pPr>
              <w:pStyle w:val="179"/>
              <w:rPr>
                <w:b/>
              </w:rPr>
            </w:pPr>
            <w:r>
              <w:rPr>
                <w:b/>
              </w:rPr>
              <w:t>监测点位</w:t>
            </w:r>
          </w:p>
        </w:tc>
        <w:tc>
          <w:tcPr>
            <w:tcW w:w="861" w:type="pct"/>
            <w:vAlign w:val="center"/>
          </w:tcPr>
          <w:p w14:paraId="167D225D">
            <w:pPr>
              <w:pStyle w:val="179"/>
              <w:rPr>
                <w:b/>
              </w:rPr>
            </w:pPr>
            <w:r>
              <w:rPr>
                <w:b/>
              </w:rPr>
              <w:t>监测因子</w:t>
            </w:r>
          </w:p>
        </w:tc>
        <w:tc>
          <w:tcPr>
            <w:tcW w:w="689" w:type="pct"/>
            <w:vAlign w:val="center"/>
          </w:tcPr>
          <w:p w14:paraId="4E533594">
            <w:pPr>
              <w:pStyle w:val="179"/>
              <w:rPr>
                <w:b/>
              </w:rPr>
            </w:pPr>
            <w:r>
              <w:rPr>
                <w:b/>
              </w:rPr>
              <w:t>监测频率</w:t>
            </w:r>
          </w:p>
        </w:tc>
        <w:tc>
          <w:tcPr>
            <w:tcW w:w="1897" w:type="pct"/>
            <w:vAlign w:val="center"/>
          </w:tcPr>
          <w:p w14:paraId="6F7E828A">
            <w:pPr>
              <w:pStyle w:val="179"/>
              <w:rPr>
                <w:b/>
              </w:rPr>
            </w:pPr>
            <w:r>
              <w:rPr>
                <w:b/>
              </w:rPr>
              <w:t>控制目标</w:t>
            </w:r>
          </w:p>
        </w:tc>
      </w:tr>
      <w:tr w14:paraId="638DE9C5">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392" w:hRule="atLeast"/>
          <w:jc w:val="center"/>
        </w:trPr>
        <w:tc>
          <w:tcPr>
            <w:tcW w:w="417" w:type="pct"/>
            <w:vMerge w:val="restart"/>
            <w:vAlign w:val="center"/>
          </w:tcPr>
          <w:p w14:paraId="0A682980">
            <w:pPr>
              <w:pStyle w:val="179"/>
            </w:pPr>
            <w:r>
              <w:t>运营期</w:t>
            </w:r>
          </w:p>
        </w:tc>
        <w:tc>
          <w:tcPr>
            <w:tcW w:w="417" w:type="pct"/>
            <w:vAlign w:val="center"/>
          </w:tcPr>
          <w:p w14:paraId="66482C09">
            <w:pPr>
              <w:pStyle w:val="179"/>
            </w:pPr>
            <w:r>
              <w:t>废气</w:t>
            </w:r>
          </w:p>
        </w:tc>
        <w:tc>
          <w:tcPr>
            <w:tcW w:w="717" w:type="pct"/>
            <w:vAlign w:val="center"/>
          </w:tcPr>
          <w:p w14:paraId="69C552E0">
            <w:pPr>
              <w:pStyle w:val="179"/>
            </w:pPr>
            <w:r>
              <w:t>厂界</w:t>
            </w:r>
          </w:p>
        </w:tc>
        <w:tc>
          <w:tcPr>
            <w:tcW w:w="861" w:type="pct"/>
            <w:vAlign w:val="center"/>
          </w:tcPr>
          <w:p w14:paraId="49FE0C2D">
            <w:pPr>
              <w:pStyle w:val="179"/>
            </w:pPr>
            <w:r>
              <w:t>颗粒物</w:t>
            </w:r>
          </w:p>
        </w:tc>
        <w:tc>
          <w:tcPr>
            <w:tcW w:w="689" w:type="pct"/>
            <w:vAlign w:val="center"/>
          </w:tcPr>
          <w:p w14:paraId="10E22201">
            <w:pPr>
              <w:pStyle w:val="179"/>
            </w:pPr>
            <w:r>
              <w:t>1次/年</w:t>
            </w:r>
          </w:p>
        </w:tc>
        <w:tc>
          <w:tcPr>
            <w:tcW w:w="1897" w:type="pct"/>
            <w:vAlign w:val="center"/>
          </w:tcPr>
          <w:p w14:paraId="23FBD7BF">
            <w:pPr>
              <w:pStyle w:val="179"/>
            </w:pPr>
            <w:r>
              <w:t>满足《大气污染物综合排放标准》（GB16297-1996）表2无组织排放监控浓度限值要求</w:t>
            </w:r>
          </w:p>
        </w:tc>
      </w:tr>
      <w:tr w14:paraId="6A6BC1F5">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108" w:type="dxa"/>
            <w:bottom w:w="0" w:type="dxa"/>
            <w:right w:w="108" w:type="dxa"/>
          </w:tblCellMar>
        </w:tblPrEx>
        <w:trPr>
          <w:trHeight w:val="896" w:hRule="atLeast"/>
          <w:jc w:val="center"/>
        </w:trPr>
        <w:tc>
          <w:tcPr>
            <w:tcW w:w="417" w:type="pct"/>
            <w:vMerge w:val="continue"/>
            <w:vAlign w:val="center"/>
          </w:tcPr>
          <w:p w14:paraId="21215D3B">
            <w:pPr>
              <w:pStyle w:val="179"/>
            </w:pPr>
          </w:p>
        </w:tc>
        <w:tc>
          <w:tcPr>
            <w:tcW w:w="417" w:type="pct"/>
            <w:vAlign w:val="center"/>
          </w:tcPr>
          <w:p w14:paraId="23BB60F6">
            <w:pPr>
              <w:pStyle w:val="179"/>
            </w:pPr>
            <w:r>
              <w:t>噪声</w:t>
            </w:r>
          </w:p>
        </w:tc>
        <w:tc>
          <w:tcPr>
            <w:tcW w:w="717" w:type="pct"/>
            <w:vAlign w:val="center"/>
          </w:tcPr>
          <w:p w14:paraId="3E12E08B">
            <w:pPr>
              <w:pStyle w:val="179"/>
            </w:pPr>
            <w:r>
              <w:t>厂界外1m</w:t>
            </w:r>
          </w:p>
        </w:tc>
        <w:tc>
          <w:tcPr>
            <w:tcW w:w="861" w:type="pct"/>
            <w:vAlign w:val="center"/>
          </w:tcPr>
          <w:p w14:paraId="75B023C9">
            <w:pPr>
              <w:pStyle w:val="179"/>
            </w:pPr>
            <w:r>
              <w:t>等效声级</w:t>
            </w:r>
          </w:p>
        </w:tc>
        <w:tc>
          <w:tcPr>
            <w:tcW w:w="689" w:type="pct"/>
            <w:vAlign w:val="center"/>
          </w:tcPr>
          <w:p w14:paraId="310CD565">
            <w:pPr>
              <w:pStyle w:val="179"/>
            </w:pPr>
            <w:r>
              <w:t>1次/季度</w:t>
            </w:r>
          </w:p>
        </w:tc>
        <w:tc>
          <w:tcPr>
            <w:tcW w:w="1897" w:type="pct"/>
            <w:vAlign w:val="center"/>
          </w:tcPr>
          <w:p w14:paraId="3D6CB067">
            <w:pPr>
              <w:pStyle w:val="179"/>
            </w:pPr>
            <w:r>
              <w:t>满足《工业企业厂界环境噪声排放标准》（GB12348-2008）中</w:t>
            </w:r>
            <w:r>
              <w:rPr>
                <w:rFonts w:hint="eastAsia"/>
              </w:rPr>
              <w:t>1</w:t>
            </w:r>
            <w:r>
              <w:t>类标准</w:t>
            </w:r>
          </w:p>
        </w:tc>
      </w:tr>
    </w:tbl>
    <w:p w14:paraId="0A6D6320">
      <w:pPr>
        <w:ind w:firstLine="480"/>
        <w:rPr>
          <w:rFonts w:hAnsi="Times New Roman" w:cs="Times New Roman"/>
        </w:rPr>
      </w:pPr>
      <w:r>
        <w:rPr>
          <w:rFonts w:hAnsi="Times New Roman" w:cs="Times New Roman"/>
        </w:rPr>
        <w:t>项目施工和运营过程中要进行生态监测，重点关注评价区野生动物分布及栖息状况，</w:t>
      </w:r>
      <w:r>
        <w:rPr>
          <w:rFonts w:hint="eastAsia" w:hAnsi="Times New Roman" w:cs="Times New Roman"/>
        </w:rPr>
        <w:t>本项目为矿山开采项目，采掘类项目开展全生命周期生态监测，</w:t>
      </w:r>
      <w:r>
        <w:rPr>
          <w:rFonts w:hAnsi="Times New Roman" w:cs="Times New Roman"/>
        </w:rPr>
        <w:t>监测时段和频率是施工期内每</w:t>
      </w:r>
      <w:r>
        <w:rPr>
          <w:rFonts w:hint="eastAsia" w:hAnsi="Times New Roman" w:cs="Times New Roman"/>
        </w:rPr>
        <w:t>季度</w:t>
      </w:r>
      <w:r>
        <w:rPr>
          <w:rFonts w:hAnsi="Times New Roman" w:cs="Times New Roman"/>
        </w:rPr>
        <w:t>一次，运营期每</w:t>
      </w:r>
      <w:r>
        <w:rPr>
          <w:rFonts w:hint="eastAsia" w:hAnsi="Times New Roman" w:cs="Times New Roman"/>
        </w:rPr>
        <w:t>季度</w:t>
      </w:r>
      <w:r>
        <w:rPr>
          <w:rFonts w:hAnsi="Times New Roman" w:cs="Times New Roman"/>
        </w:rPr>
        <w:t>一次</w:t>
      </w:r>
      <w:r>
        <w:rPr>
          <w:rFonts w:hint="eastAsia" w:hAnsi="Times New Roman" w:cs="Times New Roman"/>
        </w:rPr>
        <w:t>，服务期满后每季度一次。</w:t>
      </w:r>
    </w:p>
    <w:p w14:paraId="4740489D">
      <w:pPr>
        <w:ind w:firstLine="480"/>
        <w:rPr>
          <w:rFonts w:hAnsi="Times New Roman" w:cs="Times New Roman"/>
        </w:rPr>
      </w:pPr>
      <w:r>
        <w:rPr>
          <w:rFonts w:hAnsi="Times New Roman" w:cs="Times New Roman"/>
        </w:rPr>
        <w:t>施工期应调查监测项目为植物群落变化、野生动物种群分布情况，重点监测施工活动干扰下生态保护目标的受影响情况。运营期监测植被覆盖情况、动物种类、数量、分布及所在生境状况等，并重点对生态保护目标的实际影响、生态保护措施的有效性等进行监测。服务期满后监测生态恢复效果。</w:t>
      </w:r>
    </w:p>
    <w:p w14:paraId="31B83368">
      <w:pPr>
        <w:pStyle w:val="178"/>
      </w:pPr>
      <w:r>
        <w:t>表</w:t>
      </w:r>
      <w:r>
        <w:rPr>
          <w:rFonts w:hint="eastAsia"/>
        </w:rPr>
        <w:t>8</w:t>
      </w:r>
      <w:r>
        <w:t>.2-2</w:t>
      </w:r>
      <w:r>
        <w:rPr>
          <w:rFonts w:hint="eastAsia"/>
        </w:rPr>
        <w:t xml:space="preserve">  </w:t>
      </w:r>
      <w:r>
        <w:t>生态监测一览表</w:t>
      </w:r>
    </w:p>
    <w:tbl>
      <w:tblPr>
        <w:tblStyle w:val="36"/>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
      <w:tblGrid>
        <w:gridCol w:w="1052"/>
        <w:gridCol w:w="1132"/>
        <w:gridCol w:w="2268"/>
        <w:gridCol w:w="1704"/>
        <w:gridCol w:w="2270"/>
      </w:tblGrid>
      <w:tr w14:paraId="079C777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624" w:type="pct"/>
            <w:noWrap/>
            <w:vAlign w:val="center"/>
          </w:tcPr>
          <w:p w14:paraId="5867BAC6">
            <w:pPr>
              <w:pStyle w:val="179"/>
              <w:rPr>
                <w:b/>
              </w:rPr>
            </w:pPr>
            <w:r>
              <w:rPr>
                <w:b/>
              </w:rPr>
              <w:t>监测时期</w:t>
            </w:r>
          </w:p>
        </w:tc>
        <w:tc>
          <w:tcPr>
            <w:tcW w:w="672" w:type="pct"/>
            <w:noWrap/>
            <w:vAlign w:val="center"/>
          </w:tcPr>
          <w:p w14:paraId="59594252">
            <w:pPr>
              <w:pStyle w:val="179"/>
              <w:rPr>
                <w:b/>
              </w:rPr>
            </w:pPr>
            <w:r>
              <w:rPr>
                <w:b/>
              </w:rPr>
              <w:t>监测点</w:t>
            </w:r>
          </w:p>
        </w:tc>
        <w:tc>
          <w:tcPr>
            <w:tcW w:w="1346" w:type="pct"/>
            <w:noWrap/>
            <w:vAlign w:val="center"/>
          </w:tcPr>
          <w:p w14:paraId="5B84A562">
            <w:pPr>
              <w:pStyle w:val="179"/>
              <w:rPr>
                <w:b/>
              </w:rPr>
            </w:pPr>
            <w:r>
              <w:rPr>
                <w:b/>
              </w:rPr>
              <w:t>监测内容</w:t>
            </w:r>
          </w:p>
        </w:tc>
        <w:tc>
          <w:tcPr>
            <w:tcW w:w="1011" w:type="pct"/>
            <w:noWrap/>
            <w:vAlign w:val="center"/>
          </w:tcPr>
          <w:p w14:paraId="596D42BE">
            <w:pPr>
              <w:pStyle w:val="179"/>
              <w:rPr>
                <w:b/>
              </w:rPr>
            </w:pPr>
            <w:r>
              <w:rPr>
                <w:b/>
              </w:rPr>
              <w:t>监测范围</w:t>
            </w:r>
          </w:p>
        </w:tc>
        <w:tc>
          <w:tcPr>
            <w:tcW w:w="1347" w:type="pct"/>
            <w:noWrap/>
            <w:vAlign w:val="center"/>
          </w:tcPr>
          <w:p w14:paraId="7AD446C3">
            <w:pPr>
              <w:pStyle w:val="179"/>
              <w:rPr>
                <w:b/>
              </w:rPr>
            </w:pPr>
            <w:r>
              <w:rPr>
                <w:b/>
              </w:rPr>
              <w:t>监测频次</w:t>
            </w:r>
          </w:p>
        </w:tc>
      </w:tr>
      <w:tr w14:paraId="028A3C7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cantSplit/>
          <w:trHeight w:val="397" w:hRule="atLeast"/>
          <w:jc w:val="center"/>
        </w:trPr>
        <w:tc>
          <w:tcPr>
            <w:tcW w:w="624" w:type="pct"/>
            <w:noWrap/>
            <w:vAlign w:val="center"/>
          </w:tcPr>
          <w:p w14:paraId="5EB3A6A0">
            <w:pPr>
              <w:pStyle w:val="179"/>
            </w:pPr>
            <w:r>
              <w:t>施工期</w:t>
            </w:r>
          </w:p>
        </w:tc>
        <w:tc>
          <w:tcPr>
            <w:tcW w:w="672" w:type="pct"/>
            <w:noWrap/>
            <w:vAlign w:val="center"/>
          </w:tcPr>
          <w:p w14:paraId="7BF7805B">
            <w:pPr>
              <w:pStyle w:val="179"/>
            </w:pPr>
            <w:r>
              <w:t>厂区占地周围</w:t>
            </w:r>
          </w:p>
        </w:tc>
        <w:tc>
          <w:tcPr>
            <w:tcW w:w="1346" w:type="pct"/>
            <w:noWrap/>
            <w:vAlign w:val="center"/>
          </w:tcPr>
          <w:p w14:paraId="714C4FA4">
            <w:pPr>
              <w:pStyle w:val="179"/>
            </w:pPr>
            <w:r>
              <w:t>植被覆盖情况</w:t>
            </w:r>
          </w:p>
        </w:tc>
        <w:tc>
          <w:tcPr>
            <w:tcW w:w="1011" w:type="pct"/>
            <w:noWrap/>
            <w:vAlign w:val="center"/>
          </w:tcPr>
          <w:p w14:paraId="1383C761">
            <w:pPr>
              <w:pStyle w:val="179"/>
            </w:pPr>
            <w:r>
              <w:t>评价范围内</w:t>
            </w:r>
          </w:p>
        </w:tc>
        <w:tc>
          <w:tcPr>
            <w:tcW w:w="1347" w:type="pct"/>
            <w:noWrap/>
            <w:vAlign w:val="center"/>
          </w:tcPr>
          <w:p w14:paraId="191832AE">
            <w:pPr>
              <w:pStyle w:val="179"/>
            </w:pPr>
            <w:r>
              <w:t>每季度一次</w:t>
            </w:r>
          </w:p>
        </w:tc>
      </w:tr>
      <w:tr w14:paraId="294EEC2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624" w:type="pct"/>
            <w:vMerge w:val="restart"/>
            <w:noWrap/>
            <w:vAlign w:val="center"/>
          </w:tcPr>
          <w:p w14:paraId="3009E8FF">
            <w:pPr>
              <w:pStyle w:val="179"/>
            </w:pPr>
            <w:r>
              <w:t>运营期</w:t>
            </w:r>
          </w:p>
        </w:tc>
        <w:tc>
          <w:tcPr>
            <w:tcW w:w="672" w:type="pct"/>
            <w:vMerge w:val="restart"/>
            <w:noWrap/>
            <w:vAlign w:val="center"/>
          </w:tcPr>
          <w:p w14:paraId="370EBC88">
            <w:pPr>
              <w:pStyle w:val="179"/>
            </w:pPr>
            <w:r>
              <w:t>厂区占地周围</w:t>
            </w:r>
          </w:p>
        </w:tc>
        <w:tc>
          <w:tcPr>
            <w:tcW w:w="1346" w:type="pct"/>
            <w:noWrap/>
            <w:vAlign w:val="center"/>
          </w:tcPr>
          <w:p w14:paraId="2DE0886D">
            <w:pPr>
              <w:pStyle w:val="179"/>
            </w:pPr>
            <w:r>
              <w:t>植被覆盖情况</w:t>
            </w:r>
          </w:p>
        </w:tc>
        <w:tc>
          <w:tcPr>
            <w:tcW w:w="1011" w:type="pct"/>
            <w:noWrap/>
            <w:vAlign w:val="center"/>
          </w:tcPr>
          <w:p w14:paraId="0AE319BC">
            <w:pPr>
              <w:pStyle w:val="179"/>
            </w:pPr>
            <w:r>
              <w:t>评价范围内</w:t>
            </w:r>
          </w:p>
        </w:tc>
        <w:tc>
          <w:tcPr>
            <w:tcW w:w="1347" w:type="pct"/>
            <w:vMerge w:val="restart"/>
            <w:noWrap/>
            <w:vAlign w:val="center"/>
          </w:tcPr>
          <w:p w14:paraId="27657C71">
            <w:pPr>
              <w:pStyle w:val="179"/>
            </w:pPr>
            <w:r>
              <w:t>每季度一次，4次/年</w:t>
            </w:r>
          </w:p>
        </w:tc>
      </w:tr>
      <w:tr w14:paraId="20296FA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624" w:type="pct"/>
            <w:vMerge w:val="continue"/>
            <w:noWrap/>
            <w:vAlign w:val="center"/>
          </w:tcPr>
          <w:p w14:paraId="0425354B">
            <w:pPr>
              <w:pStyle w:val="179"/>
            </w:pPr>
          </w:p>
        </w:tc>
        <w:tc>
          <w:tcPr>
            <w:tcW w:w="672" w:type="pct"/>
            <w:vMerge w:val="continue"/>
            <w:noWrap/>
            <w:vAlign w:val="center"/>
          </w:tcPr>
          <w:p w14:paraId="40989280">
            <w:pPr>
              <w:pStyle w:val="179"/>
            </w:pPr>
          </w:p>
        </w:tc>
        <w:tc>
          <w:tcPr>
            <w:tcW w:w="1346" w:type="pct"/>
            <w:noWrap/>
            <w:vAlign w:val="center"/>
          </w:tcPr>
          <w:p w14:paraId="167CCB75">
            <w:pPr>
              <w:pStyle w:val="179"/>
            </w:pPr>
            <w:r>
              <w:t>动物种类、数量、分布及所在生境状况</w:t>
            </w:r>
          </w:p>
        </w:tc>
        <w:tc>
          <w:tcPr>
            <w:tcW w:w="1011" w:type="pct"/>
            <w:noWrap/>
            <w:vAlign w:val="center"/>
          </w:tcPr>
          <w:p w14:paraId="42D5FE37">
            <w:pPr>
              <w:pStyle w:val="179"/>
            </w:pPr>
            <w:r>
              <w:t>评价范围内</w:t>
            </w:r>
          </w:p>
        </w:tc>
        <w:tc>
          <w:tcPr>
            <w:tcW w:w="1347" w:type="pct"/>
            <w:vMerge w:val="continue"/>
            <w:noWrap/>
            <w:vAlign w:val="center"/>
          </w:tcPr>
          <w:p w14:paraId="0EA0A99D">
            <w:pPr>
              <w:pStyle w:val="179"/>
            </w:pPr>
          </w:p>
        </w:tc>
      </w:tr>
      <w:tr w14:paraId="07A40BA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624" w:type="pct"/>
            <w:noWrap/>
            <w:vAlign w:val="center"/>
          </w:tcPr>
          <w:p w14:paraId="6AC08F07">
            <w:pPr>
              <w:pStyle w:val="179"/>
            </w:pPr>
            <w:r>
              <w:t>服务期满后</w:t>
            </w:r>
          </w:p>
        </w:tc>
        <w:tc>
          <w:tcPr>
            <w:tcW w:w="672" w:type="pct"/>
            <w:noWrap/>
            <w:vAlign w:val="center"/>
          </w:tcPr>
          <w:p w14:paraId="4166B887">
            <w:pPr>
              <w:pStyle w:val="179"/>
            </w:pPr>
            <w:r>
              <w:t>厂区占地范围</w:t>
            </w:r>
          </w:p>
        </w:tc>
        <w:tc>
          <w:tcPr>
            <w:tcW w:w="1346" w:type="pct"/>
            <w:noWrap/>
            <w:vAlign w:val="center"/>
          </w:tcPr>
          <w:p w14:paraId="220F9029">
            <w:pPr>
              <w:pStyle w:val="179"/>
            </w:pPr>
            <w:r>
              <w:t>厂区占地范围内植被恢复情况</w:t>
            </w:r>
          </w:p>
        </w:tc>
        <w:tc>
          <w:tcPr>
            <w:tcW w:w="1011" w:type="pct"/>
            <w:noWrap/>
            <w:vAlign w:val="center"/>
          </w:tcPr>
          <w:p w14:paraId="53C409E4">
            <w:pPr>
              <w:pStyle w:val="179"/>
            </w:pPr>
            <w:r>
              <w:t>厂区占地</w:t>
            </w:r>
          </w:p>
        </w:tc>
        <w:tc>
          <w:tcPr>
            <w:tcW w:w="1347" w:type="pct"/>
            <w:noWrap/>
            <w:vAlign w:val="center"/>
          </w:tcPr>
          <w:p w14:paraId="213E1498">
            <w:pPr>
              <w:pStyle w:val="179"/>
            </w:pPr>
            <w:r>
              <w:t>连续监测3年，每季度一次，4次/年</w:t>
            </w:r>
          </w:p>
        </w:tc>
      </w:tr>
    </w:tbl>
    <w:p w14:paraId="3F28132C">
      <w:pPr>
        <w:pStyle w:val="4"/>
        <w:spacing w:before="180" w:after="120"/>
      </w:pPr>
      <w:r>
        <w:t>信息公开</w:t>
      </w:r>
    </w:p>
    <w:p w14:paraId="18092A47">
      <w:pPr>
        <w:ind w:firstLine="482"/>
        <w:rPr>
          <w:b/>
        </w:rPr>
      </w:pPr>
      <w:r>
        <w:rPr>
          <w:b/>
        </w:rPr>
        <w:t>1、公布方式</w:t>
      </w:r>
    </w:p>
    <w:p w14:paraId="58607FFD">
      <w:pPr>
        <w:ind w:firstLine="480"/>
      </w:pPr>
      <w:r>
        <w:t>按要求及时向生态环境主管部门上报自行监测信息，在全国污染源监测信息管理与共享平台网站向社会公布自行监测信息。</w:t>
      </w:r>
    </w:p>
    <w:p w14:paraId="16D92346">
      <w:pPr>
        <w:ind w:firstLine="480"/>
      </w:pPr>
      <w:r>
        <w:t>通过企业公告栏的方式，公开自行监测信息。</w:t>
      </w:r>
    </w:p>
    <w:p w14:paraId="2251B9B4">
      <w:pPr>
        <w:ind w:firstLine="482"/>
        <w:rPr>
          <w:b/>
        </w:rPr>
      </w:pPr>
      <w:r>
        <w:rPr>
          <w:b/>
        </w:rPr>
        <w:t>2、公布内容</w:t>
      </w:r>
    </w:p>
    <w:p w14:paraId="761263DD">
      <w:pPr>
        <w:ind w:firstLine="480"/>
      </w:pPr>
      <w:r>
        <w:t>（1）基础信息：企业名称、法人代表、所属行业、地理位置、生产周期、联系方式、监测机构等。</w:t>
      </w:r>
    </w:p>
    <w:p w14:paraId="374FEFA6">
      <w:pPr>
        <w:ind w:firstLine="480"/>
      </w:pPr>
      <w:r>
        <w:t>（2）自行监测方案。</w:t>
      </w:r>
    </w:p>
    <w:p w14:paraId="62B6BB8D">
      <w:pPr>
        <w:ind w:firstLine="480"/>
      </w:pPr>
      <w:r>
        <w:t>（3）自行监测结果：全部监测点位、监测日期、污染物种类及浓度、标准限值、达标情况、超标倍数、污染物排放方式及排放去向。</w:t>
      </w:r>
    </w:p>
    <w:p w14:paraId="2CC9E90B">
      <w:pPr>
        <w:ind w:firstLine="480"/>
      </w:pPr>
      <w:r>
        <w:t>（4）未开展自行监测的原因。</w:t>
      </w:r>
    </w:p>
    <w:p w14:paraId="2CE6F0C3">
      <w:pPr>
        <w:ind w:firstLine="480"/>
      </w:pPr>
      <w:r>
        <w:t>（5）污染源自行监测年度报告。</w:t>
      </w:r>
    </w:p>
    <w:p w14:paraId="3DA52E7B">
      <w:pPr>
        <w:ind w:firstLine="482"/>
        <w:rPr>
          <w:b/>
        </w:rPr>
      </w:pPr>
      <w:r>
        <w:rPr>
          <w:b/>
        </w:rPr>
        <w:t>3、公布时限</w:t>
      </w:r>
    </w:p>
    <w:p w14:paraId="2A5483AE">
      <w:pPr>
        <w:ind w:firstLine="480"/>
      </w:pPr>
      <w:r>
        <w:t>基础信息应随监测数据一并公布，基础信息、自行监测方案如有调整变化时，五日内公布最新内容。</w:t>
      </w:r>
    </w:p>
    <w:p w14:paraId="2B57E6BA">
      <w:pPr>
        <w:ind w:firstLine="480"/>
      </w:pPr>
      <w:r>
        <w:t>监测数据于每次监测完成后的次日公布，每年一月底前公布上年度自行监测年度报告。</w:t>
      </w:r>
    </w:p>
    <w:p w14:paraId="6D679538">
      <w:pPr>
        <w:pStyle w:val="3"/>
        <w:spacing w:before="180" w:after="120"/>
      </w:pPr>
      <w:bookmarkStart w:id="689" w:name="_Toc234927721"/>
      <w:bookmarkStart w:id="690" w:name="_Toc262740184"/>
      <w:bookmarkStart w:id="691" w:name="_Toc358299730"/>
      <w:bookmarkStart w:id="692" w:name="_Toc503272366"/>
      <w:bookmarkStart w:id="693" w:name="_Toc217911849"/>
      <w:bookmarkStart w:id="694" w:name="_Toc504292921"/>
      <w:bookmarkStart w:id="695" w:name="_Toc358300205"/>
      <w:bookmarkStart w:id="696" w:name="_Toc360453977"/>
      <w:bookmarkStart w:id="697" w:name="_Toc263586296"/>
      <w:bookmarkStart w:id="698" w:name="_Toc469400928"/>
      <w:bookmarkStart w:id="699" w:name="_Toc358358112"/>
      <w:r>
        <w:rPr>
          <w:rFonts w:hint="eastAsia"/>
        </w:rPr>
        <w:t>与排污许可内容的衔接</w:t>
      </w:r>
      <w:bookmarkEnd w:id="689"/>
    </w:p>
    <w:p w14:paraId="2A36DDC9">
      <w:pPr>
        <w:ind w:firstLine="480"/>
      </w:pPr>
      <w:r>
        <w:rPr>
          <w:rFonts w:hint="eastAsia"/>
        </w:rPr>
        <w:t>《关于做好环境影响评价制度与排污许可制衔接相关工作的通知》中要求：环境影响评价审批部门要做好建设项目环境影响报告书（表）的审查，结合排污许可证申请与核发技术规范，核定建设项目的产排污环节、污染物种类及污染防治设施和措施等基本信息；依据国家或地方污染物排放标准、环境质量标准和总量控制要求等管理规定，按照污染源源强核算技术指南、环境影响评价要素导则等技术文件，严格核定排放口数量、位置以及每个排放口的污染物种类、允许排放浓度和允许排放量、排放方式、排放去向、自行监测计划等与污染物排放相关的主要内容。</w:t>
      </w:r>
    </w:p>
    <w:p w14:paraId="0575CF33">
      <w:pPr>
        <w:ind w:firstLine="480"/>
        <w:rPr>
          <w:rFonts w:hAnsi="Times New Roman" w:cs="Times New Roman"/>
          <w:b/>
          <w:bCs w:val="0"/>
        </w:rPr>
      </w:pPr>
      <w:r>
        <w:rPr>
          <w:rFonts w:hint="eastAsia"/>
        </w:rPr>
        <w:t>本项目属于《固定污染源排污许可分类管理名录（2019年版）》中六、非金属矿采选业10，7土砂石开采101，涉及通用工序重点管理的实行重点管理，涉及通用工序简化管理的实行简化管理，其他为登记管理；本项目不设置锅炉、炉窑等通用工序，因此实行登记管理。</w:t>
      </w:r>
    </w:p>
    <w:bookmarkEnd w:id="690"/>
    <w:bookmarkEnd w:id="691"/>
    <w:bookmarkEnd w:id="692"/>
    <w:bookmarkEnd w:id="693"/>
    <w:bookmarkEnd w:id="694"/>
    <w:bookmarkEnd w:id="695"/>
    <w:bookmarkEnd w:id="696"/>
    <w:bookmarkEnd w:id="697"/>
    <w:bookmarkEnd w:id="698"/>
    <w:bookmarkEnd w:id="699"/>
    <w:p w14:paraId="60334AE1">
      <w:pPr>
        <w:pStyle w:val="3"/>
        <w:spacing w:before="180" w:after="120"/>
        <w:rPr>
          <w:bCs/>
        </w:rPr>
      </w:pPr>
      <w:bookmarkStart w:id="700" w:name="_Toc61012982"/>
      <w:bookmarkStart w:id="701" w:name="_Toc61013173"/>
      <w:bookmarkStart w:id="702" w:name="_Toc61013378"/>
      <w:bookmarkStart w:id="703" w:name="_Toc61013993"/>
      <w:bookmarkStart w:id="704" w:name="_Toc234927722"/>
      <w:bookmarkStart w:id="705" w:name="_Toc12649434"/>
      <w:bookmarkStart w:id="706" w:name="_Toc477281933"/>
      <w:bookmarkStart w:id="707" w:name="_Toc61013788"/>
      <w:bookmarkStart w:id="708" w:name="_Toc76395526"/>
      <w:bookmarkStart w:id="709" w:name="_Toc10420"/>
      <w:bookmarkStart w:id="710" w:name="_Toc61013583"/>
      <w:bookmarkStart w:id="711" w:name="_Toc61012697"/>
      <w:bookmarkStart w:id="712" w:name="_Toc518482614"/>
      <w:r>
        <w:t>环境保护竣工验收</w:t>
      </w:r>
      <w:bookmarkEnd w:id="700"/>
      <w:bookmarkEnd w:id="701"/>
      <w:bookmarkEnd w:id="702"/>
      <w:bookmarkEnd w:id="703"/>
      <w:bookmarkEnd w:id="704"/>
      <w:bookmarkEnd w:id="705"/>
      <w:bookmarkEnd w:id="706"/>
      <w:bookmarkEnd w:id="707"/>
      <w:bookmarkEnd w:id="708"/>
      <w:bookmarkEnd w:id="709"/>
      <w:bookmarkEnd w:id="710"/>
      <w:bookmarkEnd w:id="711"/>
      <w:bookmarkEnd w:id="712"/>
    </w:p>
    <w:p w14:paraId="7A5DA137">
      <w:pPr>
        <w:ind w:firstLine="480"/>
      </w:pPr>
      <w:r>
        <w:t>为了便于环境保护主管部门对工程的环保验收以及日后生产的环境监督与环境管理，评价拟定“三同时”验收内容详见表8.</w:t>
      </w:r>
      <w:r>
        <w:rPr>
          <w:rFonts w:hint="eastAsia"/>
        </w:rPr>
        <w:t>4</w:t>
      </w:r>
      <w:r>
        <w:t>-1。</w:t>
      </w:r>
    </w:p>
    <w:p w14:paraId="77EBA5A1">
      <w:pPr>
        <w:pStyle w:val="178"/>
      </w:pPr>
      <w:r>
        <w:t>表8.</w:t>
      </w:r>
      <w:r>
        <w:rPr>
          <w:rFonts w:hint="eastAsia"/>
        </w:rPr>
        <w:t>4</w:t>
      </w:r>
      <w:r>
        <w:t>-1  项目环保设施“三同时”验收内容一览表</w:t>
      </w:r>
    </w:p>
    <w:tbl>
      <w:tblPr>
        <w:tblStyle w:val="36"/>
        <w:tblW w:w="8505" w:type="dxa"/>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57" w:type="dxa"/>
          <w:bottom w:w="0" w:type="dxa"/>
          <w:right w:w="57" w:type="dxa"/>
        </w:tblCellMar>
      </w:tblPr>
      <w:tblGrid>
        <w:gridCol w:w="709"/>
        <w:gridCol w:w="1283"/>
        <w:gridCol w:w="4220"/>
        <w:gridCol w:w="2293"/>
      </w:tblGrid>
      <w:tr w14:paraId="63E5357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57" w:type="dxa"/>
            <w:bottom w:w="0" w:type="dxa"/>
            <w:right w:w="57" w:type="dxa"/>
          </w:tblCellMar>
        </w:tblPrEx>
        <w:trPr>
          <w:trHeight w:val="127" w:hRule="atLeast"/>
          <w:tblHeader/>
          <w:jc w:val="center"/>
        </w:trPr>
        <w:tc>
          <w:tcPr>
            <w:tcW w:w="417" w:type="pct"/>
            <w:tcBorders>
              <w:top w:val="single" w:color="auto" w:sz="12" w:space="0"/>
              <w:left w:val="single" w:color="auto" w:sz="12" w:space="0"/>
            </w:tcBorders>
            <w:vAlign w:val="center"/>
          </w:tcPr>
          <w:p w14:paraId="6EA2C896">
            <w:pPr>
              <w:pStyle w:val="179"/>
              <w:rPr>
                <w:b/>
              </w:rPr>
            </w:pPr>
            <w:r>
              <w:rPr>
                <w:b/>
              </w:rPr>
              <w:t>序号</w:t>
            </w:r>
          </w:p>
        </w:tc>
        <w:tc>
          <w:tcPr>
            <w:tcW w:w="754" w:type="pct"/>
            <w:tcBorders>
              <w:top w:val="single" w:color="auto" w:sz="12" w:space="0"/>
            </w:tcBorders>
            <w:vAlign w:val="center"/>
          </w:tcPr>
          <w:p w14:paraId="767154C7">
            <w:pPr>
              <w:pStyle w:val="179"/>
              <w:rPr>
                <w:b/>
              </w:rPr>
            </w:pPr>
            <w:r>
              <w:rPr>
                <w:b/>
              </w:rPr>
              <w:t>项目</w:t>
            </w:r>
          </w:p>
        </w:tc>
        <w:tc>
          <w:tcPr>
            <w:tcW w:w="2481" w:type="pct"/>
            <w:tcBorders>
              <w:top w:val="single" w:color="auto" w:sz="12" w:space="0"/>
            </w:tcBorders>
            <w:vAlign w:val="center"/>
          </w:tcPr>
          <w:p w14:paraId="57ED631D">
            <w:pPr>
              <w:pStyle w:val="179"/>
              <w:rPr>
                <w:b/>
              </w:rPr>
            </w:pPr>
            <w:r>
              <w:rPr>
                <w:b/>
              </w:rPr>
              <w:t>验收内容</w:t>
            </w:r>
          </w:p>
        </w:tc>
        <w:tc>
          <w:tcPr>
            <w:tcW w:w="1348" w:type="pct"/>
            <w:tcBorders>
              <w:top w:val="single" w:color="auto" w:sz="12" w:space="0"/>
              <w:bottom w:val="single" w:color="auto" w:sz="4" w:space="0"/>
              <w:right w:val="single" w:color="auto" w:sz="12" w:space="0"/>
            </w:tcBorders>
            <w:vAlign w:val="center"/>
          </w:tcPr>
          <w:p w14:paraId="0DF3DB50">
            <w:pPr>
              <w:pStyle w:val="179"/>
              <w:rPr>
                <w:b/>
              </w:rPr>
            </w:pPr>
            <w:r>
              <w:rPr>
                <w:b/>
              </w:rPr>
              <w:t>验收标准</w:t>
            </w:r>
          </w:p>
        </w:tc>
      </w:tr>
      <w:tr w14:paraId="3FF6939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57" w:type="dxa"/>
            <w:bottom w:w="0" w:type="dxa"/>
            <w:right w:w="57" w:type="dxa"/>
          </w:tblCellMar>
        </w:tblPrEx>
        <w:trPr>
          <w:trHeight w:val="583" w:hRule="atLeast"/>
          <w:jc w:val="center"/>
        </w:trPr>
        <w:tc>
          <w:tcPr>
            <w:tcW w:w="417" w:type="pct"/>
            <w:tcBorders>
              <w:left w:val="single" w:color="auto" w:sz="12" w:space="0"/>
            </w:tcBorders>
            <w:vAlign w:val="center"/>
          </w:tcPr>
          <w:p w14:paraId="50760DB7">
            <w:pPr>
              <w:pStyle w:val="179"/>
            </w:pPr>
            <w:r>
              <w:t>1</w:t>
            </w:r>
          </w:p>
        </w:tc>
        <w:tc>
          <w:tcPr>
            <w:tcW w:w="754" w:type="pct"/>
            <w:vAlign w:val="center"/>
          </w:tcPr>
          <w:p w14:paraId="211372C7">
            <w:pPr>
              <w:pStyle w:val="179"/>
            </w:pPr>
            <w:r>
              <w:t>采剥、集堆铲装</w:t>
            </w:r>
          </w:p>
        </w:tc>
        <w:tc>
          <w:tcPr>
            <w:tcW w:w="2481" w:type="pct"/>
            <w:vAlign w:val="center"/>
          </w:tcPr>
          <w:p w14:paraId="587A824B">
            <w:pPr>
              <w:pStyle w:val="179"/>
            </w:pPr>
            <w:r>
              <w:t>洒水装置及配套设施</w:t>
            </w:r>
          </w:p>
        </w:tc>
        <w:tc>
          <w:tcPr>
            <w:tcW w:w="1348" w:type="pct"/>
            <w:vMerge w:val="restart"/>
            <w:tcBorders>
              <w:right w:val="single" w:color="auto" w:sz="12" w:space="0"/>
            </w:tcBorders>
            <w:vAlign w:val="center"/>
          </w:tcPr>
          <w:p w14:paraId="6FAC172B">
            <w:pPr>
              <w:pStyle w:val="179"/>
            </w:pPr>
            <w:r>
              <w:t>周界外浓度颗粒物≤1.0mg/m</w:t>
            </w:r>
            <w:r>
              <w:rPr>
                <w:rFonts w:hint="eastAsia"/>
                <w:vertAlign w:val="superscript"/>
              </w:rPr>
              <w:t>3</w:t>
            </w:r>
            <w:r>
              <w:t>，满足《大气污染物综合排放标准》（GB16297-1996）表2无组织排放监控浓度限值</w:t>
            </w:r>
          </w:p>
        </w:tc>
      </w:tr>
      <w:tr w14:paraId="0A7CBB2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57" w:type="dxa"/>
            <w:bottom w:w="0" w:type="dxa"/>
            <w:right w:w="57" w:type="dxa"/>
          </w:tblCellMar>
        </w:tblPrEx>
        <w:trPr>
          <w:trHeight w:val="489" w:hRule="atLeast"/>
          <w:jc w:val="center"/>
        </w:trPr>
        <w:tc>
          <w:tcPr>
            <w:tcW w:w="417" w:type="pct"/>
            <w:tcBorders>
              <w:left w:val="single" w:color="auto" w:sz="12" w:space="0"/>
            </w:tcBorders>
            <w:vAlign w:val="center"/>
          </w:tcPr>
          <w:p w14:paraId="733485FF">
            <w:pPr>
              <w:pStyle w:val="179"/>
            </w:pPr>
            <w:r>
              <w:t>2</w:t>
            </w:r>
          </w:p>
        </w:tc>
        <w:tc>
          <w:tcPr>
            <w:tcW w:w="754" w:type="pct"/>
            <w:vAlign w:val="center"/>
          </w:tcPr>
          <w:p w14:paraId="29ECA560">
            <w:pPr>
              <w:pStyle w:val="179"/>
            </w:pPr>
            <w:r>
              <w:t>产品堆场</w:t>
            </w:r>
          </w:p>
        </w:tc>
        <w:tc>
          <w:tcPr>
            <w:tcW w:w="2481" w:type="pct"/>
            <w:vAlign w:val="center"/>
          </w:tcPr>
          <w:p w14:paraId="099BDBA8">
            <w:pPr>
              <w:pStyle w:val="179"/>
            </w:pPr>
            <w:r>
              <w:t>洒水降尘、苫布覆盖</w:t>
            </w:r>
          </w:p>
        </w:tc>
        <w:tc>
          <w:tcPr>
            <w:tcW w:w="1348" w:type="pct"/>
            <w:vMerge w:val="continue"/>
            <w:tcBorders>
              <w:right w:val="single" w:color="auto" w:sz="12" w:space="0"/>
            </w:tcBorders>
            <w:vAlign w:val="center"/>
          </w:tcPr>
          <w:p w14:paraId="6A3F4734">
            <w:pPr>
              <w:pStyle w:val="179"/>
            </w:pPr>
          </w:p>
        </w:tc>
      </w:tr>
      <w:tr w14:paraId="28C5CDF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57" w:type="dxa"/>
            <w:bottom w:w="0" w:type="dxa"/>
            <w:right w:w="57" w:type="dxa"/>
          </w:tblCellMar>
        </w:tblPrEx>
        <w:trPr>
          <w:trHeight w:val="489" w:hRule="atLeast"/>
          <w:jc w:val="center"/>
        </w:trPr>
        <w:tc>
          <w:tcPr>
            <w:tcW w:w="417" w:type="pct"/>
            <w:tcBorders>
              <w:left w:val="single" w:color="auto" w:sz="12" w:space="0"/>
            </w:tcBorders>
            <w:vAlign w:val="center"/>
          </w:tcPr>
          <w:p w14:paraId="131BEF45">
            <w:pPr>
              <w:pStyle w:val="179"/>
            </w:pPr>
            <w:r>
              <w:t>3</w:t>
            </w:r>
          </w:p>
        </w:tc>
        <w:tc>
          <w:tcPr>
            <w:tcW w:w="754" w:type="pct"/>
            <w:vAlign w:val="center"/>
          </w:tcPr>
          <w:p w14:paraId="5696E6EF">
            <w:pPr>
              <w:pStyle w:val="179"/>
            </w:pPr>
            <w:r>
              <w:t>运输道路</w:t>
            </w:r>
          </w:p>
        </w:tc>
        <w:tc>
          <w:tcPr>
            <w:tcW w:w="2481" w:type="pct"/>
            <w:vAlign w:val="center"/>
          </w:tcPr>
          <w:p w14:paraId="67D1011D">
            <w:pPr>
              <w:pStyle w:val="179"/>
            </w:pPr>
            <w:r>
              <w:t>加盖苫布、限速行驶，洒水降尘</w:t>
            </w:r>
          </w:p>
        </w:tc>
        <w:tc>
          <w:tcPr>
            <w:tcW w:w="1348" w:type="pct"/>
            <w:vMerge w:val="continue"/>
            <w:tcBorders>
              <w:right w:val="single" w:color="auto" w:sz="12" w:space="0"/>
            </w:tcBorders>
            <w:vAlign w:val="center"/>
          </w:tcPr>
          <w:p w14:paraId="2808D877">
            <w:pPr>
              <w:pStyle w:val="179"/>
            </w:pPr>
          </w:p>
        </w:tc>
      </w:tr>
      <w:tr w14:paraId="1CCF05D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57" w:type="dxa"/>
            <w:bottom w:w="0" w:type="dxa"/>
            <w:right w:w="57" w:type="dxa"/>
          </w:tblCellMar>
        </w:tblPrEx>
        <w:trPr>
          <w:trHeight w:val="960" w:hRule="atLeast"/>
          <w:jc w:val="center"/>
        </w:trPr>
        <w:tc>
          <w:tcPr>
            <w:tcW w:w="417" w:type="pct"/>
            <w:tcBorders>
              <w:left w:val="single" w:color="auto" w:sz="12" w:space="0"/>
            </w:tcBorders>
            <w:vAlign w:val="center"/>
          </w:tcPr>
          <w:p w14:paraId="31D64D58">
            <w:pPr>
              <w:pStyle w:val="179"/>
            </w:pPr>
            <w:r>
              <w:t>4</w:t>
            </w:r>
          </w:p>
        </w:tc>
        <w:tc>
          <w:tcPr>
            <w:tcW w:w="754" w:type="pct"/>
            <w:vAlign w:val="center"/>
          </w:tcPr>
          <w:p w14:paraId="396BBCAA">
            <w:pPr>
              <w:pStyle w:val="179"/>
            </w:pPr>
            <w:r>
              <w:t>汇水及生活污水防治措施</w:t>
            </w:r>
          </w:p>
        </w:tc>
        <w:tc>
          <w:tcPr>
            <w:tcW w:w="2481" w:type="pct"/>
            <w:vAlign w:val="center"/>
          </w:tcPr>
          <w:p w14:paraId="16D7FDC3">
            <w:pPr>
              <w:pStyle w:val="179"/>
              <w:jc w:val="both"/>
            </w:pPr>
            <w:r>
              <w:t>在</w:t>
            </w:r>
            <w:r>
              <w:rPr>
                <w:rFonts w:hint="eastAsia"/>
              </w:rPr>
              <w:t>矿区四周</w:t>
            </w:r>
            <w:r>
              <w:t>设置底宽0.</w:t>
            </w:r>
            <w:r>
              <w:rPr>
                <w:rFonts w:hint="eastAsia"/>
              </w:rPr>
              <w:t>6</w:t>
            </w:r>
            <w:r>
              <w:t>m，深0.</w:t>
            </w:r>
            <w:r>
              <w:rPr>
                <w:rFonts w:hint="eastAsia"/>
              </w:rPr>
              <w:t>5</w:t>
            </w:r>
            <w:r>
              <w:t>m，长</w:t>
            </w:r>
            <w:r>
              <w:rPr>
                <w:rFonts w:hint="eastAsia"/>
              </w:rPr>
              <w:t>1466</w:t>
            </w:r>
            <w:r>
              <w:t>m截流沟，截流沟排水导出矿区外；</w:t>
            </w:r>
          </w:p>
          <w:p w14:paraId="4AFA4162">
            <w:pPr>
              <w:pStyle w:val="179"/>
              <w:jc w:val="both"/>
            </w:pPr>
            <w:r>
              <w:t>在开采境界内汇水通过</w:t>
            </w:r>
            <w:r>
              <w:rPr>
                <w:rFonts w:hint="eastAsia"/>
              </w:rPr>
              <w:t>400m</w:t>
            </w:r>
            <w:r>
              <w:t>导流渠汇入</w:t>
            </w:r>
            <w:r>
              <w:rPr>
                <w:rFonts w:hint="eastAsia"/>
              </w:rPr>
              <w:t>630</w:t>
            </w:r>
            <w:r>
              <w:t>m</w:t>
            </w:r>
            <w:r>
              <w:rPr>
                <w:vertAlign w:val="superscript"/>
              </w:rPr>
              <w:t>3</w:t>
            </w:r>
            <w:r>
              <w:t>的贮水池中，作为降尘用水使用；</w:t>
            </w:r>
          </w:p>
          <w:p w14:paraId="50A88A41">
            <w:pPr>
              <w:pStyle w:val="179"/>
              <w:jc w:val="both"/>
            </w:pPr>
            <w:r>
              <w:t>生活污水排入防渗旱厕，定期清掏，外运堆肥，不外排。</w:t>
            </w:r>
          </w:p>
        </w:tc>
        <w:tc>
          <w:tcPr>
            <w:tcW w:w="1348" w:type="pct"/>
            <w:tcBorders>
              <w:right w:val="single" w:color="auto" w:sz="12" w:space="0"/>
            </w:tcBorders>
            <w:vAlign w:val="center"/>
          </w:tcPr>
          <w:p w14:paraId="62C51B23">
            <w:pPr>
              <w:pStyle w:val="179"/>
            </w:pPr>
            <w:r>
              <w:t>收集本项目汇水</w:t>
            </w:r>
          </w:p>
        </w:tc>
      </w:tr>
      <w:tr w14:paraId="1CC13D9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57" w:type="dxa"/>
            <w:bottom w:w="0" w:type="dxa"/>
            <w:right w:w="57" w:type="dxa"/>
          </w:tblCellMar>
        </w:tblPrEx>
        <w:trPr>
          <w:trHeight w:val="695" w:hRule="atLeast"/>
          <w:jc w:val="center"/>
        </w:trPr>
        <w:tc>
          <w:tcPr>
            <w:tcW w:w="417" w:type="pct"/>
            <w:tcBorders>
              <w:left w:val="single" w:color="auto" w:sz="12" w:space="0"/>
            </w:tcBorders>
            <w:vAlign w:val="center"/>
          </w:tcPr>
          <w:p w14:paraId="7A8560CD">
            <w:pPr>
              <w:pStyle w:val="179"/>
            </w:pPr>
            <w:r>
              <w:t>5</w:t>
            </w:r>
          </w:p>
        </w:tc>
        <w:tc>
          <w:tcPr>
            <w:tcW w:w="754" w:type="pct"/>
            <w:vAlign w:val="center"/>
          </w:tcPr>
          <w:p w14:paraId="51E3D854">
            <w:pPr>
              <w:pStyle w:val="179"/>
            </w:pPr>
            <w:r>
              <w:t>噪声控制</w:t>
            </w:r>
          </w:p>
        </w:tc>
        <w:tc>
          <w:tcPr>
            <w:tcW w:w="2481" w:type="pct"/>
            <w:vAlign w:val="center"/>
          </w:tcPr>
          <w:p w14:paraId="0C5842AF">
            <w:pPr>
              <w:pStyle w:val="179"/>
            </w:pPr>
            <w:r>
              <w:t>机械设备保养</w:t>
            </w:r>
          </w:p>
        </w:tc>
        <w:tc>
          <w:tcPr>
            <w:tcW w:w="1348" w:type="pct"/>
            <w:tcBorders>
              <w:right w:val="single" w:color="auto" w:sz="12" w:space="0"/>
            </w:tcBorders>
            <w:vAlign w:val="center"/>
          </w:tcPr>
          <w:p w14:paraId="02DC0E40">
            <w:pPr>
              <w:pStyle w:val="179"/>
            </w:pPr>
            <w:r>
              <w:t>《工业企业厂界环境噪声排放标准》（GB12348-2008）1类</w:t>
            </w:r>
          </w:p>
        </w:tc>
      </w:tr>
      <w:tr w14:paraId="1FAE398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57" w:type="dxa"/>
            <w:bottom w:w="0" w:type="dxa"/>
            <w:right w:w="57" w:type="dxa"/>
          </w:tblCellMar>
        </w:tblPrEx>
        <w:trPr>
          <w:trHeight w:val="676" w:hRule="atLeast"/>
          <w:jc w:val="center"/>
        </w:trPr>
        <w:tc>
          <w:tcPr>
            <w:tcW w:w="417" w:type="pct"/>
            <w:tcBorders>
              <w:left w:val="single" w:color="auto" w:sz="12" w:space="0"/>
            </w:tcBorders>
            <w:vAlign w:val="center"/>
          </w:tcPr>
          <w:p w14:paraId="363954CE">
            <w:pPr>
              <w:pStyle w:val="179"/>
            </w:pPr>
            <w:r>
              <w:t>6</w:t>
            </w:r>
          </w:p>
        </w:tc>
        <w:tc>
          <w:tcPr>
            <w:tcW w:w="754" w:type="pct"/>
            <w:vAlign w:val="center"/>
          </w:tcPr>
          <w:p w14:paraId="02310BB0">
            <w:pPr>
              <w:pStyle w:val="179"/>
            </w:pPr>
            <w:r>
              <w:t>固废</w:t>
            </w:r>
          </w:p>
        </w:tc>
        <w:tc>
          <w:tcPr>
            <w:tcW w:w="2481" w:type="pct"/>
            <w:vAlign w:val="center"/>
          </w:tcPr>
          <w:p w14:paraId="63E143DE">
            <w:pPr>
              <w:pStyle w:val="179"/>
            </w:pPr>
            <w:r>
              <w:t>一般固废：生活垃圾、</w:t>
            </w:r>
            <w:r>
              <w:rPr>
                <w:rFonts w:hint="eastAsia"/>
              </w:rPr>
              <w:t>贮水池沉渣</w:t>
            </w:r>
            <w:r>
              <w:t>按一般固废处置</w:t>
            </w:r>
          </w:p>
        </w:tc>
        <w:tc>
          <w:tcPr>
            <w:tcW w:w="1348" w:type="pct"/>
            <w:tcBorders>
              <w:right w:val="single" w:color="auto" w:sz="12" w:space="0"/>
            </w:tcBorders>
            <w:vAlign w:val="center"/>
          </w:tcPr>
          <w:p w14:paraId="7922ABC1">
            <w:pPr>
              <w:pStyle w:val="179"/>
            </w:pPr>
            <w:r>
              <w:t>《一般工业固体废物贮存和填埋污染控制标准》(GB18599-2020)</w:t>
            </w:r>
          </w:p>
        </w:tc>
      </w:tr>
      <w:tr w14:paraId="2C89B4E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57" w:type="dxa"/>
            <w:bottom w:w="0" w:type="dxa"/>
            <w:right w:w="57" w:type="dxa"/>
          </w:tblCellMar>
        </w:tblPrEx>
        <w:trPr>
          <w:trHeight w:val="526" w:hRule="atLeast"/>
          <w:jc w:val="center"/>
        </w:trPr>
        <w:tc>
          <w:tcPr>
            <w:tcW w:w="417" w:type="pct"/>
            <w:tcBorders>
              <w:left w:val="single" w:color="auto" w:sz="12" w:space="0"/>
            </w:tcBorders>
            <w:vAlign w:val="center"/>
          </w:tcPr>
          <w:p w14:paraId="187A5BDA">
            <w:pPr>
              <w:pStyle w:val="179"/>
            </w:pPr>
            <w:r>
              <w:t>7</w:t>
            </w:r>
          </w:p>
        </w:tc>
        <w:tc>
          <w:tcPr>
            <w:tcW w:w="754" w:type="pct"/>
            <w:vAlign w:val="center"/>
          </w:tcPr>
          <w:p w14:paraId="5BAC6EA9">
            <w:pPr>
              <w:pStyle w:val="179"/>
            </w:pPr>
            <w:r>
              <w:t>生态恢复</w:t>
            </w:r>
          </w:p>
        </w:tc>
        <w:tc>
          <w:tcPr>
            <w:tcW w:w="2481" w:type="pct"/>
            <w:vAlign w:val="center"/>
          </w:tcPr>
          <w:p w14:paraId="42533CEC">
            <w:pPr>
              <w:pStyle w:val="179"/>
            </w:pPr>
            <w:r>
              <w:t>矿山服务期满后，将开采区进行土地平整、客土回填、绿化等措施，进行生态恢复。</w:t>
            </w:r>
          </w:p>
        </w:tc>
        <w:tc>
          <w:tcPr>
            <w:tcW w:w="1348" w:type="pct"/>
            <w:tcBorders>
              <w:right w:val="single" w:color="auto" w:sz="12" w:space="0"/>
            </w:tcBorders>
            <w:vAlign w:val="center"/>
          </w:tcPr>
          <w:p w14:paraId="1834295F">
            <w:pPr>
              <w:pStyle w:val="179"/>
            </w:pPr>
            <w:r>
              <w:t>满足《矿山生态环境保护与恢复治理技术规范(试行)》(HJ651-2013)相关要求</w:t>
            </w:r>
          </w:p>
        </w:tc>
      </w:tr>
      <w:tr w14:paraId="5842922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57" w:type="dxa"/>
            <w:bottom w:w="0" w:type="dxa"/>
            <w:right w:w="57" w:type="dxa"/>
          </w:tblCellMar>
        </w:tblPrEx>
        <w:trPr>
          <w:trHeight w:val="427" w:hRule="atLeast"/>
          <w:jc w:val="center"/>
        </w:trPr>
        <w:tc>
          <w:tcPr>
            <w:tcW w:w="417" w:type="pct"/>
            <w:tcBorders>
              <w:left w:val="single" w:color="auto" w:sz="12" w:space="0"/>
            </w:tcBorders>
            <w:vAlign w:val="center"/>
          </w:tcPr>
          <w:p w14:paraId="770643F6">
            <w:pPr>
              <w:pStyle w:val="179"/>
            </w:pPr>
            <w:r>
              <w:t>8</w:t>
            </w:r>
          </w:p>
        </w:tc>
        <w:tc>
          <w:tcPr>
            <w:tcW w:w="754" w:type="pct"/>
            <w:vAlign w:val="center"/>
          </w:tcPr>
          <w:p w14:paraId="29B1DB5C">
            <w:pPr>
              <w:pStyle w:val="179"/>
            </w:pPr>
            <w:r>
              <w:t>环境风险</w:t>
            </w:r>
          </w:p>
        </w:tc>
        <w:tc>
          <w:tcPr>
            <w:tcW w:w="2481" w:type="pct"/>
            <w:vAlign w:val="center"/>
          </w:tcPr>
          <w:p w14:paraId="629873B1">
            <w:pPr>
              <w:pStyle w:val="179"/>
            </w:pPr>
            <w:r>
              <w:t>安全警示标志等措施，编制突发环境事件应急预案</w:t>
            </w:r>
          </w:p>
        </w:tc>
        <w:tc>
          <w:tcPr>
            <w:tcW w:w="1348" w:type="pct"/>
            <w:tcBorders>
              <w:right w:val="single" w:color="auto" w:sz="12" w:space="0"/>
            </w:tcBorders>
            <w:vAlign w:val="center"/>
          </w:tcPr>
          <w:p w14:paraId="6BDA5F4D">
            <w:pPr>
              <w:pStyle w:val="179"/>
            </w:pPr>
            <w:r>
              <w:t>防止土堆坍塌、垮坝</w:t>
            </w:r>
          </w:p>
        </w:tc>
      </w:tr>
      <w:tr w14:paraId="29C13F5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57" w:type="dxa"/>
            <w:bottom w:w="0" w:type="dxa"/>
            <w:right w:w="57" w:type="dxa"/>
          </w:tblCellMar>
        </w:tblPrEx>
        <w:trPr>
          <w:trHeight w:val="427" w:hRule="atLeast"/>
          <w:jc w:val="center"/>
        </w:trPr>
        <w:tc>
          <w:tcPr>
            <w:tcW w:w="417" w:type="pct"/>
            <w:tcBorders>
              <w:left w:val="single" w:color="auto" w:sz="12" w:space="0"/>
              <w:bottom w:val="single" w:color="auto" w:sz="12" w:space="0"/>
            </w:tcBorders>
            <w:vAlign w:val="center"/>
          </w:tcPr>
          <w:p w14:paraId="528F6AEF">
            <w:pPr>
              <w:pStyle w:val="179"/>
            </w:pPr>
            <w:r>
              <w:t>9</w:t>
            </w:r>
          </w:p>
        </w:tc>
        <w:tc>
          <w:tcPr>
            <w:tcW w:w="754" w:type="pct"/>
            <w:tcBorders>
              <w:bottom w:val="single" w:color="auto" w:sz="12" w:space="0"/>
            </w:tcBorders>
            <w:vAlign w:val="center"/>
          </w:tcPr>
          <w:p w14:paraId="7D98FC44">
            <w:pPr>
              <w:pStyle w:val="179"/>
            </w:pPr>
            <w:r>
              <w:t>环境管理</w:t>
            </w:r>
          </w:p>
        </w:tc>
        <w:tc>
          <w:tcPr>
            <w:tcW w:w="2481" w:type="pct"/>
            <w:tcBorders>
              <w:bottom w:val="single" w:color="auto" w:sz="12" w:space="0"/>
            </w:tcBorders>
            <w:vAlign w:val="center"/>
          </w:tcPr>
          <w:p w14:paraId="0045B38B">
            <w:pPr>
              <w:pStyle w:val="179"/>
            </w:pPr>
            <w:r>
              <w:t>针对项目制定相关环保措施</w:t>
            </w:r>
          </w:p>
        </w:tc>
        <w:tc>
          <w:tcPr>
            <w:tcW w:w="1348" w:type="pct"/>
            <w:tcBorders>
              <w:bottom w:val="single" w:color="auto" w:sz="12" w:space="0"/>
              <w:right w:val="single" w:color="auto" w:sz="12" w:space="0"/>
            </w:tcBorders>
            <w:vAlign w:val="center"/>
          </w:tcPr>
          <w:p w14:paraId="155B254C">
            <w:pPr>
              <w:pStyle w:val="179"/>
            </w:pPr>
            <w:r>
              <w:t>具有可操作性，设立机构组织、管理文件、监测计划</w:t>
            </w:r>
          </w:p>
        </w:tc>
      </w:tr>
    </w:tbl>
    <w:p w14:paraId="28F31670">
      <w:pPr>
        <w:pStyle w:val="3"/>
        <w:spacing w:before="180" w:after="120"/>
      </w:pPr>
      <w:bookmarkStart w:id="713" w:name="_Toc61013370"/>
      <w:bookmarkStart w:id="714" w:name="_Toc480891267"/>
      <w:bookmarkStart w:id="715" w:name="_Toc61012689"/>
      <w:bookmarkStart w:id="716" w:name="_Toc503272365"/>
      <w:bookmarkStart w:id="717" w:name="_Toc61013575"/>
      <w:bookmarkStart w:id="718" w:name="_Toc234927723"/>
      <w:bookmarkStart w:id="719" w:name="_Toc61013780"/>
      <w:bookmarkStart w:id="720" w:name="_Toc61013165"/>
      <w:bookmarkStart w:id="721" w:name="_Toc61012978"/>
      <w:bookmarkStart w:id="722" w:name="_Toc76395522"/>
      <w:bookmarkStart w:id="723" w:name="_Toc61013985"/>
      <w:bookmarkStart w:id="724" w:name="_Toc9413"/>
      <w:bookmarkStart w:id="725" w:name="_Toc12649426"/>
      <w:r>
        <w:t>污染物排放清单</w:t>
      </w:r>
      <w:bookmarkEnd w:id="713"/>
      <w:bookmarkEnd w:id="714"/>
      <w:bookmarkEnd w:id="715"/>
      <w:bookmarkEnd w:id="716"/>
      <w:bookmarkEnd w:id="717"/>
      <w:bookmarkEnd w:id="718"/>
      <w:bookmarkEnd w:id="719"/>
      <w:bookmarkEnd w:id="720"/>
      <w:bookmarkEnd w:id="721"/>
      <w:bookmarkEnd w:id="722"/>
      <w:bookmarkEnd w:id="723"/>
      <w:bookmarkEnd w:id="724"/>
      <w:bookmarkEnd w:id="725"/>
    </w:p>
    <w:p w14:paraId="4BF96573">
      <w:pPr>
        <w:ind w:firstLine="480"/>
        <w:rPr>
          <w:lang w:val="zh-CN"/>
        </w:rPr>
      </w:pPr>
      <w:r>
        <w:rPr>
          <w:lang w:val="zh-CN"/>
        </w:rPr>
        <w:t>本项目主要排放的污染物为运营期产生的废水、废气和采矿过程产生的固体废物等。具体情况见表</w:t>
      </w:r>
      <w:r>
        <w:t>8.</w:t>
      </w:r>
      <w:r>
        <w:rPr>
          <w:rFonts w:hint="eastAsia"/>
        </w:rPr>
        <w:t>5</w:t>
      </w:r>
      <w:r>
        <w:rPr>
          <w:lang w:val="zh-CN"/>
        </w:rPr>
        <w:t>-1。</w:t>
      </w:r>
    </w:p>
    <w:p w14:paraId="117B0797">
      <w:pPr>
        <w:pStyle w:val="178"/>
      </w:pPr>
      <w:r>
        <w:t>表8.</w:t>
      </w:r>
      <w:r>
        <w:rPr>
          <w:rFonts w:hint="eastAsia"/>
        </w:rPr>
        <w:t>5</w:t>
      </w:r>
      <w:r>
        <w:t>-1  污染物排放清单一览表</w:t>
      </w:r>
    </w:p>
    <w:tbl>
      <w:tblPr>
        <w:tblStyle w:val="36"/>
        <w:tblW w:w="8505"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
      <w:tblGrid>
        <w:gridCol w:w="681"/>
        <w:gridCol w:w="1015"/>
        <w:gridCol w:w="618"/>
        <w:gridCol w:w="1186"/>
        <w:gridCol w:w="749"/>
        <w:gridCol w:w="957"/>
        <w:gridCol w:w="2113"/>
        <w:gridCol w:w="1186"/>
      </w:tblGrid>
      <w:tr w14:paraId="54778AB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tblHeader/>
          <w:jc w:val="center"/>
        </w:trPr>
        <w:tc>
          <w:tcPr>
            <w:tcW w:w="681" w:type="dxa"/>
            <w:shd w:val="clear" w:color="auto" w:fill="auto"/>
            <w:vAlign w:val="center"/>
          </w:tcPr>
          <w:p w14:paraId="3B77A4FD">
            <w:pPr>
              <w:pStyle w:val="179"/>
              <w:rPr>
                <w:b/>
              </w:rPr>
            </w:pPr>
            <w:r>
              <w:rPr>
                <w:b/>
              </w:rPr>
              <w:t>类别</w:t>
            </w:r>
          </w:p>
        </w:tc>
        <w:tc>
          <w:tcPr>
            <w:tcW w:w="1015" w:type="dxa"/>
            <w:shd w:val="clear" w:color="auto" w:fill="auto"/>
            <w:vAlign w:val="center"/>
          </w:tcPr>
          <w:p w14:paraId="4EECE5E7">
            <w:pPr>
              <w:pStyle w:val="179"/>
              <w:rPr>
                <w:b/>
              </w:rPr>
            </w:pPr>
            <w:r>
              <w:rPr>
                <w:b/>
              </w:rPr>
              <w:t>项目</w:t>
            </w:r>
          </w:p>
        </w:tc>
        <w:tc>
          <w:tcPr>
            <w:tcW w:w="618" w:type="dxa"/>
            <w:shd w:val="clear" w:color="auto" w:fill="auto"/>
            <w:vAlign w:val="center"/>
          </w:tcPr>
          <w:p w14:paraId="2BD43FA4">
            <w:pPr>
              <w:pStyle w:val="179"/>
              <w:rPr>
                <w:b/>
              </w:rPr>
            </w:pPr>
            <w:r>
              <w:rPr>
                <w:b/>
              </w:rPr>
              <w:t>污染</w:t>
            </w:r>
          </w:p>
          <w:p w14:paraId="7036F94B">
            <w:pPr>
              <w:pStyle w:val="179"/>
              <w:rPr>
                <w:b/>
              </w:rPr>
            </w:pPr>
            <w:r>
              <w:rPr>
                <w:b/>
              </w:rPr>
              <w:t>因子</w:t>
            </w:r>
          </w:p>
        </w:tc>
        <w:tc>
          <w:tcPr>
            <w:tcW w:w="1186" w:type="dxa"/>
            <w:shd w:val="clear" w:color="auto" w:fill="auto"/>
            <w:vAlign w:val="center"/>
          </w:tcPr>
          <w:p w14:paraId="42ACA625">
            <w:pPr>
              <w:pStyle w:val="179"/>
              <w:rPr>
                <w:b/>
              </w:rPr>
            </w:pPr>
            <w:r>
              <w:rPr>
                <w:b/>
              </w:rPr>
              <w:t>污染防治措施</w:t>
            </w:r>
          </w:p>
        </w:tc>
        <w:tc>
          <w:tcPr>
            <w:tcW w:w="749" w:type="dxa"/>
            <w:shd w:val="clear" w:color="auto" w:fill="auto"/>
            <w:vAlign w:val="center"/>
          </w:tcPr>
          <w:p w14:paraId="2E2BF692">
            <w:pPr>
              <w:pStyle w:val="179"/>
              <w:rPr>
                <w:b/>
              </w:rPr>
            </w:pPr>
            <w:r>
              <w:rPr>
                <w:b/>
              </w:rPr>
              <w:t>排放浓度</w:t>
            </w:r>
          </w:p>
        </w:tc>
        <w:tc>
          <w:tcPr>
            <w:tcW w:w="957" w:type="dxa"/>
            <w:shd w:val="clear" w:color="auto" w:fill="auto"/>
            <w:vAlign w:val="center"/>
          </w:tcPr>
          <w:p w14:paraId="2219C2FE">
            <w:pPr>
              <w:pStyle w:val="179"/>
              <w:rPr>
                <w:b/>
              </w:rPr>
            </w:pPr>
            <w:r>
              <w:rPr>
                <w:b/>
              </w:rPr>
              <w:t>排放量</w:t>
            </w:r>
          </w:p>
        </w:tc>
        <w:tc>
          <w:tcPr>
            <w:tcW w:w="2113" w:type="dxa"/>
            <w:shd w:val="clear" w:color="auto" w:fill="auto"/>
            <w:vAlign w:val="center"/>
          </w:tcPr>
          <w:p w14:paraId="7C736F03">
            <w:pPr>
              <w:pStyle w:val="179"/>
              <w:rPr>
                <w:b/>
              </w:rPr>
            </w:pPr>
            <w:r>
              <w:rPr>
                <w:b/>
              </w:rPr>
              <w:t>排放标准</w:t>
            </w:r>
          </w:p>
        </w:tc>
        <w:tc>
          <w:tcPr>
            <w:tcW w:w="1186" w:type="dxa"/>
            <w:shd w:val="clear" w:color="auto" w:fill="auto"/>
            <w:vAlign w:val="center"/>
          </w:tcPr>
          <w:p w14:paraId="44A2E831">
            <w:pPr>
              <w:pStyle w:val="179"/>
              <w:rPr>
                <w:b/>
              </w:rPr>
            </w:pPr>
            <w:r>
              <w:rPr>
                <w:b/>
              </w:rPr>
              <w:t>排放口信息</w:t>
            </w:r>
          </w:p>
        </w:tc>
      </w:tr>
      <w:tr w14:paraId="732C942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681" w:type="dxa"/>
            <w:vMerge w:val="restart"/>
            <w:vAlign w:val="center"/>
          </w:tcPr>
          <w:p w14:paraId="25418B50">
            <w:pPr>
              <w:pStyle w:val="179"/>
            </w:pPr>
            <w:r>
              <w:t>无组织</w:t>
            </w:r>
          </w:p>
        </w:tc>
        <w:tc>
          <w:tcPr>
            <w:tcW w:w="1015" w:type="dxa"/>
            <w:vAlign w:val="center"/>
          </w:tcPr>
          <w:p w14:paraId="53F6C77F">
            <w:pPr>
              <w:pStyle w:val="179"/>
            </w:pPr>
            <w:r>
              <w:t>集堆铲装</w:t>
            </w:r>
          </w:p>
        </w:tc>
        <w:tc>
          <w:tcPr>
            <w:tcW w:w="618" w:type="dxa"/>
            <w:vMerge w:val="restart"/>
            <w:vAlign w:val="center"/>
          </w:tcPr>
          <w:p w14:paraId="1D29E6E9">
            <w:pPr>
              <w:pStyle w:val="179"/>
            </w:pPr>
            <w:r>
              <w:rPr>
                <w:rFonts w:hint="eastAsia"/>
              </w:rPr>
              <w:t>TSP</w:t>
            </w:r>
          </w:p>
        </w:tc>
        <w:tc>
          <w:tcPr>
            <w:tcW w:w="1186" w:type="dxa"/>
            <w:vAlign w:val="center"/>
          </w:tcPr>
          <w:p w14:paraId="67380550">
            <w:pPr>
              <w:pStyle w:val="179"/>
            </w:pPr>
            <w:r>
              <w:t>洒水降尘</w:t>
            </w:r>
          </w:p>
        </w:tc>
        <w:tc>
          <w:tcPr>
            <w:tcW w:w="749" w:type="dxa"/>
          </w:tcPr>
          <w:p w14:paraId="0102C60C">
            <w:pPr>
              <w:pStyle w:val="179"/>
            </w:pPr>
            <w:r>
              <w:t>/</w:t>
            </w:r>
          </w:p>
        </w:tc>
        <w:tc>
          <w:tcPr>
            <w:tcW w:w="957" w:type="dxa"/>
            <w:vAlign w:val="center"/>
          </w:tcPr>
          <w:p w14:paraId="3D5518A7">
            <w:pPr>
              <w:pStyle w:val="179"/>
            </w:pPr>
            <w:r>
              <w:rPr>
                <w:rFonts w:hint="eastAsia"/>
              </w:rPr>
              <w:t>0.203t/a</w:t>
            </w:r>
          </w:p>
        </w:tc>
        <w:tc>
          <w:tcPr>
            <w:tcW w:w="2113" w:type="dxa"/>
            <w:vMerge w:val="restart"/>
            <w:vAlign w:val="center"/>
          </w:tcPr>
          <w:p w14:paraId="05524D14">
            <w:pPr>
              <w:pStyle w:val="179"/>
            </w:pPr>
            <w:r>
              <w:t>满足《大气污染物综合排放标准》（GB16297</w:t>
            </w:r>
            <w:r>
              <w:rPr>
                <w:rFonts w:hint="eastAsia"/>
              </w:rPr>
              <w:t>-</w:t>
            </w:r>
            <w:r>
              <w:t>1996）中表2无组织排放监控浓度限值</w:t>
            </w:r>
          </w:p>
        </w:tc>
        <w:tc>
          <w:tcPr>
            <w:tcW w:w="1186" w:type="dxa"/>
            <w:vAlign w:val="center"/>
          </w:tcPr>
          <w:p w14:paraId="4D8E27C3">
            <w:pPr>
              <w:pStyle w:val="179"/>
            </w:pPr>
            <w:r>
              <w:t>/</w:t>
            </w:r>
          </w:p>
        </w:tc>
      </w:tr>
      <w:tr w14:paraId="74D68A7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681" w:type="dxa"/>
            <w:vMerge w:val="continue"/>
            <w:vAlign w:val="center"/>
          </w:tcPr>
          <w:p w14:paraId="737338F5">
            <w:pPr>
              <w:pStyle w:val="179"/>
            </w:pPr>
          </w:p>
        </w:tc>
        <w:tc>
          <w:tcPr>
            <w:tcW w:w="1015" w:type="dxa"/>
            <w:vAlign w:val="center"/>
          </w:tcPr>
          <w:p w14:paraId="51A6FB03">
            <w:pPr>
              <w:pStyle w:val="179"/>
            </w:pPr>
            <w:r>
              <w:t>运输</w:t>
            </w:r>
          </w:p>
        </w:tc>
        <w:tc>
          <w:tcPr>
            <w:tcW w:w="618" w:type="dxa"/>
            <w:vMerge w:val="continue"/>
            <w:vAlign w:val="center"/>
          </w:tcPr>
          <w:p w14:paraId="7DF0C525">
            <w:pPr>
              <w:pStyle w:val="179"/>
            </w:pPr>
          </w:p>
        </w:tc>
        <w:tc>
          <w:tcPr>
            <w:tcW w:w="1186" w:type="dxa"/>
            <w:vAlign w:val="center"/>
          </w:tcPr>
          <w:p w14:paraId="0C568AE5">
            <w:pPr>
              <w:pStyle w:val="179"/>
            </w:pPr>
            <w:r>
              <w:t>洒水降尘</w:t>
            </w:r>
          </w:p>
        </w:tc>
        <w:tc>
          <w:tcPr>
            <w:tcW w:w="749" w:type="dxa"/>
            <w:vAlign w:val="center"/>
          </w:tcPr>
          <w:p w14:paraId="1CF5935D">
            <w:pPr>
              <w:pStyle w:val="179"/>
            </w:pPr>
            <w:r>
              <w:t>/</w:t>
            </w:r>
          </w:p>
        </w:tc>
        <w:tc>
          <w:tcPr>
            <w:tcW w:w="957" w:type="dxa"/>
            <w:vAlign w:val="center"/>
          </w:tcPr>
          <w:p w14:paraId="33C6480A">
            <w:pPr>
              <w:pStyle w:val="179"/>
            </w:pPr>
            <w:r>
              <w:rPr>
                <w:rFonts w:hint="eastAsia"/>
              </w:rPr>
              <w:t>0.213t/a</w:t>
            </w:r>
          </w:p>
        </w:tc>
        <w:tc>
          <w:tcPr>
            <w:tcW w:w="2113" w:type="dxa"/>
            <w:vMerge w:val="continue"/>
            <w:vAlign w:val="center"/>
          </w:tcPr>
          <w:p w14:paraId="75E5B015">
            <w:pPr>
              <w:pStyle w:val="179"/>
            </w:pPr>
          </w:p>
        </w:tc>
        <w:tc>
          <w:tcPr>
            <w:tcW w:w="1186" w:type="dxa"/>
          </w:tcPr>
          <w:p w14:paraId="05267FBF">
            <w:pPr>
              <w:pStyle w:val="179"/>
            </w:pPr>
            <w:r>
              <w:t>/</w:t>
            </w:r>
          </w:p>
        </w:tc>
      </w:tr>
      <w:tr w14:paraId="19234DD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681" w:type="dxa"/>
            <w:vMerge w:val="continue"/>
            <w:vAlign w:val="center"/>
          </w:tcPr>
          <w:p w14:paraId="5B1642DF">
            <w:pPr>
              <w:pStyle w:val="179"/>
            </w:pPr>
          </w:p>
        </w:tc>
        <w:tc>
          <w:tcPr>
            <w:tcW w:w="1015" w:type="dxa"/>
            <w:vAlign w:val="center"/>
          </w:tcPr>
          <w:p w14:paraId="258A11C2">
            <w:pPr>
              <w:pStyle w:val="179"/>
            </w:pPr>
            <w:r>
              <w:rPr>
                <w:rFonts w:hint="eastAsia"/>
              </w:rPr>
              <w:t>剥采</w:t>
            </w:r>
          </w:p>
        </w:tc>
        <w:tc>
          <w:tcPr>
            <w:tcW w:w="618" w:type="dxa"/>
            <w:vMerge w:val="continue"/>
            <w:vAlign w:val="center"/>
          </w:tcPr>
          <w:p w14:paraId="012CED8A">
            <w:pPr>
              <w:pStyle w:val="179"/>
            </w:pPr>
          </w:p>
        </w:tc>
        <w:tc>
          <w:tcPr>
            <w:tcW w:w="1186" w:type="dxa"/>
            <w:vAlign w:val="center"/>
          </w:tcPr>
          <w:p w14:paraId="584DEE69">
            <w:pPr>
              <w:pStyle w:val="179"/>
            </w:pPr>
            <w:r>
              <w:rPr>
                <w:rFonts w:hint="eastAsia"/>
              </w:rPr>
              <w:t>洒水降尘</w:t>
            </w:r>
          </w:p>
        </w:tc>
        <w:tc>
          <w:tcPr>
            <w:tcW w:w="749" w:type="dxa"/>
            <w:vAlign w:val="center"/>
          </w:tcPr>
          <w:p w14:paraId="293EA1F2">
            <w:pPr>
              <w:pStyle w:val="179"/>
            </w:pPr>
            <w:r>
              <w:rPr>
                <w:rFonts w:hint="eastAsia"/>
              </w:rPr>
              <w:t>/</w:t>
            </w:r>
          </w:p>
        </w:tc>
        <w:tc>
          <w:tcPr>
            <w:tcW w:w="957" w:type="dxa"/>
            <w:vAlign w:val="center"/>
          </w:tcPr>
          <w:p w14:paraId="5CEC8259">
            <w:pPr>
              <w:pStyle w:val="179"/>
            </w:pPr>
            <w:r>
              <w:t>0.27</w:t>
            </w:r>
            <w:r>
              <w:rPr>
                <w:rFonts w:hint="eastAsia"/>
              </w:rPr>
              <w:t>0</w:t>
            </w:r>
            <w:r>
              <w:t>t/a</w:t>
            </w:r>
          </w:p>
        </w:tc>
        <w:tc>
          <w:tcPr>
            <w:tcW w:w="2113" w:type="dxa"/>
            <w:vMerge w:val="continue"/>
            <w:vAlign w:val="center"/>
          </w:tcPr>
          <w:p w14:paraId="08DE5281">
            <w:pPr>
              <w:pStyle w:val="179"/>
            </w:pPr>
          </w:p>
        </w:tc>
        <w:tc>
          <w:tcPr>
            <w:tcW w:w="1186" w:type="dxa"/>
          </w:tcPr>
          <w:p w14:paraId="75B75B4B">
            <w:pPr>
              <w:pStyle w:val="179"/>
            </w:pPr>
            <w:r>
              <w:t>/</w:t>
            </w:r>
          </w:p>
        </w:tc>
      </w:tr>
      <w:tr w14:paraId="6B0A5C8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681" w:type="dxa"/>
            <w:vMerge w:val="continue"/>
            <w:vAlign w:val="center"/>
          </w:tcPr>
          <w:p w14:paraId="058C5E36">
            <w:pPr>
              <w:pStyle w:val="179"/>
            </w:pPr>
          </w:p>
        </w:tc>
        <w:tc>
          <w:tcPr>
            <w:tcW w:w="1015" w:type="dxa"/>
            <w:vAlign w:val="center"/>
          </w:tcPr>
          <w:p w14:paraId="5238C1EF">
            <w:pPr>
              <w:pStyle w:val="179"/>
            </w:pPr>
            <w:r>
              <w:rPr>
                <w:rFonts w:hint="eastAsia"/>
              </w:rPr>
              <w:t>堆土场</w:t>
            </w:r>
          </w:p>
        </w:tc>
        <w:tc>
          <w:tcPr>
            <w:tcW w:w="618" w:type="dxa"/>
            <w:vMerge w:val="continue"/>
            <w:vAlign w:val="center"/>
          </w:tcPr>
          <w:p w14:paraId="7BCA8512">
            <w:pPr>
              <w:pStyle w:val="179"/>
            </w:pPr>
          </w:p>
        </w:tc>
        <w:tc>
          <w:tcPr>
            <w:tcW w:w="1186" w:type="dxa"/>
            <w:vAlign w:val="center"/>
          </w:tcPr>
          <w:p w14:paraId="1D98F1A1">
            <w:pPr>
              <w:pStyle w:val="179"/>
            </w:pPr>
            <w:r>
              <w:rPr>
                <w:rFonts w:hint="eastAsia"/>
              </w:rPr>
              <w:t>洒水降尘</w:t>
            </w:r>
          </w:p>
        </w:tc>
        <w:tc>
          <w:tcPr>
            <w:tcW w:w="749" w:type="dxa"/>
            <w:vAlign w:val="center"/>
          </w:tcPr>
          <w:p w14:paraId="4870A503">
            <w:pPr>
              <w:pStyle w:val="179"/>
            </w:pPr>
            <w:r>
              <w:rPr>
                <w:rFonts w:hint="eastAsia"/>
              </w:rPr>
              <w:t>/</w:t>
            </w:r>
          </w:p>
        </w:tc>
        <w:tc>
          <w:tcPr>
            <w:tcW w:w="957" w:type="dxa"/>
            <w:vAlign w:val="center"/>
          </w:tcPr>
          <w:p w14:paraId="6EB5A462">
            <w:pPr>
              <w:pStyle w:val="179"/>
            </w:pPr>
            <w:r>
              <w:rPr>
                <w:rFonts w:hint="eastAsia"/>
              </w:rPr>
              <w:t xml:space="preserve">0.206t/a </w:t>
            </w:r>
          </w:p>
        </w:tc>
        <w:tc>
          <w:tcPr>
            <w:tcW w:w="2113" w:type="dxa"/>
            <w:vMerge w:val="continue"/>
            <w:vAlign w:val="center"/>
          </w:tcPr>
          <w:p w14:paraId="44A1BB21">
            <w:pPr>
              <w:pStyle w:val="179"/>
            </w:pPr>
          </w:p>
        </w:tc>
        <w:tc>
          <w:tcPr>
            <w:tcW w:w="1186" w:type="dxa"/>
          </w:tcPr>
          <w:p w14:paraId="669FFC6D">
            <w:pPr>
              <w:pStyle w:val="179"/>
            </w:pPr>
            <w:r>
              <w:rPr>
                <w:rFonts w:hint="eastAsia"/>
              </w:rPr>
              <w:t>/</w:t>
            </w:r>
          </w:p>
        </w:tc>
      </w:tr>
      <w:tr w14:paraId="2360B00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681" w:type="dxa"/>
            <w:vMerge w:val="continue"/>
            <w:vAlign w:val="center"/>
          </w:tcPr>
          <w:p w14:paraId="48F5AC70">
            <w:pPr>
              <w:pStyle w:val="179"/>
            </w:pPr>
          </w:p>
        </w:tc>
        <w:tc>
          <w:tcPr>
            <w:tcW w:w="1015" w:type="dxa"/>
            <w:vMerge w:val="restart"/>
            <w:vAlign w:val="center"/>
          </w:tcPr>
          <w:p w14:paraId="07300218">
            <w:pPr>
              <w:pStyle w:val="179"/>
            </w:pPr>
            <w:r>
              <w:rPr>
                <w:rFonts w:hint="eastAsia"/>
              </w:rPr>
              <w:t>机械运行</w:t>
            </w:r>
          </w:p>
        </w:tc>
        <w:tc>
          <w:tcPr>
            <w:tcW w:w="618" w:type="dxa"/>
            <w:vAlign w:val="center"/>
          </w:tcPr>
          <w:p w14:paraId="1957B438">
            <w:pPr>
              <w:pStyle w:val="179"/>
            </w:pPr>
            <w:r>
              <w:t>PM</w:t>
            </w:r>
            <w:r>
              <w:rPr>
                <w:vertAlign w:val="subscript"/>
              </w:rPr>
              <w:t>10</w:t>
            </w:r>
          </w:p>
        </w:tc>
        <w:tc>
          <w:tcPr>
            <w:tcW w:w="1186" w:type="dxa"/>
            <w:vAlign w:val="center"/>
          </w:tcPr>
          <w:p w14:paraId="0CE0BF27">
            <w:pPr>
              <w:pStyle w:val="179"/>
            </w:pPr>
            <w:r>
              <w:t>/</w:t>
            </w:r>
          </w:p>
        </w:tc>
        <w:tc>
          <w:tcPr>
            <w:tcW w:w="749" w:type="dxa"/>
            <w:vAlign w:val="center"/>
          </w:tcPr>
          <w:p w14:paraId="3199BBF0">
            <w:pPr>
              <w:pStyle w:val="179"/>
            </w:pPr>
            <w:r>
              <w:t>/</w:t>
            </w:r>
          </w:p>
        </w:tc>
        <w:tc>
          <w:tcPr>
            <w:tcW w:w="957" w:type="dxa"/>
            <w:vAlign w:val="center"/>
          </w:tcPr>
          <w:p w14:paraId="0C5F3418">
            <w:pPr>
              <w:pStyle w:val="179"/>
              <w:rPr>
                <w:rFonts w:ascii="宋体" w:hAnsi="宋体"/>
              </w:rPr>
            </w:pPr>
            <w:r>
              <w:rPr>
                <w:rFonts w:hint="eastAsia"/>
              </w:rPr>
              <w:t>0.063 t/a</w:t>
            </w:r>
          </w:p>
        </w:tc>
        <w:tc>
          <w:tcPr>
            <w:tcW w:w="2113" w:type="dxa"/>
            <w:vMerge w:val="continue"/>
            <w:vAlign w:val="center"/>
          </w:tcPr>
          <w:p w14:paraId="105D39C9">
            <w:pPr>
              <w:pStyle w:val="179"/>
            </w:pPr>
          </w:p>
        </w:tc>
        <w:tc>
          <w:tcPr>
            <w:tcW w:w="1186" w:type="dxa"/>
            <w:vAlign w:val="center"/>
          </w:tcPr>
          <w:p w14:paraId="125FEF5C">
            <w:pPr>
              <w:pStyle w:val="179"/>
            </w:pPr>
            <w:r>
              <w:t>/</w:t>
            </w:r>
          </w:p>
        </w:tc>
      </w:tr>
      <w:tr w14:paraId="2B242A1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681" w:type="dxa"/>
            <w:vMerge w:val="continue"/>
            <w:vAlign w:val="center"/>
          </w:tcPr>
          <w:p w14:paraId="0C686216">
            <w:pPr>
              <w:pStyle w:val="179"/>
            </w:pPr>
          </w:p>
        </w:tc>
        <w:tc>
          <w:tcPr>
            <w:tcW w:w="1015" w:type="dxa"/>
            <w:vMerge w:val="continue"/>
            <w:vAlign w:val="center"/>
          </w:tcPr>
          <w:p w14:paraId="6AAC8606">
            <w:pPr>
              <w:pStyle w:val="179"/>
            </w:pPr>
          </w:p>
        </w:tc>
        <w:tc>
          <w:tcPr>
            <w:tcW w:w="618" w:type="dxa"/>
            <w:vAlign w:val="center"/>
          </w:tcPr>
          <w:p w14:paraId="7581E726">
            <w:pPr>
              <w:pStyle w:val="179"/>
            </w:pPr>
            <w:r>
              <w:t>HC</w:t>
            </w:r>
          </w:p>
        </w:tc>
        <w:tc>
          <w:tcPr>
            <w:tcW w:w="1186" w:type="dxa"/>
            <w:vAlign w:val="center"/>
          </w:tcPr>
          <w:p w14:paraId="09B757E2">
            <w:pPr>
              <w:pStyle w:val="179"/>
            </w:pPr>
            <w:r>
              <w:t>/</w:t>
            </w:r>
          </w:p>
        </w:tc>
        <w:tc>
          <w:tcPr>
            <w:tcW w:w="749" w:type="dxa"/>
            <w:vAlign w:val="center"/>
          </w:tcPr>
          <w:p w14:paraId="4690779A">
            <w:pPr>
              <w:pStyle w:val="179"/>
            </w:pPr>
            <w:r>
              <w:t>/</w:t>
            </w:r>
          </w:p>
        </w:tc>
        <w:tc>
          <w:tcPr>
            <w:tcW w:w="957" w:type="dxa"/>
            <w:vAlign w:val="center"/>
          </w:tcPr>
          <w:p w14:paraId="78D667CE">
            <w:pPr>
              <w:pStyle w:val="179"/>
              <w:rPr>
                <w:rFonts w:ascii="宋体" w:hAnsi="宋体"/>
              </w:rPr>
            </w:pPr>
            <w:r>
              <w:rPr>
                <w:rFonts w:hint="eastAsia"/>
              </w:rPr>
              <w:t>0.102 t/a</w:t>
            </w:r>
          </w:p>
        </w:tc>
        <w:tc>
          <w:tcPr>
            <w:tcW w:w="2113" w:type="dxa"/>
            <w:vMerge w:val="continue"/>
            <w:vAlign w:val="center"/>
          </w:tcPr>
          <w:p w14:paraId="1C76753A">
            <w:pPr>
              <w:pStyle w:val="179"/>
            </w:pPr>
          </w:p>
        </w:tc>
        <w:tc>
          <w:tcPr>
            <w:tcW w:w="1186" w:type="dxa"/>
          </w:tcPr>
          <w:p w14:paraId="6E03336F">
            <w:pPr>
              <w:pStyle w:val="179"/>
            </w:pPr>
            <w:r>
              <w:t>/</w:t>
            </w:r>
          </w:p>
        </w:tc>
      </w:tr>
      <w:tr w14:paraId="2DE7D35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681" w:type="dxa"/>
            <w:vMerge w:val="continue"/>
            <w:vAlign w:val="center"/>
          </w:tcPr>
          <w:p w14:paraId="57FC8AB0">
            <w:pPr>
              <w:pStyle w:val="179"/>
            </w:pPr>
          </w:p>
        </w:tc>
        <w:tc>
          <w:tcPr>
            <w:tcW w:w="1015" w:type="dxa"/>
            <w:vMerge w:val="continue"/>
            <w:vAlign w:val="center"/>
          </w:tcPr>
          <w:p w14:paraId="651B3F0B">
            <w:pPr>
              <w:pStyle w:val="179"/>
            </w:pPr>
          </w:p>
        </w:tc>
        <w:tc>
          <w:tcPr>
            <w:tcW w:w="618" w:type="dxa"/>
            <w:vAlign w:val="center"/>
          </w:tcPr>
          <w:p w14:paraId="6994E1E7">
            <w:pPr>
              <w:pStyle w:val="179"/>
            </w:pPr>
            <w:r>
              <w:t>NO</w:t>
            </w:r>
            <w:r>
              <w:rPr>
                <w:vertAlign w:val="subscript"/>
              </w:rPr>
              <w:t>x</w:t>
            </w:r>
          </w:p>
        </w:tc>
        <w:tc>
          <w:tcPr>
            <w:tcW w:w="1186" w:type="dxa"/>
            <w:vAlign w:val="center"/>
          </w:tcPr>
          <w:p w14:paraId="4DCD2B82">
            <w:pPr>
              <w:pStyle w:val="179"/>
            </w:pPr>
            <w:r>
              <w:rPr>
                <w:rFonts w:hint="eastAsia"/>
              </w:rPr>
              <w:t>/</w:t>
            </w:r>
          </w:p>
        </w:tc>
        <w:tc>
          <w:tcPr>
            <w:tcW w:w="749" w:type="dxa"/>
            <w:vAlign w:val="center"/>
          </w:tcPr>
          <w:p w14:paraId="7D76B765">
            <w:pPr>
              <w:pStyle w:val="179"/>
            </w:pPr>
            <w:r>
              <w:rPr>
                <w:rFonts w:hint="eastAsia"/>
              </w:rPr>
              <w:t>/</w:t>
            </w:r>
          </w:p>
        </w:tc>
        <w:tc>
          <w:tcPr>
            <w:tcW w:w="957" w:type="dxa"/>
            <w:vAlign w:val="center"/>
          </w:tcPr>
          <w:p w14:paraId="6FE22DA7">
            <w:pPr>
              <w:pStyle w:val="179"/>
              <w:rPr>
                <w:rFonts w:ascii="宋体" w:hAnsi="宋体"/>
              </w:rPr>
            </w:pPr>
            <w:r>
              <w:rPr>
                <w:rFonts w:hint="eastAsia"/>
              </w:rPr>
              <w:t>0.984 t/a</w:t>
            </w:r>
          </w:p>
        </w:tc>
        <w:tc>
          <w:tcPr>
            <w:tcW w:w="2113" w:type="dxa"/>
            <w:vMerge w:val="continue"/>
            <w:vAlign w:val="center"/>
          </w:tcPr>
          <w:p w14:paraId="0FAC9130">
            <w:pPr>
              <w:pStyle w:val="179"/>
            </w:pPr>
          </w:p>
        </w:tc>
        <w:tc>
          <w:tcPr>
            <w:tcW w:w="1186" w:type="dxa"/>
          </w:tcPr>
          <w:p w14:paraId="6D45054C">
            <w:pPr>
              <w:pStyle w:val="179"/>
            </w:pPr>
            <w:r>
              <w:t>/</w:t>
            </w:r>
          </w:p>
        </w:tc>
      </w:tr>
      <w:tr w14:paraId="0ABB974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681" w:type="dxa"/>
            <w:vMerge w:val="continue"/>
            <w:vAlign w:val="center"/>
          </w:tcPr>
          <w:p w14:paraId="361BFC1F">
            <w:pPr>
              <w:pStyle w:val="179"/>
            </w:pPr>
          </w:p>
        </w:tc>
        <w:tc>
          <w:tcPr>
            <w:tcW w:w="1015" w:type="dxa"/>
            <w:vMerge w:val="continue"/>
            <w:vAlign w:val="center"/>
          </w:tcPr>
          <w:p w14:paraId="118B9E6C">
            <w:pPr>
              <w:pStyle w:val="179"/>
            </w:pPr>
          </w:p>
        </w:tc>
        <w:tc>
          <w:tcPr>
            <w:tcW w:w="618" w:type="dxa"/>
            <w:vAlign w:val="center"/>
          </w:tcPr>
          <w:p w14:paraId="0F906C16">
            <w:pPr>
              <w:pStyle w:val="179"/>
            </w:pPr>
            <w:r>
              <w:t>CO</w:t>
            </w:r>
          </w:p>
        </w:tc>
        <w:tc>
          <w:tcPr>
            <w:tcW w:w="1186" w:type="dxa"/>
            <w:vAlign w:val="center"/>
          </w:tcPr>
          <w:p w14:paraId="036F5636">
            <w:pPr>
              <w:pStyle w:val="179"/>
            </w:pPr>
            <w:r>
              <w:rPr>
                <w:rFonts w:hint="eastAsia"/>
              </w:rPr>
              <w:t>/</w:t>
            </w:r>
          </w:p>
        </w:tc>
        <w:tc>
          <w:tcPr>
            <w:tcW w:w="749" w:type="dxa"/>
            <w:vAlign w:val="center"/>
          </w:tcPr>
          <w:p w14:paraId="6F0FA89A">
            <w:pPr>
              <w:pStyle w:val="179"/>
            </w:pPr>
            <w:r>
              <w:rPr>
                <w:rFonts w:hint="eastAsia"/>
              </w:rPr>
              <w:t>/</w:t>
            </w:r>
          </w:p>
        </w:tc>
        <w:tc>
          <w:tcPr>
            <w:tcW w:w="957" w:type="dxa"/>
            <w:vAlign w:val="center"/>
          </w:tcPr>
          <w:p w14:paraId="1D493BBA">
            <w:pPr>
              <w:pStyle w:val="179"/>
              <w:rPr>
                <w:rFonts w:ascii="宋体" w:hAnsi="宋体"/>
              </w:rPr>
            </w:pPr>
            <w:r>
              <w:rPr>
                <w:rFonts w:hint="eastAsia"/>
              </w:rPr>
              <w:t>0.322 t/a</w:t>
            </w:r>
          </w:p>
        </w:tc>
        <w:tc>
          <w:tcPr>
            <w:tcW w:w="2113" w:type="dxa"/>
            <w:vMerge w:val="continue"/>
            <w:vAlign w:val="center"/>
          </w:tcPr>
          <w:p w14:paraId="505578BA">
            <w:pPr>
              <w:pStyle w:val="179"/>
            </w:pPr>
          </w:p>
        </w:tc>
        <w:tc>
          <w:tcPr>
            <w:tcW w:w="1186" w:type="dxa"/>
          </w:tcPr>
          <w:p w14:paraId="021B28FC">
            <w:pPr>
              <w:pStyle w:val="179"/>
            </w:pPr>
            <w:r>
              <w:rPr>
                <w:rFonts w:hint="eastAsia"/>
              </w:rPr>
              <w:t>/</w:t>
            </w:r>
          </w:p>
        </w:tc>
      </w:tr>
      <w:tr w14:paraId="5FAF6D7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681" w:type="dxa"/>
            <w:vMerge w:val="restart"/>
            <w:vAlign w:val="center"/>
          </w:tcPr>
          <w:p w14:paraId="3C08CBBF">
            <w:pPr>
              <w:pStyle w:val="179"/>
              <w:rPr>
                <w:b/>
              </w:rPr>
            </w:pPr>
            <w:r>
              <w:t>废水</w:t>
            </w:r>
          </w:p>
        </w:tc>
        <w:tc>
          <w:tcPr>
            <w:tcW w:w="1015" w:type="dxa"/>
            <w:vAlign w:val="center"/>
          </w:tcPr>
          <w:p w14:paraId="66FC1751">
            <w:pPr>
              <w:pStyle w:val="179"/>
            </w:pPr>
            <w:r>
              <w:t>生活污水</w:t>
            </w:r>
          </w:p>
        </w:tc>
        <w:tc>
          <w:tcPr>
            <w:tcW w:w="3510" w:type="dxa"/>
            <w:gridSpan w:val="4"/>
            <w:vAlign w:val="center"/>
          </w:tcPr>
          <w:p w14:paraId="1F4615C6">
            <w:pPr>
              <w:pStyle w:val="179"/>
            </w:pPr>
            <w:r>
              <w:t>防渗旱厕，定期清掏，外运堆肥</w:t>
            </w:r>
          </w:p>
        </w:tc>
        <w:tc>
          <w:tcPr>
            <w:tcW w:w="2113" w:type="dxa"/>
            <w:vMerge w:val="restart"/>
            <w:vAlign w:val="center"/>
          </w:tcPr>
          <w:p w14:paraId="58ADBEAD">
            <w:pPr>
              <w:pStyle w:val="179"/>
            </w:pPr>
            <w:r>
              <w:t>不外排</w:t>
            </w:r>
          </w:p>
        </w:tc>
        <w:tc>
          <w:tcPr>
            <w:tcW w:w="1186" w:type="dxa"/>
            <w:vMerge w:val="restart"/>
            <w:vAlign w:val="center"/>
          </w:tcPr>
          <w:p w14:paraId="17291661">
            <w:pPr>
              <w:pStyle w:val="179"/>
            </w:pPr>
            <w:r>
              <w:t>/</w:t>
            </w:r>
          </w:p>
        </w:tc>
      </w:tr>
      <w:tr w14:paraId="5C91D48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681" w:type="dxa"/>
            <w:vMerge w:val="continue"/>
            <w:vAlign w:val="center"/>
          </w:tcPr>
          <w:p w14:paraId="11D1F8F8">
            <w:pPr>
              <w:pStyle w:val="179"/>
              <w:rPr>
                <w:b/>
              </w:rPr>
            </w:pPr>
          </w:p>
        </w:tc>
        <w:tc>
          <w:tcPr>
            <w:tcW w:w="1015" w:type="dxa"/>
            <w:vAlign w:val="center"/>
          </w:tcPr>
          <w:p w14:paraId="44468A61">
            <w:pPr>
              <w:pStyle w:val="179"/>
            </w:pPr>
            <w:r>
              <w:t>径流污水</w:t>
            </w:r>
          </w:p>
        </w:tc>
        <w:tc>
          <w:tcPr>
            <w:tcW w:w="3510" w:type="dxa"/>
            <w:gridSpan w:val="4"/>
            <w:vAlign w:val="center"/>
          </w:tcPr>
          <w:p w14:paraId="6453BE45">
            <w:pPr>
              <w:pStyle w:val="179"/>
            </w:pPr>
            <w:r>
              <w:t>根据地势在</w:t>
            </w:r>
            <w:r>
              <w:rPr>
                <w:rFonts w:hint="eastAsia"/>
              </w:rPr>
              <w:t>矿区四周</w:t>
            </w:r>
            <w:r>
              <w:t>设置底宽0.</w:t>
            </w:r>
            <w:r>
              <w:rPr>
                <w:rFonts w:hint="eastAsia"/>
              </w:rPr>
              <w:t>6</w:t>
            </w:r>
            <w:r>
              <w:t>m，深0.</w:t>
            </w:r>
            <w:r>
              <w:rPr>
                <w:rFonts w:hint="eastAsia"/>
              </w:rPr>
              <w:t>5</w:t>
            </w:r>
            <w:r>
              <w:t>m，</w:t>
            </w:r>
            <w:r>
              <w:rPr>
                <w:rFonts w:hint="eastAsia"/>
              </w:rPr>
              <w:t>长1466</w:t>
            </w:r>
            <w:r>
              <w:t>m截流沟，截流沟排水导出矿区外；</w:t>
            </w:r>
          </w:p>
          <w:p w14:paraId="646C026C">
            <w:pPr>
              <w:pStyle w:val="179"/>
            </w:pPr>
            <w:r>
              <w:t>开采境界内汇水</w:t>
            </w:r>
            <w:r>
              <w:rPr>
                <w:rFonts w:hint="eastAsia"/>
              </w:rPr>
              <w:t>通过400m导流渠</w:t>
            </w:r>
            <w:r>
              <w:t>汇入</w:t>
            </w:r>
            <w:r>
              <w:rPr>
                <w:rFonts w:hint="eastAsia"/>
              </w:rPr>
              <w:t>630</w:t>
            </w:r>
            <w:r>
              <w:t>m</w:t>
            </w:r>
            <w:r>
              <w:rPr>
                <w:vertAlign w:val="superscript"/>
              </w:rPr>
              <w:t>3</w:t>
            </w:r>
            <w:r>
              <w:t>的贮水池中，贮水池设置在采区</w:t>
            </w:r>
            <w:r>
              <w:rPr>
                <w:rFonts w:hint="eastAsia"/>
              </w:rPr>
              <w:t>北</w:t>
            </w:r>
            <w:r>
              <w:t>部，作为降尘用水使用</w:t>
            </w:r>
            <w:r>
              <w:rPr>
                <w:rFonts w:hint="eastAsia"/>
              </w:rPr>
              <w:t>。</w:t>
            </w:r>
          </w:p>
        </w:tc>
        <w:tc>
          <w:tcPr>
            <w:tcW w:w="2113" w:type="dxa"/>
            <w:vMerge w:val="continue"/>
            <w:vAlign w:val="center"/>
          </w:tcPr>
          <w:p w14:paraId="495A6D98">
            <w:pPr>
              <w:pStyle w:val="179"/>
              <w:rPr>
                <w:b/>
              </w:rPr>
            </w:pPr>
          </w:p>
        </w:tc>
        <w:tc>
          <w:tcPr>
            <w:tcW w:w="1186" w:type="dxa"/>
            <w:vMerge w:val="continue"/>
            <w:vAlign w:val="center"/>
          </w:tcPr>
          <w:p w14:paraId="066C266F">
            <w:pPr>
              <w:pStyle w:val="179"/>
              <w:rPr>
                <w:b/>
              </w:rPr>
            </w:pPr>
          </w:p>
        </w:tc>
      </w:tr>
      <w:tr w14:paraId="4DF8F7E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681" w:type="dxa"/>
            <w:vAlign w:val="center"/>
          </w:tcPr>
          <w:p w14:paraId="4704FC9E">
            <w:pPr>
              <w:pStyle w:val="179"/>
            </w:pPr>
            <w:r>
              <w:t>噪声</w:t>
            </w:r>
          </w:p>
        </w:tc>
        <w:tc>
          <w:tcPr>
            <w:tcW w:w="1015" w:type="dxa"/>
            <w:vAlign w:val="center"/>
          </w:tcPr>
          <w:p w14:paraId="4100C531">
            <w:pPr>
              <w:pStyle w:val="179"/>
            </w:pPr>
            <w:r>
              <w:t>厂区设备</w:t>
            </w:r>
          </w:p>
        </w:tc>
        <w:tc>
          <w:tcPr>
            <w:tcW w:w="3510" w:type="dxa"/>
            <w:gridSpan w:val="4"/>
            <w:vAlign w:val="center"/>
          </w:tcPr>
          <w:p w14:paraId="54B7C00D">
            <w:pPr>
              <w:pStyle w:val="179"/>
            </w:pPr>
            <w:r>
              <w:t>设备选型时尽量选用低噪声设备；夜间不生产</w:t>
            </w:r>
          </w:p>
        </w:tc>
        <w:tc>
          <w:tcPr>
            <w:tcW w:w="2113" w:type="dxa"/>
            <w:vAlign w:val="center"/>
          </w:tcPr>
          <w:p w14:paraId="714FC966">
            <w:pPr>
              <w:pStyle w:val="179"/>
            </w:pPr>
            <w:r>
              <w:t>厂界噪声排放符合《工业企业厂界环境噪声排放标准》（GB12348-2008）表1中1类标准</w:t>
            </w:r>
          </w:p>
        </w:tc>
        <w:tc>
          <w:tcPr>
            <w:tcW w:w="1186" w:type="dxa"/>
            <w:vAlign w:val="center"/>
          </w:tcPr>
          <w:p w14:paraId="554AB442">
            <w:pPr>
              <w:pStyle w:val="179"/>
            </w:pPr>
            <w:r>
              <w:rPr>
                <w:rFonts w:hint="eastAsia"/>
              </w:rPr>
              <w:t>/</w:t>
            </w:r>
          </w:p>
        </w:tc>
      </w:tr>
      <w:tr w14:paraId="7F0366B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681" w:type="dxa"/>
            <w:vMerge w:val="restart"/>
            <w:vAlign w:val="center"/>
          </w:tcPr>
          <w:p w14:paraId="1FEE5062">
            <w:pPr>
              <w:pStyle w:val="179"/>
            </w:pPr>
            <w:r>
              <w:t>固废</w:t>
            </w:r>
          </w:p>
        </w:tc>
        <w:tc>
          <w:tcPr>
            <w:tcW w:w="1015" w:type="dxa"/>
            <w:vAlign w:val="center"/>
          </w:tcPr>
          <w:p w14:paraId="15511E80">
            <w:pPr>
              <w:pStyle w:val="179"/>
            </w:pPr>
            <w:r>
              <w:rPr>
                <w:rFonts w:hint="eastAsia"/>
              </w:rPr>
              <w:t>贮水池沉渣</w:t>
            </w:r>
          </w:p>
        </w:tc>
        <w:tc>
          <w:tcPr>
            <w:tcW w:w="3510" w:type="dxa"/>
            <w:gridSpan w:val="4"/>
            <w:vAlign w:val="center"/>
          </w:tcPr>
          <w:p w14:paraId="74C7952D">
            <w:pPr>
              <w:pStyle w:val="179"/>
            </w:pPr>
            <w:r>
              <w:rPr>
                <w:rFonts w:hint="eastAsia"/>
              </w:rPr>
              <w:t>用于平整矿区</w:t>
            </w:r>
          </w:p>
        </w:tc>
        <w:tc>
          <w:tcPr>
            <w:tcW w:w="2113" w:type="dxa"/>
            <w:vAlign w:val="center"/>
          </w:tcPr>
          <w:p w14:paraId="079EC7CA">
            <w:pPr>
              <w:pStyle w:val="179"/>
            </w:pPr>
            <w:r>
              <w:t>一般工业固废贮存执行《一般工业固体废物贮存和填埋 污染控制标准》（GB18599-20</w:t>
            </w:r>
            <w:r>
              <w:rPr>
                <w:rFonts w:hint="eastAsia"/>
              </w:rPr>
              <w:t>20</w:t>
            </w:r>
            <w:r>
              <w:t xml:space="preserve">）； </w:t>
            </w:r>
          </w:p>
        </w:tc>
        <w:tc>
          <w:tcPr>
            <w:tcW w:w="1186" w:type="dxa"/>
            <w:vAlign w:val="center"/>
          </w:tcPr>
          <w:p w14:paraId="4721759F">
            <w:pPr>
              <w:pStyle w:val="179"/>
            </w:pPr>
            <w:r>
              <w:drawing>
                <wp:inline distT="0" distB="0" distL="0" distR="0">
                  <wp:extent cx="696595" cy="615315"/>
                  <wp:effectExtent l="19050" t="0" r="8255" b="0"/>
                  <wp:docPr id="23"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81"/>
                          <pic:cNvPicPr>
                            <a:picLocks noChangeAspect="1" noChangeArrowheads="1"/>
                          </pic:cNvPicPr>
                        </pic:nvPicPr>
                        <pic:blipFill>
                          <a:blip r:embed="rId113"/>
                          <a:srcRect/>
                          <a:stretch>
                            <a:fillRect/>
                          </a:stretch>
                        </pic:blipFill>
                        <pic:spPr>
                          <a:xfrm>
                            <a:off x="0" y="0"/>
                            <a:ext cx="696595" cy="615315"/>
                          </a:xfrm>
                          <a:prstGeom prst="rect">
                            <a:avLst/>
                          </a:prstGeom>
                          <a:noFill/>
                          <a:ln w="9525">
                            <a:noFill/>
                            <a:miter lim="800000"/>
                            <a:headEnd/>
                            <a:tailEnd/>
                          </a:ln>
                        </pic:spPr>
                      </pic:pic>
                    </a:graphicData>
                  </a:graphic>
                </wp:inline>
              </w:drawing>
            </w:r>
          </w:p>
          <w:p w14:paraId="636B77F9">
            <w:pPr>
              <w:pStyle w:val="179"/>
            </w:pPr>
            <w:r>
              <w:t>一般固体废物</w:t>
            </w:r>
          </w:p>
        </w:tc>
      </w:tr>
      <w:tr w14:paraId="424BACD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681" w:type="dxa"/>
            <w:vMerge w:val="continue"/>
            <w:vAlign w:val="center"/>
          </w:tcPr>
          <w:p w14:paraId="18FE5966">
            <w:pPr>
              <w:pStyle w:val="179"/>
            </w:pPr>
          </w:p>
        </w:tc>
        <w:tc>
          <w:tcPr>
            <w:tcW w:w="1015" w:type="dxa"/>
            <w:vAlign w:val="center"/>
          </w:tcPr>
          <w:p w14:paraId="2F78B30D">
            <w:pPr>
              <w:pStyle w:val="179"/>
            </w:pPr>
            <w:r>
              <w:t>生活垃圾</w:t>
            </w:r>
          </w:p>
        </w:tc>
        <w:tc>
          <w:tcPr>
            <w:tcW w:w="3510" w:type="dxa"/>
            <w:gridSpan w:val="4"/>
            <w:vAlign w:val="center"/>
          </w:tcPr>
          <w:p w14:paraId="348A0637">
            <w:pPr>
              <w:pStyle w:val="179"/>
            </w:pPr>
            <w:r>
              <w:t>当地环卫部门统一处理</w:t>
            </w:r>
          </w:p>
        </w:tc>
        <w:tc>
          <w:tcPr>
            <w:tcW w:w="2113" w:type="dxa"/>
            <w:vAlign w:val="center"/>
          </w:tcPr>
          <w:p w14:paraId="6597C346">
            <w:pPr>
              <w:pStyle w:val="179"/>
            </w:pPr>
            <w:r>
              <w:t>/</w:t>
            </w:r>
          </w:p>
        </w:tc>
        <w:tc>
          <w:tcPr>
            <w:tcW w:w="1186" w:type="dxa"/>
            <w:vAlign w:val="center"/>
          </w:tcPr>
          <w:p w14:paraId="0689AD51">
            <w:pPr>
              <w:pStyle w:val="179"/>
            </w:pPr>
            <w:r>
              <w:t>/</w:t>
            </w:r>
          </w:p>
        </w:tc>
      </w:tr>
      <w:tr w14:paraId="5894184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681" w:type="dxa"/>
            <w:vAlign w:val="center"/>
          </w:tcPr>
          <w:p w14:paraId="447A5A88">
            <w:pPr>
              <w:pStyle w:val="179"/>
            </w:pPr>
            <w:r>
              <w:t>风险防范措施</w:t>
            </w:r>
          </w:p>
        </w:tc>
        <w:tc>
          <w:tcPr>
            <w:tcW w:w="1015" w:type="dxa"/>
            <w:vAlign w:val="center"/>
          </w:tcPr>
          <w:p w14:paraId="5F449B0F">
            <w:pPr>
              <w:pStyle w:val="179"/>
            </w:pPr>
            <w:r>
              <w:t>环境风险</w:t>
            </w:r>
          </w:p>
        </w:tc>
        <w:tc>
          <w:tcPr>
            <w:tcW w:w="6809" w:type="dxa"/>
            <w:gridSpan w:val="6"/>
            <w:vAlign w:val="center"/>
          </w:tcPr>
          <w:p w14:paraId="7CEC343D">
            <w:pPr>
              <w:pStyle w:val="179"/>
            </w:pPr>
            <w:r>
              <w:t>编制突发环境事件应急预案</w:t>
            </w:r>
          </w:p>
        </w:tc>
      </w:tr>
    </w:tbl>
    <w:p w14:paraId="71E32F1E">
      <w:pPr>
        <w:pStyle w:val="179"/>
      </w:pPr>
    </w:p>
    <w:bookmarkEnd w:id="647"/>
    <w:p w14:paraId="6A116E2C">
      <w:pPr>
        <w:widowControl/>
        <w:topLinePunct/>
        <w:autoSpaceDE w:val="0"/>
        <w:autoSpaceDN w:val="0"/>
        <w:adjustRightInd w:val="0"/>
        <w:snapToGrid w:val="0"/>
        <w:spacing w:line="480" w:lineRule="exact"/>
        <w:ind w:firstLine="480"/>
        <w:textAlignment w:val="baseline"/>
        <w:rPr>
          <w:rFonts w:hAnsi="Times New Roman" w:cs="Times New Roman"/>
        </w:rPr>
      </w:pPr>
    </w:p>
    <w:p w14:paraId="025854AE">
      <w:pPr>
        <w:ind w:firstLine="480"/>
        <w:rPr>
          <w:rFonts w:hAnsi="Times New Roman" w:cs="Times New Roman"/>
        </w:rPr>
      </w:pPr>
      <w:r>
        <w:rPr>
          <w:rFonts w:hAnsi="Times New Roman" w:cs="Times New Roman"/>
        </w:rPr>
        <w:br w:type="page"/>
      </w:r>
    </w:p>
    <w:p w14:paraId="631B5FC5">
      <w:pPr>
        <w:pStyle w:val="2"/>
        <w:spacing w:before="120" w:after="180"/>
        <w:rPr>
          <w:rFonts w:cs="Times New Roman"/>
        </w:rPr>
      </w:pPr>
      <w:bookmarkStart w:id="726" w:name="_Toc406239919"/>
      <w:bookmarkStart w:id="727" w:name="_Toc12649435"/>
      <w:bookmarkStart w:id="728" w:name="_Toc61013174"/>
      <w:bookmarkStart w:id="729" w:name="_Toc61013379"/>
      <w:bookmarkStart w:id="730" w:name="_Toc488312035"/>
      <w:bookmarkStart w:id="731" w:name="_Toc61013994"/>
      <w:bookmarkStart w:id="732" w:name="_Toc76395527"/>
      <w:bookmarkStart w:id="733" w:name="_Toc61012983"/>
      <w:bookmarkStart w:id="734" w:name="_Toc234927724"/>
      <w:bookmarkStart w:id="735" w:name="_Toc521678740"/>
      <w:bookmarkStart w:id="736" w:name="_Toc61013789"/>
      <w:bookmarkStart w:id="737" w:name="_Toc61012698"/>
      <w:bookmarkStart w:id="738" w:name="_Toc61013584"/>
      <w:bookmarkStart w:id="739" w:name="_Toc233779723"/>
      <w:r>
        <w:rPr>
          <w:rFonts w:cs="Times New Roman"/>
        </w:rPr>
        <w:t>环境影响评价结论</w:t>
      </w:r>
      <w:bookmarkEnd w:id="726"/>
      <w:bookmarkEnd w:id="727"/>
      <w:bookmarkEnd w:id="728"/>
      <w:bookmarkEnd w:id="729"/>
      <w:bookmarkEnd w:id="730"/>
      <w:bookmarkEnd w:id="731"/>
      <w:bookmarkEnd w:id="732"/>
      <w:bookmarkEnd w:id="733"/>
      <w:bookmarkEnd w:id="734"/>
      <w:bookmarkEnd w:id="735"/>
      <w:bookmarkEnd w:id="736"/>
      <w:bookmarkEnd w:id="737"/>
      <w:bookmarkEnd w:id="738"/>
    </w:p>
    <w:bookmarkEnd w:id="739"/>
    <w:p w14:paraId="49DA68CC">
      <w:pPr>
        <w:pStyle w:val="3"/>
        <w:spacing w:before="180" w:after="120"/>
        <w:rPr>
          <w:rFonts w:cs="Times New Roman"/>
        </w:rPr>
      </w:pPr>
      <w:bookmarkStart w:id="740" w:name="_Toc488312036"/>
      <w:bookmarkStart w:id="741" w:name="_Toc61013790"/>
      <w:bookmarkStart w:id="742" w:name="_Toc61013175"/>
      <w:bookmarkStart w:id="743" w:name="_Toc76395528"/>
      <w:bookmarkStart w:id="744" w:name="_Toc61012699"/>
      <w:bookmarkStart w:id="745" w:name="_Toc61013995"/>
      <w:bookmarkStart w:id="746" w:name="_Toc521678741"/>
      <w:bookmarkStart w:id="747" w:name="_Toc61013380"/>
      <w:bookmarkStart w:id="748" w:name="_Toc61012984"/>
      <w:bookmarkStart w:id="749" w:name="_Toc12649436"/>
      <w:bookmarkStart w:id="750" w:name="_Toc406239920"/>
      <w:bookmarkStart w:id="751" w:name="_Toc61013585"/>
      <w:bookmarkStart w:id="752" w:name="_Toc234927725"/>
      <w:r>
        <w:rPr>
          <w:rFonts w:cs="Times New Roman"/>
        </w:rPr>
        <w:t>建设项目概况</w:t>
      </w:r>
      <w:bookmarkEnd w:id="740"/>
      <w:bookmarkEnd w:id="741"/>
      <w:bookmarkEnd w:id="742"/>
      <w:bookmarkEnd w:id="743"/>
      <w:bookmarkEnd w:id="744"/>
      <w:bookmarkEnd w:id="745"/>
      <w:bookmarkEnd w:id="746"/>
      <w:bookmarkEnd w:id="747"/>
      <w:bookmarkEnd w:id="748"/>
      <w:bookmarkEnd w:id="749"/>
      <w:bookmarkEnd w:id="750"/>
      <w:bookmarkEnd w:id="751"/>
      <w:bookmarkEnd w:id="752"/>
    </w:p>
    <w:p w14:paraId="0033AF3C">
      <w:pPr>
        <w:ind w:firstLine="480"/>
      </w:pPr>
      <w:bookmarkStart w:id="753" w:name="_Toc406239921"/>
      <w:bookmarkStart w:id="754" w:name="_Toc521678742"/>
      <w:bookmarkStart w:id="755" w:name="_Toc488312037"/>
      <w:bookmarkStart w:id="756" w:name="_Toc233779748"/>
      <w:r>
        <w:t>（1）工程名称：黑龙江省嫩江市塔溪乡马厂河采石场建筑用凝灰岩矿</w:t>
      </w:r>
    </w:p>
    <w:p w14:paraId="77DAFF08">
      <w:pPr>
        <w:ind w:firstLine="480"/>
      </w:pPr>
      <w:r>
        <w:t>（2）项目性质：新建</w:t>
      </w:r>
    </w:p>
    <w:p w14:paraId="4BAA24B2">
      <w:pPr>
        <w:ind w:firstLine="480"/>
      </w:pPr>
      <w:r>
        <w:t>（3）建设单位：黑河市瑞峰建筑工程有限责任公司</w:t>
      </w:r>
    </w:p>
    <w:p w14:paraId="6A0796C5">
      <w:pPr>
        <w:ind w:firstLine="480"/>
      </w:pPr>
      <w:r>
        <w:rPr>
          <w:rFonts w:hAnsi="Times New Roman" w:cs="Times New Roman"/>
        </w:rPr>
        <w:t>（4）建设地点：矿区位于黑龙江省嫩江市塔溪乡马厂河北东50m处，距黑河市约50km</w:t>
      </w:r>
      <w:r>
        <w:t>。嫩江镇</w:t>
      </w:r>
      <w:r>
        <w:rPr>
          <w:rFonts w:hint="eastAsia"/>
        </w:rPr>
        <w:t>北东</w:t>
      </w:r>
      <w:r>
        <w:t>直距87.00km，塔溪</w:t>
      </w:r>
      <w:r>
        <w:rPr>
          <w:rFonts w:hint="eastAsia"/>
        </w:rPr>
        <w:t>镇南</w:t>
      </w:r>
      <w:r>
        <w:t>5.0km，东距黑河口岸123km。行政区隶属嫩江市塔溪乡管辖。矿区至塔溪乡</w:t>
      </w:r>
      <w:r>
        <w:rPr>
          <w:rFonts w:hint="eastAsia"/>
        </w:rPr>
        <w:t>有</w:t>
      </w:r>
      <w:r>
        <w:t>沙石公路相通，全年可通行，交通较为便利。塔溪乡有省道从中贯穿而过，路面尚好。</w:t>
      </w:r>
      <w:r>
        <w:rPr>
          <w:rFonts w:hint="eastAsia"/>
        </w:rPr>
        <w:t>矿区附近铁路有齐加铁路（齐齐哈尔至加格达奇）嫩江站，</w:t>
      </w:r>
      <w:r>
        <w:t>周边交通便利。</w:t>
      </w:r>
    </w:p>
    <w:p w14:paraId="591B95A9">
      <w:pPr>
        <w:ind w:firstLine="480"/>
      </w:pPr>
      <w:r>
        <w:t>（5）矿区范围：该矿山为</w:t>
      </w:r>
      <w:r>
        <w:rPr>
          <w:rFonts w:hint="eastAsia"/>
        </w:rPr>
        <w:t>新建</w:t>
      </w:r>
      <w:r>
        <w:t>矿山，采矿权人为黑河市瑞峰建筑工程有限责任公司，采矿许可证：</w:t>
      </w:r>
      <w:r>
        <w:rPr>
          <w:rFonts w:hAnsi="Times New Roman" w:cs="Times New Roman"/>
        </w:rPr>
        <w:t>XC2311832025117160000001</w:t>
      </w:r>
      <w:r>
        <w:t>，开采矿种为</w:t>
      </w:r>
      <w:r>
        <w:rPr>
          <w:rFonts w:hint="eastAsia"/>
        </w:rPr>
        <w:t>建筑用</w:t>
      </w:r>
      <w:r>
        <w:t>凝灰岩。</w:t>
      </w:r>
      <w:r>
        <w:rPr>
          <w:rFonts w:hint="eastAsia"/>
        </w:rPr>
        <w:t>矿区</w:t>
      </w:r>
      <w:r>
        <w:t>范围由</w:t>
      </w:r>
      <w:r>
        <w:rPr>
          <w:rFonts w:hint="eastAsia"/>
        </w:rPr>
        <w:t>5</w:t>
      </w:r>
      <w:r>
        <w:t>个拐点坐标圈定，矿区面积为0.1101km</w:t>
      </w:r>
      <w:r>
        <w:rPr>
          <w:vertAlign w:val="superscript"/>
        </w:rPr>
        <w:t>2</w:t>
      </w:r>
      <w:r>
        <w:t>，矿山开采标高为+523.50m</w:t>
      </w:r>
      <w:r>
        <w:rPr>
          <w:rFonts w:hint="eastAsia"/>
        </w:rPr>
        <w:t>至</w:t>
      </w:r>
      <w:r>
        <w:t>+420.00m。</w:t>
      </w:r>
    </w:p>
    <w:p w14:paraId="0B884127">
      <w:pPr>
        <w:ind w:firstLine="480"/>
      </w:pPr>
      <w:r>
        <w:t>（6）矿山规模：采矿规模为</w:t>
      </w:r>
      <w:r>
        <w:rPr>
          <w:rFonts w:hint="eastAsia"/>
        </w:rPr>
        <w:t>30</w:t>
      </w:r>
      <w:r>
        <w:t>×10</w:t>
      </w:r>
      <w:r>
        <w:rPr>
          <w:vertAlign w:val="superscript"/>
        </w:rPr>
        <w:t>4</w:t>
      </w:r>
      <w:r>
        <w:rPr>
          <w:rFonts w:hint="eastAsia"/>
        </w:rPr>
        <w:t>m</w:t>
      </w:r>
      <w:r>
        <w:rPr>
          <w:rFonts w:hint="eastAsia"/>
          <w:vertAlign w:val="superscript"/>
        </w:rPr>
        <w:t>3</w:t>
      </w:r>
      <w:r>
        <w:rPr>
          <w:rFonts w:hint="eastAsia"/>
        </w:rPr>
        <w:t>/a</w:t>
      </w:r>
      <w:r>
        <w:t>，年工作</w:t>
      </w:r>
      <w:r>
        <w:rPr>
          <w:rFonts w:hint="eastAsia"/>
        </w:rPr>
        <w:t>180d</w:t>
      </w:r>
      <w:r>
        <w:t>，采用露天开采方式，服务年限为</w:t>
      </w:r>
      <w:r>
        <w:rPr>
          <w:rFonts w:hint="eastAsia"/>
        </w:rPr>
        <w:t>10</w:t>
      </w:r>
      <w:r>
        <w:t>年（采矿许可证有效期限：2025年11月28日～2035年11月25日）。</w:t>
      </w:r>
    </w:p>
    <w:p w14:paraId="79C5B45A">
      <w:pPr>
        <w:ind w:firstLine="480"/>
        <w:rPr>
          <w:rFonts w:hAnsi="Times New Roman" w:cs="Times New Roman"/>
        </w:rPr>
      </w:pPr>
      <w:r>
        <w:t>（7）</w:t>
      </w:r>
      <w:bookmarkStart w:id="757" w:name="_Toc61013996"/>
      <w:bookmarkStart w:id="758" w:name="_Toc61013176"/>
      <w:bookmarkStart w:id="759" w:name="_Toc76395529"/>
      <w:bookmarkStart w:id="760" w:name="_Toc61012700"/>
      <w:bookmarkStart w:id="761" w:name="_Toc12649437"/>
      <w:bookmarkStart w:id="762" w:name="_Toc61012985"/>
      <w:bookmarkStart w:id="763" w:name="_Toc61013791"/>
      <w:bookmarkStart w:id="764" w:name="_Toc61013586"/>
      <w:bookmarkStart w:id="765" w:name="_Toc61013381"/>
      <w:r>
        <w:t>项目投资：项目建设规模估算总投资3</w:t>
      </w:r>
      <w:r>
        <w:rPr>
          <w:rFonts w:hint="eastAsia"/>
        </w:rPr>
        <w:t>500</w:t>
      </w:r>
      <w:r>
        <w:t>万元，其中环保投资296万元，占总投资的8.46%。</w:t>
      </w:r>
    </w:p>
    <w:p w14:paraId="3E9BCB95">
      <w:pPr>
        <w:pStyle w:val="3"/>
        <w:spacing w:before="180" w:after="120"/>
      </w:pPr>
      <w:bookmarkStart w:id="766" w:name="_Toc234927726"/>
      <w:r>
        <w:t>环境质量现状评价结论</w:t>
      </w:r>
      <w:bookmarkEnd w:id="753"/>
      <w:bookmarkEnd w:id="754"/>
      <w:bookmarkEnd w:id="755"/>
      <w:bookmarkEnd w:id="757"/>
      <w:bookmarkEnd w:id="758"/>
      <w:bookmarkEnd w:id="759"/>
      <w:bookmarkEnd w:id="760"/>
      <w:bookmarkEnd w:id="761"/>
      <w:bookmarkEnd w:id="762"/>
      <w:bookmarkEnd w:id="763"/>
      <w:bookmarkEnd w:id="764"/>
      <w:bookmarkEnd w:id="765"/>
      <w:bookmarkEnd w:id="766"/>
    </w:p>
    <w:bookmarkEnd w:id="756"/>
    <w:p w14:paraId="3D298E71">
      <w:pPr>
        <w:pStyle w:val="4"/>
        <w:spacing w:before="180" w:after="120"/>
        <w:rPr>
          <w:rFonts w:hAnsi="Times New Roman" w:cs="Times New Roman"/>
        </w:rPr>
      </w:pPr>
      <w:bookmarkStart w:id="767" w:name="_Toc61013177"/>
      <w:bookmarkStart w:id="768" w:name="_Toc61013997"/>
      <w:bookmarkStart w:id="769" w:name="_Toc61013382"/>
      <w:bookmarkStart w:id="770" w:name="_Toc61013792"/>
      <w:bookmarkStart w:id="771" w:name="_Toc61013587"/>
      <w:bookmarkStart w:id="772" w:name="_Toc61012701"/>
      <w:bookmarkStart w:id="773" w:name="_Toc12649438"/>
      <w:bookmarkStart w:id="774" w:name="_Toc233779749"/>
      <w:r>
        <w:rPr>
          <w:rFonts w:hAnsi="Times New Roman" w:cs="Times New Roman"/>
        </w:rPr>
        <w:t>环境空气质量现状</w:t>
      </w:r>
      <w:bookmarkEnd w:id="767"/>
      <w:bookmarkEnd w:id="768"/>
      <w:bookmarkEnd w:id="769"/>
      <w:bookmarkEnd w:id="770"/>
      <w:bookmarkEnd w:id="771"/>
      <w:bookmarkEnd w:id="772"/>
      <w:bookmarkEnd w:id="773"/>
    </w:p>
    <w:bookmarkEnd w:id="774"/>
    <w:p w14:paraId="160D0AA0">
      <w:pPr>
        <w:ind w:firstLine="480"/>
      </w:pPr>
      <w:r>
        <w:t>根据《202</w:t>
      </w:r>
      <w:r>
        <w:rPr>
          <w:rFonts w:hint="eastAsia"/>
        </w:rPr>
        <w:t>5</w:t>
      </w:r>
      <w:r>
        <w:t>年黑龙江省生态环境质量状况》，本项目所在地为环境控制质量达标区。SO</w:t>
      </w:r>
      <w:r>
        <w:rPr>
          <w:vertAlign w:val="subscript"/>
        </w:rPr>
        <w:t>2</w:t>
      </w:r>
      <w:r>
        <w:t>、NO</w:t>
      </w:r>
      <w:r>
        <w:rPr>
          <w:vertAlign w:val="subscript"/>
        </w:rPr>
        <w:t>2</w:t>
      </w:r>
      <w:r>
        <w:t>、PM</w:t>
      </w:r>
      <w:r>
        <w:rPr>
          <w:vertAlign w:val="subscript"/>
        </w:rPr>
        <w:t>2.5</w:t>
      </w:r>
      <w:r>
        <w:t>、PM</w:t>
      </w:r>
      <w:r>
        <w:rPr>
          <w:vertAlign w:val="subscript"/>
        </w:rPr>
        <w:t>10</w:t>
      </w:r>
      <w:r>
        <w:t>、CO、O</w:t>
      </w:r>
      <w:r>
        <w:rPr>
          <w:vertAlign w:val="subscript"/>
        </w:rPr>
        <w:t>3</w:t>
      </w:r>
      <w:r>
        <w:t>六项指标中，年均浓度和相应百分位数24小时平均（O</w:t>
      </w:r>
      <w:r>
        <w:rPr>
          <w:vertAlign w:val="subscript"/>
        </w:rPr>
        <w:t>3</w:t>
      </w:r>
      <w:r>
        <w:t>8小时平均）质量浓度均满足《环境空气质量标准》（GB3095-2026）中过渡阶段二级标准要求。补充监测结果表明，本项目评价区域TSP浓度满足《环境空气质量标准》（GB3095-2026）过渡阶段二级标准</w:t>
      </w:r>
      <w:r>
        <w:rPr>
          <w:lang w:val="zh-CN"/>
        </w:rPr>
        <w:t>要求</w:t>
      </w:r>
      <w:r>
        <w:t>。</w:t>
      </w:r>
    </w:p>
    <w:p w14:paraId="671C35A1">
      <w:pPr>
        <w:pStyle w:val="4"/>
        <w:spacing w:before="180" w:after="120"/>
        <w:rPr>
          <w:rFonts w:hAnsi="Times New Roman" w:cs="Times New Roman"/>
        </w:rPr>
      </w:pPr>
      <w:bookmarkStart w:id="775" w:name="_Toc61013178"/>
      <w:bookmarkStart w:id="776" w:name="_Toc61012702"/>
      <w:bookmarkStart w:id="777" w:name="_Toc61013588"/>
      <w:bookmarkStart w:id="778" w:name="_Toc61013998"/>
      <w:bookmarkStart w:id="779" w:name="_Toc61013793"/>
      <w:bookmarkStart w:id="780" w:name="_Toc61013383"/>
      <w:bookmarkStart w:id="781" w:name="_Toc12649439"/>
      <w:r>
        <w:rPr>
          <w:rFonts w:hAnsi="Times New Roman" w:cs="Times New Roman"/>
        </w:rPr>
        <w:t>水环境质量现状</w:t>
      </w:r>
      <w:bookmarkEnd w:id="775"/>
      <w:bookmarkEnd w:id="776"/>
      <w:bookmarkEnd w:id="777"/>
      <w:bookmarkEnd w:id="778"/>
      <w:bookmarkEnd w:id="779"/>
      <w:bookmarkEnd w:id="780"/>
      <w:bookmarkEnd w:id="781"/>
    </w:p>
    <w:p w14:paraId="637CDBB0">
      <w:pPr>
        <w:ind w:firstLine="480"/>
      </w:pPr>
      <w:r>
        <w:t>地表水：</w:t>
      </w:r>
      <w:r>
        <w:rPr>
          <w:rFonts w:hint="eastAsia"/>
        </w:rPr>
        <w:t>科洛河</w:t>
      </w:r>
      <w:r>
        <w:t>监测数据满足《地表水环境质量标准》（GB3838-2002）Ⅲ类水质标准要求。</w:t>
      </w:r>
    </w:p>
    <w:p w14:paraId="0345DE29">
      <w:pPr>
        <w:pStyle w:val="4"/>
        <w:spacing w:before="180" w:after="120"/>
        <w:rPr>
          <w:rFonts w:hAnsi="Times New Roman" w:cs="Times New Roman"/>
        </w:rPr>
      </w:pPr>
      <w:bookmarkStart w:id="782" w:name="_Toc61012703"/>
      <w:bookmarkStart w:id="783" w:name="_Toc12649440"/>
      <w:bookmarkStart w:id="784" w:name="_Toc61013589"/>
      <w:bookmarkStart w:id="785" w:name="_Toc61013794"/>
      <w:bookmarkStart w:id="786" w:name="_Toc61013999"/>
      <w:bookmarkStart w:id="787" w:name="_Toc61013179"/>
      <w:bookmarkStart w:id="788" w:name="_Toc61013384"/>
      <w:r>
        <w:rPr>
          <w:rFonts w:hAnsi="Times New Roman" w:cs="Times New Roman"/>
        </w:rPr>
        <w:t>声环境质量现状</w:t>
      </w:r>
      <w:bookmarkEnd w:id="782"/>
      <w:bookmarkEnd w:id="783"/>
      <w:bookmarkEnd w:id="784"/>
      <w:bookmarkEnd w:id="785"/>
      <w:bookmarkEnd w:id="786"/>
      <w:bookmarkEnd w:id="787"/>
      <w:bookmarkEnd w:id="788"/>
    </w:p>
    <w:p w14:paraId="74D5E171">
      <w:pPr>
        <w:ind w:firstLine="480"/>
      </w:pPr>
      <w:r>
        <w:t>结合噪声现状监测结果，厂界噪声噪声监测值满足《声环境质量标准》（GB3096-2008）表1环境噪声限值中的</w:t>
      </w:r>
      <w:r>
        <w:rPr>
          <w:rFonts w:hint="eastAsia"/>
        </w:rPr>
        <w:t>1</w:t>
      </w:r>
      <w:r>
        <w:t>类标准。</w:t>
      </w:r>
    </w:p>
    <w:p w14:paraId="2090BC15">
      <w:pPr>
        <w:pStyle w:val="4"/>
        <w:spacing w:before="180" w:after="120"/>
      </w:pPr>
      <w:bookmarkStart w:id="789" w:name="_Toc61013180"/>
      <w:bookmarkStart w:id="790" w:name="_Toc12649441"/>
      <w:bookmarkStart w:id="791" w:name="_Toc61013590"/>
      <w:bookmarkStart w:id="792" w:name="_Toc61013795"/>
      <w:bookmarkStart w:id="793" w:name="_Toc61014000"/>
      <w:bookmarkStart w:id="794" w:name="_Toc61012704"/>
      <w:bookmarkStart w:id="795" w:name="_Toc61013385"/>
      <w:r>
        <w:t>生态环境</w:t>
      </w:r>
      <w:bookmarkEnd w:id="789"/>
      <w:bookmarkEnd w:id="790"/>
      <w:bookmarkEnd w:id="791"/>
      <w:bookmarkEnd w:id="792"/>
      <w:bookmarkEnd w:id="793"/>
      <w:bookmarkEnd w:id="794"/>
      <w:bookmarkEnd w:id="795"/>
    </w:p>
    <w:p w14:paraId="066E3A14">
      <w:pPr>
        <w:ind w:firstLine="480"/>
      </w:pPr>
      <w:bookmarkStart w:id="796" w:name="_Toc406239922"/>
      <w:r>
        <w:t>本项目评价范围为矿区边界向外外延1km范围。通过现场调查及资料收集，评价范围内有种子植物</w:t>
      </w:r>
      <w:r>
        <w:rPr>
          <w:rFonts w:hint="eastAsia"/>
        </w:rPr>
        <w:t>34</w:t>
      </w:r>
      <w:r>
        <w:t>科</w:t>
      </w:r>
      <w:r>
        <w:rPr>
          <w:rFonts w:hint="eastAsia"/>
        </w:rPr>
        <w:t>84</w:t>
      </w:r>
      <w:r>
        <w:t>种，所在范围种子植物科、属、种数分别占黑龙江省种子植物总科数和总种数的20.80%和3.67%。野生动物有</w:t>
      </w:r>
      <w:r>
        <w:rPr>
          <w:rFonts w:hint="eastAsia"/>
        </w:rPr>
        <w:t>4纲23</w:t>
      </w:r>
      <w:r>
        <w:t>目</w:t>
      </w:r>
      <w:r>
        <w:rPr>
          <w:rFonts w:hint="eastAsia"/>
        </w:rPr>
        <w:t>40</w:t>
      </w:r>
      <w:r>
        <w:t>科</w:t>
      </w:r>
      <w:r>
        <w:rPr>
          <w:rFonts w:hint="eastAsia"/>
        </w:rPr>
        <w:t>70</w:t>
      </w:r>
      <w:r>
        <w:t>种，哺乳类</w:t>
      </w:r>
      <w:r>
        <w:rPr>
          <w:rFonts w:hint="eastAsia"/>
        </w:rPr>
        <w:t>7</w:t>
      </w:r>
      <w:r>
        <w:t>目</w:t>
      </w:r>
      <w:r>
        <w:rPr>
          <w:rFonts w:hint="eastAsia"/>
        </w:rPr>
        <w:t>11</w:t>
      </w:r>
      <w:r>
        <w:t>科</w:t>
      </w:r>
      <w:r>
        <w:rPr>
          <w:rFonts w:hint="eastAsia"/>
        </w:rPr>
        <w:t>22</w:t>
      </w:r>
      <w:r>
        <w:t>种，鸟类为1</w:t>
      </w:r>
      <w:r>
        <w:rPr>
          <w:rFonts w:hint="eastAsia"/>
        </w:rPr>
        <w:t>4</w:t>
      </w:r>
      <w:r>
        <w:t>目2</w:t>
      </w:r>
      <w:r>
        <w:rPr>
          <w:rFonts w:hint="eastAsia"/>
        </w:rPr>
        <w:t>4</w:t>
      </w:r>
      <w:r>
        <w:t>科</w:t>
      </w:r>
      <w:r>
        <w:rPr>
          <w:rFonts w:hint="eastAsia"/>
        </w:rPr>
        <w:t>37</w:t>
      </w:r>
      <w:r>
        <w:t>种，两栖动物有1目3科</w:t>
      </w:r>
      <w:r>
        <w:rPr>
          <w:rFonts w:hint="eastAsia"/>
        </w:rPr>
        <w:t>6</w:t>
      </w:r>
      <w:r>
        <w:t>种，爬行类动物有1目1科</w:t>
      </w:r>
      <w:r>
        <w:rPr>
          <w:rFonts w:hint="eastAsia"/>
        </w:rPr>
        <w:t>5</w:t>
      </w:r>
      <w:r>
        <w:t>种。</w:t>
      </w:r>
    </w:p>
    <w:p w14:paraId="346E7B25">
      <w:pPr>
        <w:ind w:firstLine="480"/>
        <w:rPr>
          <w:rFonts w:hAnsi="Times New Roman" w:cs="Times New Roman"/>
        </w:rPr>
      </w:pPr>
      <w:r>
        <w:t>包含森林、湿地两种自然生态系统及农田、工矿两种人工生态系统，主要生态系统为森林生态系统，仅森林生态系统面积已占评价区总面积的</w:t>
      </w:r>
      <w:r>
        <w:rPr>
          <w:rFonts w:hint="eastAsia"/>
        </w:rPr>
        <w:t>54.65</w:t>
      </w:r>
      <w:r>
        <w:t>%</w:t>
      </w:r>
      <w:r>
        <w:rPr>
          <w:rFonts w:hAnsi="Times New Roman" w:cs="Times New Roman"/>
        </w:rPr>
        <w:t>。</w:t>
      </w:r>
    </w:p>
    <w:p w14:paraId="6A555F38">
      <w:pPr>
        <w:pStyle w:val="4"/>
        <w:spacing w:before="180" w:after="120"/>
        <w:rPr>
          <w:rFonts w:hAnsi="Times New Roman" w:cs="Times New Roman"/>
        </w:rPr>
      </w:pPr>
      <w:bookmarkStart w:id="797" w:name="_Toc61013591"/>
      <w:bookmarkStart w:id="798" w:name="_Toc61014001"/>
      <w:bookmarkStart w:id="799" w:name="_Toc61013181"/>
      <w:bookmarkStart w:id="800" w:name="_Toc61013386"/>
      <w:bookmarkStart w:id="801" w:name="_Toc12649442"/>
      <w:bookmarkStart w:id="802" w:name="_Toc61012705"/>
      <w:bookmarkStart w:id="803" w:name="_Toc61013796"/>
      <w:r>
        <w:rPr>
          <w:rFonts w:hAnsi="Times New Roman" w:cs="Times New Roman"/>
        </w:rPr>
        <w:t>土壤环境</w:t>
      </w:r>
      <w:bookmarkEnd w:id="797"/>
      <w:bookmarkEnd w:id="798"/>
      <w:bookmarkEnd w:id="799"/>
      <w:bookmarkEnd w:id="800"/>
      <w:bookmarkEnd w:id="801"/>
      <w:bookmarkEnd w:id="802"/>
      <w:bookmarkEnd w:id="803"/>
    </w:p>
    <w:p w14:paraId="41441272">
      <w:pPr>
        <w:ind w:firstLine="480"/>
        <w:rPr>
          <w:kern w:val="0"/>
        </w:rPr>
      </w:pPr>
      <w:bookmarkStart w:id="804" w:name="_Toc521678743"/>
      <w:bookmarkStart w:id="805" w:name="_Toc485629125"/>
      <w:bookmarkStart w:id="806" w:name="_Toc488312038"/>
      <w:bookmarkStart w:id="807" w:name="_Toc485217561"/>
      <w:r>
        <w:t>根据监测结果可知，本项目土壤环境监测点位监测值满足《土壤环境质量建设用地土壤污染风险管控标准》（GB36600-2018）中第二类用地筛选值标准。</w:t>
      </w:r>
    </w:p>
    <w:p w14:paraId="387F4E2A">
      <w:pPr>
        <w:pStyle w:val="3"/>
        <w:spacing w:before="180" w:after="120"/>
        <w:rPr>
          <w:rFonts w:cs="Times New Roman"/>
          <w:kern w:val="0"/>
        </w:rPr>
      </w:pPr>
      <w:bookmarkStart w:id="808" w:name="_Toc76395530"/>
      <w:bookmarkStart w:id="809" w:name="_Toc61012706"/>
      <w:bookmarkStart w:id="810" w:name="_Toc61013387"/>
      <w:bookmarkStart w:id="811" w:name="_Toc61013182"/>
      <w:bookmarkStart w:id="812" w:name="_Toc234927727"/>
      <w:bookmarkStart w:id="813" w:name="_Toc61013797"/>
      <w:bookmarkStart w:id="814" w:name="_Toc61012986"/>
      <w:bookmarkStart w:id="815" w:name="_Toc12649443"/>
      <w:bookmarkStart w:id="816" w:name="_Toc61014002"/>
      <w:bookmarkStart w:id="817" w:name="_Toc61013592"/>
      <w:r>
        <w:rPr>
          <w:rFonts w:cs="Times New Roman"/>
          <w:kern w:val="0"/>
        </w:rPr>
        <w:t>污染物排放情况</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0FE517FC">
      <w:pPr>
        <w:pStyle w:val="4"/>
        <w:spacing w:before="180" w:after="120"/>
      </w:pPr>
      <w:r>
        <w:t>大气环境</w:t>
      </w:r>
    </w:p>
    <w:p w14:paraId="15075FDF">
      <w:pPr>
        <w:pStyle w:val="66"/>
        <w:rPr>
          <w:rFonts w:cs="Times New Roman"/>
        </w:rPr>
      </w:pPr>
      <w:bookmarkStart w:id="818" w:name="_Toc143839127"/>
      <w:r>
        <w:rPr>
          <w:rFonts w:hint="eastAsia" w:cs="Times New Roman"/>
        </w:rPr>
        <w:t>本项目运营期废气主要来自堆土场扬尘、开采过程扬尘及道路运输扬尘，采取洒水降尘措施，采区铲装粉尘排放量为0.203</w:t>
      </w:r>
      <w:r>
        <w:rPr>
          <w:rFonts w:cs="Times New Roman"/>
        </w:rPr>
        <w:t>t/a</w:t>
      </w:r>
      <w:r>
        <w:rPr>
          <w:rFonts w:hint="eastAsia" w:cs="Times New Roman"/>
        </w:rPr>
        <w:t>，采区道路运输扬尘排放量为</w:t>
      </w:r>
      <w:r>
        <w:rPr>
          <w:rFonts w:cs="Times New Roman"/>
        </w:rPr>
        <w:t>0.213t/a</w:t>
      </w:r>
      <w:r>
        <w:rPr>
          <w:rFonts w:hint="eastAsia" w:cs="Times New Roman"/>
        </w:rPr>
        <w:t>，剥采粉尘0.270t/a，堆土场粉尘0.206t/a，废气均以无组织形式排放。</w:t>
      </w:r>
    </w:p>
    <w:p w14:paraId="22A17162">
      <w:pPr>
        <w:pStyle w:val="66"/>
        <w:rPr>
          <w:rFonts w:cs="Times New Roman"/>
        </w:rPr>
      </w:pPr>
      <w:r>
        <w:rPr>
          <w:rFonts w:cs="Times New Roman"/>
        </w:rPr>
        <w:t>运输车辆加盖篷布，装卸过程采用湿式作业；集堆铲装过程产生的粉尘采取洒水降尘，</w:t>
      </w:r>
      <w:r>
        <w:rPr>
          <w:rFonts w:hint="eastAsia" w:cs="Times New Roman"/>
        </w:rPr>
        <w:t>堆土场采用苫盖措施，</w:t>
      </w:r>
      <w:r>
        <w:rPr>
          <w:rFonts w:cs="Times New Roman"/>
        </w:rPr>
        <w:t>以上粉尘采取措施后均以无组织形式排放。根据估算模式预测结果，无组织排放污染物经过自然风稀释扩散后，开采区下风向颗粒物浓度均能够满足《大气污染物综合排放标准》（GB16297-1996）表2无组织排放监控限值。</w:t>
      </w:r>
    </w:p>
    <w:p w14:paraId="1BFD75D5">
      <w:pPr>
        <w:pStyle w:val="4"/>
        <w:spacing w:before="180" w:after="120"/>
      </w:pPr>
      <w:r>
        <w:t>地表水环境</w:t>
      </w:r>
    </w:p>
    <w:p w14:paraId="54DEE80B">
      <w:pPr>
        <w:pStyle w:val="66"/>
        <w:rPr>
          <w:rFonts w:cs="Times New Roman"/>
        </w:rPr>
      </w:pPr>
      <w:r>
        <w:rPr>
          <w:rFonts w:cs="Times New Roman"/>
        </w:rPr>
        <w:t>本项目运营可实现废水零排放。因此，项目产生的废水均得到合理处理与利用而无外排，对区域地表水环境不会产生显著性不良影响。</w:t>
      </w:r>
    </w:p>
    <w:p w14:paraId="68C09100">
      <w:pPr>
        <w:pStyle w:val="4"/>
        <w:spacing w:before="180" w:after="120"/>
      </w:pPr>
      <w:r>
        <w:t>声环境</w:t>
      </w:r>
    </w:p>
    <w:p w14:paraId="1128B862">
      <w:pPr>
        <w:pStyle w:val="66"/>
        <w:rPr>
          <w:rFonts w:cs="Times New Roman"/>
        </w:rPr>
      </w:pPr>
      <w:r>
        <w:rPr>
          <w:rFonts w:cs="Times New Roman"/>
        </w:rPr>
        <w:t>开采区昼间能满足《工业企业厂界环境噪声排放标准》（GB12348-2008）中</w:t>
      </w:r>
      <w:r>
        <w:rPr>
          <w:rFonts w:hint="eastAsia" w:cs="Times New Roman"/>
        </w:rPr>
        <w:t>1</w:t>
      </w:r>
      <w:r>
        <w:rPr>
          <w:rFonts w:cs="Times New Roman"/>
        </w:rPr>
        <w:t>类区标准要求，因此本工程正常生产运行产生的噪声是可以被周围环境接受。</w:t>
      </w:r>
    </w:p>
    <w:p w14:paraId="3658F5BE">
      <w:pPr>
        <w:pStyle w:val="4"/>
        <w:spacing w:before="180" w:after="120"/>
      </w:pPr>
      <w:r>
        <w:t>固体废物环境</w:t>
      </w:r>
    </w:p>
    <w:p w14:paraId="0C6FE955">
      <w:pPr>
        <w:pStyle w:val="66"/>
        <w:rPr>
          <w:rFonts w:cs="Times New Roman"/>
        </w:rPr>
      </w:pPr>
      <w:r>
        <w:rPr>
          <w:rFonts w:cs="Times New Roman"/>
        </w:rPr>
        <w:t>本项目</w:t>
      </w:r>
      <w:r>
        <w:rPr>
          <w:rFonts w:hint="eastAsia" w:cs="Times New Roman"/>
        </w:rPr>
        <w:t>生活垃圾</w:t>
      </w:r>
      <w:r>
        <w:rPr>
          <w:rFonts w:cs="Times New Roman"/>
        </w:rPr>
        <w:t>由当地环卫部门统一处理；</w:t>
      </w:r>
      <w:r>
        <w:rPr>
          <w:rFonts w:hint="eastAsia" w:cs="Times New Roman"/>
        </w:rPr>
        <w:t>贮水池产生的沉渣用于矿区平整</w:t>
      </w:r>
      <w:r>
        <w:rPr>
          <w:rFonts w:cs="Times New Roman"/>
        </w:rPr>
        <w:t>。</w:t>
      </w:r>
    </w:p>
    <w:p w14:paraId="6ADD2F13">
      <w:pPr>
        <w:pStyle w:val="66"/>
        <w:rPr>
          <w:rFonts w:cs="Times New Roman"/>
        </w:rPr>
      </w:pPr>
      <w:r>
        <w:rPr>
          <w:rFonts w:cs="Times New Roman"/>
        </w:rPr>
        <w:t>营运期固体废物在采取以上处理、处置措施和综合利用措施后，不会对周围环境造成不良影响。</w:t>
      </w:r>
    </w:p>
    <w:p w14:paraId="1DBAFE67">
      <w:pPr>
        <w:pStyle w:val="4"/>
        <w:spacing w:before="180" w:after="120"/>
      </w:pPr>
      <w:r>
        <w:t>生态环境影响分析</w:t>
      </w:r>
    </w:p>
    <w:p w14:paraId="2FEA3B16">
      <w:pPr>
        <w:pStyle w:val="66"/>
        <w:rPr>
          <w:rFonts w:cs="Times New Roman"/>
        </w:rPr>
      </w:pPr>
      <w:r>
        <w:rPr>
          <w:rFonts w:hint="eastAsia" w:cs="Times New Roman"/>
        </w:rPr>
        <w:t>本项目服务期满后，建设单位应积极实施绿化和复垦等生态保护措施，将工程影响降至最低限度，以维持生态系统的稳定性。矿区所在区域恢复为林地，区域生境将逐步恢复，境内生物量也会有所提高。</w:t>
      </w:r>
    </w:p>
    <w:p w14:paraId="1CD119D2">
      <w:pPr>
        <w:pStyle w:val="66"/>
        <w:rPr>
          <w:rFonts w:cs="Times New Roman"/>
        </w:rPr>
      </w:pPr>
      <w:r>
        <w:rPr>
          <w:rFonts w:hint="eastAsia" w:cs="Times New Roman"/>
        </w:rPr>
        <w:t>工程占地及采矿活动，将对矿山附近区域陆生动物产生一定的干扰和影响。由于陆生动物适应和规避干扰能力较强，适宜其生存的范围大，矿山服务期受影响的陆生动物将在矿区附近其它区域重新寻找新的适宜的生境，随之对动植物的影响也逐渐减弱，故矿区服务期对该地区的陆生动物影响不大。</w:t>
      </w:r>
    </w:p>
    <w:p w14:paraId="13368F29">
      <w:pPr>
        <w:pStyle w:val="66"/>
        <w:rPr>
          <w:rFonts w:cs="Times New Roman"/>
        </w:rPr>
      </w:pPr>
      <w:r>
        <w:rPr>
          <w:rFonts w:hint="eastAsia" w:cs="Times New Roman"/>
        </w:rPr>
        <w:t>本工程结束后，通过对料场进行土地平整，恢复植被，可以在一定程度上改善区域内原有遗留施工迹地的生态环境现状。在严格落实生态防护措施条件下，拟建项目对生态影响是可以接受的。</w:t>
      </w:r>
    </w:p>
    <w:p w14:paraId="51589768">
      <w:pPr>
        <w:pStyle w:val="4"/>
        <w:spacing w:before="180" w:after="120"/>
      </w:pPr>
      <w:r>
        <w:t>服务期满后环境</w:t>
      </w:r>
    </w:p>
    <w:bookmarkEnd w:id="818"/>
    <w:p w14:paraId="1FE594A1">
      <w:pPr>
        <w:pStyle w:val="66"/>
        <w:rPr>
          <w:rFonts w:cs="Times New Roman"/>
        </w:rPr>
      </w:pPr>
      <w:r>
        <w:rPr>
          <w:rFonts w:hint="eastAsia" w:cs="Times New Roman"/>
          <w:lang w:bidi="en-US"/>
        </w:rPr>
        <w:t>矿山服务期满后，主要采取边坡整理工程、土地恢复工程、植被恢复工程等措施进行治理，恢复生态环境原貌，既可以改善开采区的景观，又可以防止发生水土流失。可使工程建设对生态环境的影响进一步降低。</w:t>
      </w:r>
    </w:p>
    <w:p w14:paraId="7C6A942F">
      <w:pPr>
        <w:pStyle w:val="3"/>
        <w:spacing w:before="180" w:after="120"/>
        <w:rPr>
          <w:rFonts w:cs="Times New Roman"/>
          <w:kern w:val="0"/>
        </w:rPr>
      </w:pPr>
      <w:bookmarkStart w:id="819" w:name="_Toc12649444"/>
      <w:bookmarkStart w:id="820" w:name="_Toc61013388"/>
      <w:bookmarkStart w:id="821" w:name="_Toc61012707"/>
      <w:bookmarkStart w:id="822" w:name="_Toc521678744"/>
      <w:bookmarkStart w:id="823" w:name="_Toc61013183"/>
      <w:bookmarkStart w:id="824" w:name="_Toc61012987"/>
      <w:bookmarkStart w:id="825" w:name="_Toc61013593"/>
      <w:bookmarkStart w:id="826" w:name="_Toc234927728"/>
      <w:bookmarkStart w:id="827" w:name="_Toc61013798"/>
      <w:bookmarkStart w:id="828" w:name="_Toc61014003"/>
      <w:bookmarkStart w:id="829" w:name="_Toc76395531"/>
      <w:bookmarkStart w:id="830" w:name="_Toc488312039"/>
      <w:r>
        <w:rPr>
          <w:rFonts w:cs="Times New Roman"/>
          <w:bCs/>
          <w:kern w:val="0"/>
        </w:rPr>
        <w:t>环境保护措施</w:t>
      </w:r>
      <w:r>
        <w:rPr>
          <w:rFonts w:cs="Times New Roman"/>
          <w:kern w:val="0"/>
        </w:rPr>
        <w:t>结论</w:t>
      </w:r>
      <w:bookmarkEnd w:id="796"/>
      <w:bookmarkEnd w:id="819"/>
      <w:bookmarkEnd w:id="820"/>
      <w:bookmarkEnd w:id="821"/>
      <w:bookmarkEnd w:id="822"/>
      <w:bookmarkEnd w:id="823"/>
      <w:bookmarkEnd w:id="824"/>
      <w:bookmarkEnd w:id="825"/>
      <w:bookmarkEnd w:id="826"/>
      <w:bookmarkEnd w:id="827"/>
      <w:bookmarkEnd w:id="828"/>
      <w:bookmarkEnd w:id="829"/>
      <w:bookmarkEnd w:id="830"/>
    </w:p>
    <w:p w14:paraId="5080CA5B">
      <w:pPr>
        <w:pStyle w:val="4"/>
        <w:spacing w:before="180" w:after="120"/>
      </w:pPr>
      <w:r>
        <w:rPr>
          <w:rFonts w:hint="eastAsia"/>
        </w:rPr>
        <w:t>施工期治理措施</w:t>
      </w:r>
    </w:p>
    <w:p w14:paraId="248914B4">
      <w:pPr>
        <w:pStyle w:val="5"/>
        <w:spacing w:before="120" w:after="120"/>
      </w:pPr>
      <w:r>
        <w:t>废气治理措施</w:t>
      </w:r>
    </w:p>
    <w:p w14:paraId="59D836EE">
      <w:pPr>
        <w:ind w:firstLine="480"/>
      </w:pPr>
      <w:r>
        <w:rPr>
          <w:rFonts w:hint="eastAsia"/>
        </w:rPr>
        <w:t>加强对机械、车辆的维修保养，禁止以柴油为燃料的施工机械超负荷工作，减少烟尘和颗粒物排放；对工程材料、砂石、土方等在工地内堆放，应当采取覆盖防尘网或者防尘布，定期洒水等措施。</w:t>
      </w:r>
    </w:p>
    <w:p w14:paraId="5F199029">
      <w:pPr>
        <w:pStyle w:val="5"/>
        <w:spacing w:before="120" w:after="120"/>
      </w:pPr>
      <w:r>
        <w:t>废水治理措施</w:t>
      </w:r>
    </w:p>
    <w:p w14:paraId="2936994D">
      <w:pPr>
        <w:ind w:firstLine="480"/>
      </w:pPr>
      <w:r>
        <w:rPr>
          <w:rFonts w:hint="eastAsia"/>
        </w:rPr>
        <w:t>本项目施工期主要为设备安装和基础施工，工程量较小，没有施工废水产生。生活污水排入防渗旱厕，定期清掏，外运堆肥，可保证本项目施工期生活污水不外排，对环境影响很小。</w:t>
      </w:r>
    </w:p>
    <w:p w14:paraId="365906B3">
      <w:pPr>
        <w:pStyle w:val="5"/>
        <w:spacing w:before="120" w:after="120"/>
      </w:pPr>
      <w:r>
        <w:t>噪声治理措施</w:t>
      </w:r>
    </w:p>
    <w:p w14:paraId="6020EEFB">
      <w:pPr>
        <w:ind w:firstLine="480"/>
      </w:pPr>
      <w:r>
        <w:rPr>
          <w:rFonts w:hint="eastAsia"/>
        </w:rPr>
        <w:t>（</w:t>
      </w:r>
      <w:r>
        <w:t>1）优先选用低噪声设备，做好施工机械的维护和保养，有效降低机械设备运转时噪声源强；</w:t>
      </w:r>
    </w:p>
    <w:p w14:paraId="531CE56E">
      <w:pPr>
        <w:ind w:firstLine="480"/>
      </w:pPr>
      <w:r>
        <w:rPr>
          <w:rFonts w:hint="eastAsia"/>
        </w:rPr>
        <w:t>（</w:t>
      </w:r>
      <w:r>
        <w:t>2）加强运输车辆管理，严禁超速超载。</w:t>
      </w:r>
    </w:p>
    <w:p w14:paraId="645CA7E5">
      <w:pPr>
        <w:pStyle w:val="5"/>
        <w:spacing w:before="120" w:after="120"/>
      </w:pPr>
      <w:r>
        <w:t>固废治理措施</w:t>
      </w:r>
    </w:p>
    <w:p w14:paraId="25B90A95">
      <w:pPr>
        <w:ind w:firstLine="480"/>
      </w:pPr>
      <w:r>
        <w:rPr>
          <w:rFonts w:hint="eastAsia"/>
        </w:rPr>
        <w:t>施工期固体废物主要为施工人员产生的生活垃圾、隔油沉淀池</w:t>
      </w:r>
      <w:r>
        <w:t>沉积泥砂</w:t>
      </w:r>
      <w:r>
        <w:rPr>
          <w:rFonts w:hint="eastAsia"/>
        </w:rPr>
        <w:t>及废油脂。职工生活垃圾由当地环卫部门统一处理、</w:t>
      </w:r>
      <w:r>
        <w:t>沉积泥砂</w:t>
      </w:r>
      <w:r>
        <w:rPr>
          <w:rFonts w:hint="eastAsia"/>
        </w:rPr>
        <w:t>用于矿坑土地平整；废油脂交由有资质单位回收处置。</w:t>
      </w:r>
    </w:p>
    <w:p w14:paraId="2415A8D2">
      <w:pPr>
        <w:pStyle w:val="5"/>
        <w:spacing w:before="120" w:after="120"/>
      </w:pPr>
      <w:r>
        <w:t>生态治理措施</w:t>
      </w:r>
    </w:p>
    <w:p w14:paraId="40B702DB">
      <w:pPr>
        <w:ind w:firstLine="480"/>
      </w:pPr>
      <w:r>
        <w:rPr>
          <w:rFonts w:hint="eastAsia"/>
        </w:rPr>
        <w:t>合理选择施工时间和方式，避免雨天及大风天气施工，减少水土流失。</w:t>
      </w:r>
    </w:p>
    <w:p w14:paraId="431EC057">
      <w:pPr>
        <w:pStyle w:val="4"/>
        <w:spacing w:before="180" w:after="120"/>
      </w:pPr>
      <w:r>
        <w:t>营运期治理措施</w:t>
      </w:r>
    </w:p>
    <w:p w14:paraId="3C9B67F5">
      <w:pPr>
        <w:pStyle w:val="5"/>
        <w:spacing w:before="120" w:after="120"/>
      </w:pPr>
      <w:r>
        <w:t>废气治理措施</w:t>
      </w:r>
    </w:p>
    <w:p w14:paraId="53411730">
      <w:pPr>
        <w:ind w:firstLine="480"/>
      </w:pPr>
      <w:r>
        <w:rPr>
          <w:rFonts w:hint="eastAsia"/>
        </w:rPr>
        <w:t>运输车辆加盖篷布，装卸过程采用湿式作业；集堆铲装过程产生的粉尘采取洒水降尘，以上粉尘采取措施后均以无组织形式排放。根据估算模式预测结果，无组织排放污染物经过自然风稀释扩散后，开采区下风向颗粒物浓度均能够满足《大气污染物综合排放标准》（</w:t>
      </w:r>
      <w:r>
        <w:t>GB16297-1996）表2无组织排放监控限值。</w:t>
      </w:r>
    </w:p>
    <w:p w14:paraId="3BB95444">
      <w:pPr>
        <w:pStyle w:val="5"/>
        <w:spacing w:before="120" w:after="120"/>
      </w:pPr>
      <w:r>
        <w:t>废水治理措施</w:t>
      </w:r>
    </w:p>
    <w:p w14:paraId="363753A5">
      <w:pPr>
        <w:tabs>
          <w:tab w:val="left" w:pos="2268"/>
        </w:tabs>
        <w:ind w:firstLine="480"/>
      </w:pPr>
      <w:r>
        <w:rPr>
          <w:rFonts w:hint="eastAsia"/>
        </w:rPr>
        <w:t>根据地势在矿区四周设置底宽</w:t>
      </w:r>
      <w:r>
        <w:t>0.6m，深0.5m，长1466m截流沟，截流沟排水导出矿区外；在开采境界内汇水汇入630m</w:t>
      </w:r>
      <w:r>
        <w:rPr>
          <w:vertAlign w:val="superscript"/>
        </w:rPr>
        <w:t>3</w:t>
      </w:r>
      <w:r>
        <w:t>的贮水池中，作为降尘用水使用；生活污水排入防渗旱厕，定期清掏，外运堆肥。</w:t>
      </w:r>
    </w:p>
    <w:p w14:paraId="0E1A236D">
      <w:pPr>
        <w:pStyle w:val="5"/>
        <w:spacing w:before="120" w:after="120"/>
      </w:pPr>
      <w:r>
        <w:t>噪声防治措施</w:t>
      </w:r>
    </w:p>
    <w:p w14:paraId="702FD353">
      <w:pPr>
        <w:ind w:firstLine="480"/>
      </w:pPr>
      <w:r>
        <w:t>1、采矿场噪声控制措施</w:t>
      </w:r>
    </w:p>
    <w:p w14:paraId="5E1D1A96">
      <w:pPr>
        <w:ind w:firstLine="480"/>
      </w:pPr>
      <w:r>
        <w:rPr>
          <w:rFonts w:hint="eastAsia"/>
        </w:rPr>
        <w:t>工艺设计中对产生噪声较大的设备采取降低噪声的措施；</w:t>
      </w:r>
    </w:p>
    <w:p w14:paraId="0959C8A3">
      <w:pPr>
        <w:ind w:firstLine="480"/>
      </w:pPr>
      <w:r>
        <w:t>2、交通噪声控制措施</w:t>
      </w:r>
    </w:p>
    <w:p w14:paraId="39E88C30">
      <w:pPr>
        <w:ind w:firstLine="480"/>
      </w:pPr>
      <w:r>
        <w:rPr>
          <w:rFonts w:hint="eastAsia"/>
        </w:rPr>
        <w:t>（</w:t>
      </w:r>
      <w:r>
        <w:t>1）建设单位制定运输计划，将运输任务安排在白天，夜间禁止运输；</w:t>
      </w:r>
    </w:p>
    <w:p w14:paraId="3A2183CC">
      <w:pPr>
        <w:ind w:firstLine="480"/>
      </w:pPr>
      <w:r>
        <w:rPr>
          <w:rFonts w:hint="eastAsia"/>
        </w:rPr>
        <w:t>（</w:t>
      </w:r>
      <w:r>
        <w:t>2）运输车辆经过沿线村庄时将车速控制在20km/h以下、禁止鸣笛；</w:t>
      </w:r>
    </w:p>
    <w:p w14:paraId="10451BE3">
      <w:pPr>
        <w:ind w:firstLine="480"/>
      </w:pPr>
      <w:r>
        <w:rPr>
          <w:rFonts w:hint="eastAsia"/>
        </w:rPr>
        <w:t>经降噪措施降噪后，项目对场界外环境噪声影响很小，满足《工业企业厂界环境噪声排放标准》（</w:t>
      </w:r>
      <w:r>
        <w:t>GB12348-2008）中1类标准要求。</w:t>
      </w:r>
    </w:p>
    <w:p w14:paraId="5FED10F3">
      <w:pPr>
        <w:pStyle w:val="5"/>
        <w:spacing w:before="120" w:after="120"/>
      </w:pPr>
      <w:r>
        <w:t>固废防治措施</w:t>
      </w:r>
    </w:p>
    <w:p w14:paraId="1DD4B70E">
      <w:pPr>
        <w:ind w:firstLine="480"/>
      </w:pPr>
      <w:r>
        <w:rPr>
          <w:rFonts w:hint="eastAsia"/>
        </w:rPr>
        <w:t>本项目生活垃圾由当地环卫部门统一处理；贮水池沉渣定期清掏，用于矿区土地平整等。</w:t>
      </w:r>
    </w:p>
    <w:p w14:paraId="73AC4D8B">
      <w:pPr>
        <w:pStyle w:val="5"/>
        <w:spacing w:before="120" w:after="120"/>
      </w:pPr>
      <w:r>
        <w:t>风险防治措施</w:t>
      </w:r>
    </w:p>
    <w:p w14:paraId="4E9B0E3F">
      <w:pPr>
        <w:ind w:firstLine="480"/>
      </w:pPr>
      <w:r>
        <w:rPr>
          <w:rFonts w:hint="eastAsia"/>
        </w:rPr>
        <w:t>按照《突发环境事件应急预案管理暂行办法》和《企业事业单位突发环境事件应急预案备案管理办法（试行）》等相关文件要求编制突发环境事件应急预案，并在相应的生态环境主管部门进行备案。</w:t>
      </w:r>
    </w:p>
    <w:p w14:paraId="0743AED0">
      <w:pPr>
        <w:pStyle w:val="5"/>
        <w:spacing w:before="120" w:after="120"/>
      </w:pPr>
      <w:r>
        <w:t>生态防治措施</w:t>
      </w:r>
    </w:p>
    <w:p w14:paraId="0D720CCA">
      <w:pPr>
        <w:ind w:firstLine="480"/>
      </w:pPr>
      <w:r>
        <w:t>通过落实植被避让、水土保持、野生动物减缓、矿山闭坑复绿等生态保护措施及常态化生态监测管理措施，可实时监控开采扰动及后期生态恢复情况，最大限度降低施工、运营阶段对区域生态环境的不利影响。综上所述，项目永久占地占评价区总面积比例较小，虽临近生态保护红线但无占地侵入，同时配套完善扬尘、噪声、水土流失、植被恢复等生态保护对策，大幅削减矿山开发带来的生态扰动，工程建设对生态保护红线及周边区域生态系统的影响整体可控、可恢复，从生态影响角度分析，本项目建设具备生态可行性。</w:t>
      </w:r>
    </w:p>
    <w:p w14:paraId="5C27C934">
      <w:pPr>
        <w:pStyle w:val="4"/>
        <w:spacing w:before="180" w:after="120"/>
      </w:pPr>
      <w:r>
        <w:t>服务期满后防治措施</w:t>
      </w:r>
    </w:p>
    <w:p w14:paraId="1F239B3C">
      <w:pPr>
        <w:ind w:firstLine="480"/>
      </w:pPr>
      <w:r>
        <w:rPr>
          <w:rFonts w:hint="eastAsia"/>
        </w:rPr>
        <w:t>矿山服务期满后，严格按照《矿山生态环境保护与恢复治理技术规范（试行）》（</w:t>
      </w:r>
      <w:r>
        <w:t>HJ651-2013）将全部进行生态恢复，总复绿面积为</w:t>
      </w:r>
      <w:r>
        <w:rPr>
          <w:rFonts w:hint="eastAsia"/>
        </w:rPr>
        <w:t>0.1101</w:t>
      </w:r>
      <w:r>
        <w:rPr>
          <w:rFonts w:hint="eastAsia" w:cs="Times New Roman"/>
        </w:rPr>
        <w:t>km</w:t>
      </w:r>
      <w:r>
        <w:rPr>
          <w:rFonts w:hint="eastAsia" w:cs="Times New Roman"/>
          <w:vertAlign w:val="superscript"/>
        </w:rPr>
        <w:t>2</w:t>
      </w:r>
      <w:r>
        <w:t>。</w:t>
      </w:r>
    </w:p>
    <w:p w14:paraId="1DB76CEC">
      <w:pPr>
        <w:pStyle w:val="3"/>
        <w:spacing w:before="180" w:after="120"/>
      </w:pPr>
      <w:bookmarkStart w:id="831" w:name="_Toc234927729"/>
      <w:r>
        <w:t>公众意见采纳情况</w:t>
      </w:r>
      <w:bookmarkEnd w:id="831"/>
    </w:p>
    <w:p w14:paraId="4BD1CD7E">
      <w:pPr>
        <w:ind w:firstLine="480"/>
      </w:pPr>
      <w:r>
        <w:rPr>
          <w:rFonts w:hint="eastAsia"/>
        </w:rPr>
        <w:t>在本报告书编制过程中，建设单位按照《环境影响评价公众参与办法》（生态环境部部令第</w:t>
      </w:r>
      <w:r>
        <w:t>4号）的有关规定组织开展了公众参与工作，公众参与期间，建设单位未收到公众对本项目提出的环境影响相关意见。</w:t>
      </w:r>
    </w:p>
    <w:p w14:paraId="05F1C7F9">
      <w:pPr>
        <w:pStyle w:val="3"/>
        <w:spacing w:before="180" w:after="120"/>
      </w:pPr>
      <w:bookmarkStart w:id="832" w:name="_Toc234927730"/>
      <w:r>
        <w:t>环境经济损益分析结论</w:t>
      </w:r>
      <w:bookmarkEnd w:id="832"/>
    </w:p>
    <w:p w14:paraId="3BC2995A">
      <w:pPr>
        <w:ind w:firstLine="480"/>
      </w:pPr>
      <w:r>
        <w:rPr>
          <w:rFonts w:hint="eastAsia"/>
        </w:rPr>
        <w:t>通过对本项目建设的社会、经济和环境效益分析可知，在落实本评价所提出各项污染防治措施的前提下，本项目的建设能够达到经济效益、社会效益和环境效益相统一的要求，既为地方经济发展做出贡献，又通过环保投资减少污染物排放量，使污染物排放量在环境容量容许的范围内。本项目的建设满足可持续发展的要求，项目建设是可行的。</w:t>
      </w:r>
      <w:bookmarkStart w:id="833" w:name="_Toc61013600"/>
      <w:bookmarkStart w:id="834" w:name="_Toc61012714"/>
      <w:bookmarkStart w:id="835" w:name="_Toc402171381"/>
      <w:bookmarkStart w:id="836" w:name="_Toc61013395"/>
      <w:bookmarkStart w:id="837" w:name="_Toc12649451"/>
      <w:bookmarkStart w:id="838" w:name="_Toc61014010"/>
      <w:bookmarkStart w:id="839" w:name="_Toc61013805"/>
      <w:bookmarkStart w:id="840" w:name="_Toc61013190"/>
    </w:p>
    <w:p w14:paraId="2390BB92">
      <w:pPr>
        <w:pStyle w:val="3"/>
        <w:spacing w:before="180" w:after="120"/>
      </w:pPr>
      <w:bookmarkStart w:id="841" w:name="_Toc234927731"/>
      <w:r>
        <w:t>环境管理与监测计划</w:t>
      </w:r>
      <w:bookmarkEnd w:id="841"/>
    </w:p>
    <w:p w14:paraId="40D1E7F8">
      <w:pPr>
        <w:ind w:firstLine="480"/>
      </w:pPr>
      <w:r>
        <w:t>本项目加强施工期及运营期环境管理，制定运营期环境监测计划，排放口实行规范化管理，严格执行“三同时”制度，确保运营期各项污染物能够达标排放，满足环保要求。</w:t>
      </w:r>
    </w:p>
    <w:bookmarkEnd w:id="833"/>
    <w:bookmarkEnd w:id="834"/>
    <w:bookmarkEnd w:id="835"/>
    <w:bookmarkEnd w:id="836"/>
    <w:bookmarkEnd w:id="837"/>
    <w:bookmarkEnd w:id="838"/>
    <w:bookmarkEnd w:id="839"/>
    <w:bookmarkEnd w:id="840"/>
    <w:p w14:paraId="704BC03D">
      <w:pPr>
        <w:pStyle w:val="3"/>
        <w:spacing w:before="180" w:after="120"/>
        <w:rPr>
          <w:rFonts w:cs="Times New Roman"/>
          <w:bCs/>
        </w:rPr>
      </w:pPr>
      <w:bookmarkStart w:id="842" w:name="_Toc253118519"/>
      <w:bookmarkStart w:id="843" w:name="_Toc61013401"/>
      <w:bookmarkStart w:id="844" w:name="_Toc402159760"/>
      <w:bookmarkStart w:id="845" w:name="_Toc61013811"/>
      <w:bookmarkStart w:id="846" w:name="_Toc61014016"/>
      <w:bookmarkStart w:id="847" w:name="_Toc76395536"/>
      <w:bookmarkStart w:id="848" w:name="_Toc12649457"/>
      <w:bookmarkStart w:id="849" w:name="_Toc402607535"/>
      <w:bookmarkStart w:id="850" w:name="_Toc61013196"/>
      <w:bookmarkStart w:id="851" w:name="_Toc521678749"/>
      <w:bookmarkStart w:id="852" w:name="_Toc269147135"/>
      <w:bookmarkStart w:id="853" w:name="_Toc250351479"/>
      <w:bookmarkStart w:id="854" w:name="_Toc234927732"/>
      <w:bookmarkStart w:id="855" w:name="_Toc61012991"/>
      <w:bookmarkStart w:id="856" w:name="_Toc306029173"/>
      <w:bookmarkStart w:id="857" w:name="_Toc61013606"/>
      <w:bookmarkStart w:id="858" w:name="_Toc406239926"/>
      <w:bookmarkStart w:id="859" w:name="_Toc393806307"/>
      <w:bookmarkStart w:id="860" w:name="_Toc61012720"/>
      <w:bookmarkStart w:id="861" w:name="_Toc249595685"/>
      <w:r>
        <w:rPr>
          <w:rFonts w:cs="Times New Roman"/>
        </w:rPr>
        <w:t>综合评价结论</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14:paraId="0529D013">
      <w:pPr>
        <w:ind w:firstLine="480"/>
        <w:rPr>
          <w:lang w:val="zh-CN"/>
        </w:rPr>
      </w:pPr>
      <w:r>
        <w:rPr>
          <w:lang w:val="zh-CN"/>
        </w:rPr>
        <w:t>本项目建设符合国家产业政策，与黑龙江省及</w:t>
      </w:r>
      <w:r>
        <w:t>黑河市</w:t>
      </w:r>
      <w:r>
        <w:rPr>
          <w:lang w:val="zh-CN"/>
        </w:rPr>
        <w:t>相关规划相协调；污染物排放符合国家与地方法律法规及相关标准的要求；服务期满后，对矿山进行治理，恢复地表植被；通过采取本报告书中提出的环境保护措施与风险防范措施情况下，项目产生的不利影响可以得到减免和有效控制。因此，从环保角度出发，本项目建设是可行的。</w:t>
      </w:r>
    </w:p>
    <w:p w14:paraId="6907C5BD">
      <w:pPr>
        <w:ind w:firstLine="480"/>
        <w:rPr>
          <w:lang w:val="zh-CN"/>
        </w:rPr>
      </w:pPr>
    </w:p>
    <w:p w14:paraId="301958D5">
      <w:pPr>
        <w:ind w:firstLine="480"/>
        <w:sectPr>
          <w:pgSz w:w="11906" w:h="16838"/>
          <w:pgMar w:top="1440" w:right="1797" w:bottom="1440" w:left="1797" w:header="851" w:footer="992" w:gutter="0"/>
          <w:cols w:space="425" w:num="1"/>
          <w:docGrid w:linePitch="312" w:charSpace="0"/>
        </w:sectPr>
      </w:pPr>
    </w:p>
    <w:p w14:paraId="56CF7271">
      <w:pPr>
        <w:pStyle w:val="64"/>
        <w:adjustRightInd w:val="0"/>
        <w:snapToGrid w:val="0"/>
        <w:spacing w:before="180" w:after="180" w:line="480" w:lineRule="exact"/>
        <w:ind w:firstLine="0" w:firstLineChars="0"/>
        <w:outlineLvl w:val="0"/>
        <w:rPr>
          <w:rFonts w:ascii="Times New Roman" w:hAnsi="Times New Roman" w:cs="Times New Roman"/>
          <w:b/>
          <w:szCs w:val="32"/>
        </w:rPr>
      </w:pPr>
      <w:bookmarkStart w:id="862" w:name="_Toc234927733"/>
      <w:bookmarkStart w:id="863" w:name="_Toc11297"/>
      <w:r>
        <w:rPr>
          <w:rFonts w:ascii="Times New Roman" w:hAnsi="Times New Roman" w:cs="Times New Roman"/>
          <w:b/>
          <w:szCs w:val="32"/>
        </w:rPr>
        <w:t>附表</w:t>
      </w:r>
      <w:bookmarkEnd w:id="862"/>
      <w:bookmarkEnd w:id="863"/>
    </w:p>
    <w:p w14:paraId="2BFFCE17">
      <w:pPr>
        <w:pStyle w:val="3"/>
        <w:numPr>
          <w:ilvl w:val="0"/>
          <w:numId w:val="0"/>
        </w:numPr>
        <w:spacing w:before="180" w:after="120" w:line="240" w:lineRule="auto"/>
        <w:ind w:left="142"/>
        <w:jc w:val="center"/>
        <w:rPr>
          <w:rFonts w:cs="Times New Roman"/>
          <w:bCs/>
          <w:sz w:val="24"/>
        </w:rPr>
      </w:pPr>
      <w:bookmarkStart w:id="864" w:name="_Toc234927734"/>
      <w:bookmarkStart w:id="865" w:name="_Toc15118"/>
      <w:r>
        <w:rPr>
          <w:rFonts w:cs="Times New Roman"/>
          <w:sz w:val="24"/>
        </w:rPr>
        <w:t>附表1</w:t>
      </w:r>
      <w:r>
        <w:rPr>
          <w:rFonts w:hint="eastAsia" w:cs="Times New Roman"/>
          <w:sz w:val="24"/>
        </w:rPr>
        <w:t xml:space="preserve"> </w:t>
      </w:r>
      <w:r>
        <w:rPr>
          <w:rFonts w:hint="eastAsia" w:cs="Times New Roman"/>
          <w:bCs/>
          <w:sz w:val="24"/>
        </w:rPr>
        <w:t>植物样方调查表</w:t>
      </w:r>
      <w:bookmarkEnd w:id="864"/>
      <w:bookmarkEnd w:id="865"/>
    </w:p>
    <w:p w14:paraId="165B819F">
      <w:pPr>
        <w:pStyle w:val="178"/>
      </w:pPr>
      <w:r>
        <w:t>表</w:t>
      </w:r>
      <w:r>
        <w:rPr>
          <w:rFonts w:hint="eastAsia"/>
        </w:rPr>
        <w:t xml:space="preserve">1-1  </w:t>
      </w:r>
      <w:r>
        <w:t>蒙古栎样方表（1）</w:t>
      </w:r>
    </w:p>
    <w:tbl>
      <w:tblPr>
        <w:tblStyle w:val="36"/>
        <w:tblW w:w="4996"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3913"/>
        <w:gridCol w:w="4608"/>
      </w:tblGrid>
      <w:tr w14:paraId="0D47C2D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2CEA212F">
            <w:pPr>
              <w:pStyle w:val="179"/>
            </w:pPr>
            <w:r>
              <w:t>地点</w:t>
            </w:r>
          </w:p>
        </w:tc>
        <w:tc>
          <w:tcPr>
            <w:tcW w:w="2703" w:type="pct"/>
            <w:vAlign w:val="center"/>
          </w:tcPr>
          <w:p w14:paraId="734D4B26">
            <w:pPr>
              <w:pStyle w:val="179"/>
            </w:pPr>
            <w:r>
              <w:t>嫩江市塔溪乡马厂河</w:t>
            </w:r>
          </w:p>
        </w:tc>
      </w:tr>
      <w:tr w14:paraId="40D74A5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7DBA9C39">
            <w:pPr>
              <w:pStyle w:val="179"/>
            </w:pPr>
            <w:r>
              <w:t>样地面积（m</w:t>
            </w:r>
            <w:r>
              <w:rPr>
                <w:vertAlign w:val="superscript"/>
              </w:rPr>
              <w:t>2</w:t>
            </w:r>
            <w:r>
              <w:t>）</w:t>
            </w:r>
          </w:p>
        </w:tc>
        <w:tc>
          <w:tcPr>
            <w:tcW w:w="2703" w:type="pct"/>
            <w:vAlign w:val="center"/>
          </w:tcPr>
          <w:p w14:paraId="7F872B99">
            <w:pPr>
              <w:pStyle w:val="179"/>
            </w:pPr>
            <w:r>
              <w:t>400</w:t>
            </w:r>
          </w:p>
        </w:tc>
      </w:tr>
      <w:tr w14:paraId="13D6C1E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362985C6">
            <w:pPr>
              <w:pStyle w:val="179"/>
            </w:pPr>
            <w:r>
              <w:t>经纬度</w:t>
            </w:r>
          </w:p>
        </w:tc>
        <w:tc>
          <w:tcPr>
            <w:tcW w:w="2703" w:type="pct"/>
            <w:vAlign w:val="center"/>
          </w:tcPr>
          <w:p w14:paraId="38844E31">
            <w:pPr>
              <w:pStyle w:val="179"/>
            </w:pPr>
            <w:r>
              <w:t>126°18'11.7720"E，49°27'6.5520"N</w:t>
            </w:r>
          </w:p>
        </w:tc>
      </w:tr>
      <w:tr w14:paraId="5EBD250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7687B6C3">
            <w:pPr>
              <w:pStyle w:val="179"/>
            </w:pPr>
            <w:r>
              <w:t>海拔（m）</w:t>
            </w:r>
          </w:p>
        </w:tc>
        <w:tc>
          <w:tcPr>
            <w:tcW w:w="2703" w:type="pct"/>
            <w:vAlign w:val="center"/>
          </w:tcPr>
          <w:p w14:paraId="7107580D">
            <w:pPr>
              <w:pStyle w:val="179"/>
            </w:pPr>
            <w:r>
              <w:t>418</w:t>
            </w:r>
          </w:p>
        </w:tc>
      </w:tr>
      <w:tr w14:paraId="2FD7566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41CA124D">
            <w:pPr>
              <w:pStyle w:val="179"/>
            </w:pPr>
            <w:r>
              <w:t>坡向</w:t>
            </w:r>
          </w:p>
        </w:tc>
        <w:tc>
          <w:tcPr>
            <w:tcW w:w="2703" w:type="pct"/>
            <w:vAlign w:val="center"/>
          </w:tcPr>
          <w:p w14:paraId="047DA5CF">
            <w:pPr>
              <w:pStyle w:val="179"/>
            </w:pPr>
            <w:r>
              <w:t>-</w:t>
            </w:r>
          </w:p>
        </w:tc>
      </w:tr>
      <w:tr w14:paraId="0835256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6B461C82">
            <w:pPr>
              <w:pStyle w:val="179"/>
            </w:pPr>
            <w:r>
              <w:t>坡度（°）</w:t>
            </w:r>
          </w:p>
        </w:tc>
        <w:tc>
          <w:tcPr>
            <w:tcW w:w="2703" w:type="pct"/>
            <w:vAlign w:val="center"/>
          </w:tcPr>
          <w:p w14:paraId="6798AF36">
            <w:pPr>
              <w:pStyle w:val="179"/>
            </w:pPr>
            <w:r>
              <w:t>-</w:t>
            </w:r>
          </w:p>
        </w:tc>
      </w:tr>
      <w:tr w14:paraId="1935F5B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13A29D92">
            <w:pPr>
              <w:pStyle w:val="179"/>
            </w:pPr>
            <w:r>
              <w:t>总盖度（%）</w:t>
            </w:r>
          </w:p>
        </w:tc>
        <w:tc>
          <w:tcPr>
            <w:tcW w:w="2703" w:type="pct"/>
            <w:vAlign w:val="center"/>
          </w:tcPr>
          <w:p w14:paraId="35D8F4AB">
            <w:pPr>
              <w:pStyle w:val="179"/>
            </w:pPr>
            <w:r>
              <w:t>64</w:t>
            </w:r>
          </w:p>
        </w:tc>
      </w:tr>
      <w:tr w14:paraId="107C0C3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0ED02519">
            <w:pPr>
              <w:pStyle w:val="179"/>
            </w:pPr>
            <w:r>
              <w:t>乔木层平均高度（m）</w:t>
            </w:r>
          </w:p>
        </w:tc>
        <w:tc>
          <w:tcPr>
            <w:tcW w:w="2703" w:type="pct"/>
            <w:vAlign w:val="center"/>
          </w:tcPr>
          <w:p w14:paraId="76A9D8B0">
            <w:pPr>
              <w:pStyle w:val="179"/>
            </w:pPr>
            <w:r>
              <w:t>15.8</w:t>
            </w:r>
          </w:p>
        </w:tc>
      </w:tr>
      <w:tr w14:paraId="1132BFD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4DC5E600">
            <w:pPr>
              <w:pStyle w:val="179"/>
            </w:pPr>
            <w:r>
              <w:t>乔木层盖度（%）</w:t>
            </w:r>
          </w:p>
        </w:tc>
        <w:tc>
          <w:tcPr>
            <w:tcW w:w="2703" w:type="pct"/>
            <w:vAlign w:val="center"/>
          </w:tcPr>
          <w:p w14:paraId="65E6CC50">
            <w:pPr>
              <w:pStyle w:val="179"/>
            </w:pPr>
            <w:r>
              <w:t>48</w:t>
            </w:r>
          </w:p>
        </w:tc>
      </w:tr>
      <w:tr w14:paraId="7FED345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14BD3A9B">
            <w:pPr>
              <w:pStyle w:val="179"/>
            </w:pPr>
            <w:r>
              <w:t>灌木层高度（m）</w:t>
            </w:r>
          </w:p>
        </w:tc>
        <w:tc>
          <w:tcPr>
            <w:tcW w:w="2703" w:type="pct"/>
            <w:vAlign w:val="center"/>
          </w:tcPr>
          <w:p w14:paraId="716D50B8">
            <w:pPr>
              <w:pStyle w:val="179"/>
            </w:pPr>
            <w:r>
              <w:t>0.8</w:t>
            </w:r>
          </w:p>
        </w:tc>
      </w:tr>
      <w:tr w14:paraId="2858CCE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60FDB54A">
            <w:pPr>
              <w:pStyle w:val="179"/>
            </w:pPr>
            <w:r>
              <w:t>灌木层盖度（%）</w:t>
            </w:r>
          </w:p>
        </w:tc>
        <w:tc>
          <w:tcPr>
            <w:tcW w:w="2703" w:type="pct"/>
            <w:vAlign w:val="center"/>
          </w:tcPr>
          <w:p w14:paraId="6F986CEF">
            <w:pPr>
              <w:pStyle w:val="179"/>
            </w:pPr>
            <w:r>
              <w:t>12</w:t>
            </w:r>
          </w:p>
        </w:tc>
      </w:tr>
      <w:tr w14:paraId="7A9066D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3F65C189">
            <w:pPr>
              <w:pStyle w:val="179"/>
            </w:pPr>
            <w:r>
              <w:t>草本层高度（cm）</w:t>
            </w:r>
          </w:p>
        </w:tc>
        <w:tc>
          <w:tcPr>
            <w:tcW w:w="2703" w:type="pct"/>
            <w:vAlign w:val="center"/>
          </w:tcPr>
          <w:p w14:paraId="7A677A81">
            <w:pPr>
              <w:pStyle w:val="179"/>
            </w:pPr>
            <w:r>
              <w:t>14</w:t>
            </w:r>
          </w:p>
        </w:tc>
      </w:tr>
      <w:tr w14:paraId="4DBD824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6BECEE1F">
            <w:pPr>
              <w:pStyle w:val="179"/>
            </w:pPr>
            <w:r>
              <w:t>草本层盖度（%）</w:t>
            </w:r>
          </w:p>
        </w:tc>
        <w:tc>
          <w:tcPr>
            <w:tcW w:w="2703" w:type="pct"/>
            <w:vAlign w:val="center"/>
          </w:tcPr>
          <w:p w14:paraId="03903874">
            <w:pPr>
              <w:pStyle w:val="179"/>
            </w:pPr>
            <w:r>
              <w:t>30</w:t>
            </w:r>
          </w:p>
        </w:tc>
      </w:tr>
      <w:tr w14:paraId="4A56F50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2D8C18CA">
            <w:pPr>
              <w:pStyle w:val="179"/>
            </w:pPr>
            <w:r>
              <w:t>乔木层</w:t>
            </w:r>
          </w:p>
        </w:tc>
        <w:tc>
          <w:tcPr>
            <w:tcW w:w="2703" w:type="pct"/>
            <w:vAlign w:val="center"/>
          </w:tcPr>
          <w:p w14:paraId="6F7C8C03">
            <w:pPr>
              <w:pStyle w:val="179"/>
            </w:pPr>
            <w:r>
              <w:t>多优度-群聚度</w:t>
            </w:r>
          </w:p>
        </w:tc>
      </w:tr>
      <w:tr w14:paraId="362667E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04D6D2EB">
            <w:pPr>
              <w:pStyle w:val="179"/>
            </w:pPr>
            <w:r>
              <w:t>山杨</w:t>
            </w:r>
          </w:p>
        </w:tc>
        <w:tc>
          <w:tcPr>
            <w:tcW w:w="2703" w:type="pct"/>
            <w:vAlign w:val="center"/>
          </w:tcPr>
          <w:p w14:paraId="0B93B3A7">
            <w:pPr>
              <w:pStyle w:val="179"/>
            </w:pPr>
            <w:r>
              <w:t>4.1</w:t>
            </w:r>
          </w:p>
        </w:tc>
      </w:tr>
      <w:tr w14:paraId="6F84FE6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2129F32C">
            <w:pPr>
              <w:pStyle w:val="179"/>
            </w:pPr>
            <w:r>
              <w:t>落叶松</w:t>
            </w:r>
          </w:p>
        </w:tc>
        <w:tc>
          <w:tcPr>
            <w:tcW w:w="2703" w:type="pct"/>
            <w:vAlign w:val="center"/>
          </w:tcPr>
          <w:p w14:paraId="178C3CFF">
            <w:pPr>
              <w:pStyle w:val="179"/>
            </w:pPr>
            <w:r>
              <w:t>2.1</w:t>
            </w:r>
          </w:p>
        </w:tc>
      </w:tr>
      <w:tr w14:paraId="038C1F5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396C9E63">
            <w:pPr>
              <w:pStyle w:val="179"/>
            </w:pPr>
            <w:r>
              <w:t>-</w:t>
            </w:r>
          </w:p>
        </w:tc>
        <w:tc>
          <w:tcPr>
            <w:tcW w:w="2703" w:type="pct"/>
            <w:vAlign w:val="center"/>
          </w:tcPr>
          <w:p w14:paraId="5FDAC83C">
            <w:pPr>
              <w:pStyle w:val="179"/>
            </w:pPr>
            <w:r>
              <w:t>-</w:t>
            </w:r>
          </w:p>
        </w:tc>
      </w:tr>
      <w:tr w14:paraId="4ABD667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002F5D29">
            <w:pPr>
              <w:pStyle w:val="179"/>
            </w:pPr>
            <w:r>
              <w:t>灌木层</w:t>
            </w:r>
          </w:p>
        </w:tc>
        <w:tc>
          <w:tcPr>
            <w:tcW w:w="2703" w:type="pct"/>
            <w:vAlign w:val="center"/>
          </w:tcPr>
          <w:p w14:paraId="093EA824">
            <w:pPr>
              <w:pStyle w:val="179"/>
            </w:pPr>
            <w:r>
              <w:t>多优度-群聚度</w:t>
            </w:r>
          </w:p>
        </w:tc>
      </w:tr>
      <w:tr w14:paraId="4AFC961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5E519779">
            <w:pPr>
              <w:pStyle w:val="179"/>
            </w:pPr>
            <w:r>
              <w:t>榛</w:t>
            </w:r>
          </w:p>
        </w:tc>
        <w:tc>
          <w:tcPr>
            <w:tcW w:w="2703" w:type="pct"/>
            <w:vAlign w:val="center"/>
          </w:tcPr>
          <w:p w14:paraId="6BBDD5EA">
            <w:pPr>
              <w:pStyle w:val="179"/>
            </w:pPr>
            <w:r>
              <w:t>1.2</w:t>
            </w:r>
          </w:p>
        </w:tc>
      </w:tr>
      <w:tr w14:paraId="79F06B6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401B3A86">
            <w:pPr>
              <w:pStyle w:val="179"/>
            </w:pPr>
            <w:r>
              <w:t>-</w:t>
            </w:r>
          </w:p>
        </w:tc>
        <w:tc>
          <w:tcPr>
            <w:tcW w:w="2703" w:type="pct"/>
            <w:vAlign w:val="center"/>
          </w:tcPr>
          <w:p w14:paraId="67A8406D">
            <w:pPr>
              <w:pStyle w:val="179"/>
            </w:pPr>
            <w:r>
              <w:t>-</w:t>
            </w:r>
          </w:p>
        </w:tc>
      </w:tr>
      <w:tr w14:paraId="4F30E3C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60239910">
            <w:pPr>
              <w:pStyle w:val="179"/>
            </w:pPr>
            <w:r>
              <w:t>草本层</w:t>
            </w:r>
          </w:p>
        </w:tc>
        <w:tc>
          <w:tcPr>
            <w:tcW w:w="2703" w:type="pct"/>
            <w:vAlign w:val="center"/>
          </w:tcPr>
          <w:p w14:paraId="51A611A7">
            <w:pPr>
              <w:pStyle w:val="179"/>
            </w:pPr>
            <w:r>
              <w:t>多优度-群聚度</w:t>
            </w:r>
          </w:p>
        </w:tc>
      </w:tr>
      <w:tr w14:paraId="0DE1A85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15EB57AF">
            <w:pPr>
              <w:pStyle w:val="179"/>
            </w:pPr>
            <w:r>
              <w:rPr>
                <w:rFonts w:hint="eastAsia" w:ascii="宋体" w:hAnsi="宋体"/>
              </w:rPr>
              <w:t>葎</w:t>
            </w:r>
            <w:r>
              <w:rPr>
                <w:rFonts w:hint="eastAsia" w:ascii="仿宋_GB2312" w:hAnsi="仿宋_GB2312" w:eastAsia="仿宋_GB2312" w:cs="仿宋_GB2312"/>
              </w:rPr>
              <w:t>草</w:t>
            </w:r>
          </w:p>
        </w:tc>
        <w:tc>
          <w:tcPr>
            <w:tcW w:w="2703" w:type="pct"/>
            <w:vAlign w:val="center"/>
          </w:tcPr>
          <w:p w14:paraId="3D5BA2BC">
            <w:pPr>
              <w:pStyle w:val="179"/>
            </w:pPr>
            <w:r>
              <w:t>1.2</w:t>
            </w:r>
          </w:p>
        </w:tc>
      </w:tr>
      <w:tr w14:paraId="4F9FBBF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12EAB78B">
            <w:pPr>
              <w:pStyle w:val="179"/>
            </w:pPr>
            <w:r>
              <w:t>狗尾草</w:t>
            </w:r>
          </w:p>
        </w:tc>
        <w:tc>
          <w:tcPr>
            <w:tcW w:w="2703" w:type="pct"/>
            <w:vAlign w:val="center"/>
          </w:tcPr>
          <w:p w14:paraId="533AF500">
            <w:pPr>
              <w:pStyle w:val="179"/>
            </w:pPr>
            <w:r>
              <w:t>1.2</w:t>
            </w:r>
          </w:p>
        </w:tc>
      </w:tr>
      <w:tr w14:paraId="6A8F595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68667563">
            <w:pPr>
              <w:pStyle w:val="179"/>
            </w:pPr>
            <w:r>
              <w:t>野黍</w:t>
            </w:r>
          </w:p>
        </w:tc>
        <w:tc>
          <w:tcPr>
            <w:tcW w:w="2703" w:type="pct"/>
            <w:vAlign w:val="center"/>
          </w:tcPr>
          <w:p w14:paraId="2AEE8EC6">
            <w:pPr>
              <w:pStyle w:val="179"/>
            </w:pPr>
            <w:r>
              <w:t>1.1</w:t>
            </w:r>
          </w:p>
        </w:tc>
      </w:tr>
      <w:tr w14:paraId="3A208AE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67C36DDE">
            <w:pPr>
              <w:pStyle w:val="179"/>
            </w:pPr>
            <w:r>
              <w:t>红花鹿蹄草</w:t>
            </w:r>
          </w:p>
        </w:tc>
        <w:tc>
          <w:tcPr>
            <w:tcW w:w="2703" w:type="pct"/>
            <w:vAlign w:val="center"/>
          </w:tcPr>
          <w:p w14:paraId="4943A9EF">
            <w:pPr>
              <w:pStyle w:val="179"/>
            </w:pPr>
            <w:r>
              <w:t>1.1</w:t>
            </w:r>
          </w:p>
        </w:tc>
      </w:tr>
      <w:tr w14:paraId="111C8DD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56064FAF">
            <w:pPr>
              <w:pStyle w:val="179"/>
            </w:pPr>
            <w:r>
              <w:t>小白花地榆</w:t>
            </w:r>
          </w:p>
        </w:tc>
        <w:tc>
          <w:tcPr>
            <w:tcW w:w="2703" w:type="pct"/>
            <w:vAlign w:val="center"/>
          </w:tcPr>
          <w:p w14:paraId="367B84B5">
            <w:pPr>
              <w:pStyle w:val="179"/>
            </w:pPr>
            <w:r>
              <w:t>1.1</w:t>
            </w:r>
          </w:p>
        </w:tc>
      </w:tr>
    </w:tbl>
    <w:p w14:paraId="352D271F">
      <w:pPr>
        <w:pStyle w:val="178"/>
      </w:pPr>
      <w:r>
        <w:t>表</w:t>
      </w:r>
      <w:r>
        <w:rPr>
          <w:rFonts w:hint="eastAsia"/>
        </w:rPr>
        <w:t xml:space="preserve">1-2  </w:t>
      </w:r>
      <w:r>
        <w:t>蒙古栎样方表（2）</w:t>
      </w:r>
    </w:p>
    <w:tbl>
      <w:tblPr>
        <w:tblStyle w:val="36"/>
        <w:tblW w:w="4996"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3913"/>
        <w:gridCol w:w="4608"/>
      </w:tblGrid>
      <w:tr w14:paraId="3BCB62C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03123DB8">
            <w:pPr>
              <w:pStyle w:val="179"/>
            </w:pPr>
            <w:r>
              <w:t>地点</w:t>
            </w:r>
          </w:p>
        </w:tc>
        <w:tc>
          <w:tcPr>
            <w:tcW w:w="2703" w:type="pct"/>
            <w:vAlign w:val="center"/>
          </w:tcPr>
          <w:p w14:paraId="30876622">
            <w:pPr>
              <w:pStyle w:val="179"/>
            </w:pPr>
            <w:r>
              <w:t>嫩江市塔溪乡马厂河</w:t>
            </w:r>
          </w:p>
        </w:tc>
      </w:tr>
      <w:tr w14:paraId="3BBDEE5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038F7E4A">
            <w:pPr>
              <w:pStyle w:val="179"/>
            </w:pPr>
            <w:r>
              <w:t>样地面积（m</w:t>
            </w:r>
            <w:r>
              <w:rPr>
                <w:vertAlign w:val="superscript"/>
              </w:rPr>
              <w:t>2</w:t>
            </w:r>
            <w:r>
              <w:t>）</w:t>
            </w:r>
          </w:p>
        </w:tc>
        <w:tc>
          <w:tcPr>
            <w:tcW w:w="2703" w:type="pct"/>
            <w:vAlign w:val="center"/>
          </w:tcPr>
          <w:p w14:paraId="01600F18">
            <w:pPr>
              <w:pStyle w:val="179"/>
            </w:pPr>
            <w:r>
              <w:t>400</w:t>
            </w:r>
          </w:p>
        </w:tc>
      </w:tr>
      <w:tr w14:paraId="674AFB8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317C7125">
            <w:pPr>
              <w:pStyle w:val="179"/>
            </w:pPr>
            <w:r>
              <w:t>经纬度</w:t>
            </w:r>
          </w:p>
        </w:tc>
        <w:tc>
          <w:tcPr>
            <w:tcW w:w="2703" w:type="pct"/>
            <w:vAlign w:val="center"/>
          </w:tcPr>
          <w:p w14:paraId="52EA7FDC">
            <w:pPr>
              <w:pStyle w:val="179"/>
            </w:pPr>
            <w:r>
              <w:t>126°18'7.1172"E，49°26'55.5900"N</w:t>
            </w:r>
          </w:p>
        </w:tc>
      </w:tr>
      <w:tr w14:paraId="0F22F26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76D7F5F4">
            <w:pPr>
              <w:pStyle w:val="179"/>
            </w:pPr>
            <w:r>
              <w:t>海拔（m）</w:t>
            </w:r>
          </w:p>
        </w:tc>
        <w:tc>
          <w:tcPr>
            <w:tcW w:w="2703" w:type="pct"/>
            <w:vAlign w:val="center"/>
          </w:tcPr>
          <w:p w14:paraId="7D545FA0">
            <w:pPr>
              <w:pStyle w:val="179"/>
            </w:pPr>
            <w:r>
              <w:t>418</w:t>
            </w:r>
          </w:p>
        </w:tc>
      </w:tr>
      <w:tr w14:paraId="7484E1A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18A11923">
            <w:pPr>
              <w:pStyle w:val="179"/>
            </w:pPr>
            <w:r>
              <w:t>坡向</w:t>
            </w:r>
          </w:p>
        </w:tc>
        <w:tc>
          <w:tcPr>
            <w:tcW w:w="2703" w:type="pct"/>
            <w:vAlign w:val="center"/>
          </w:tcPr>
          <w:p w14:paraId="6528A038">
            <w:pPr>
              <w:pStyle w:val="179"/>
            </w:pPr>
            <w:r>
              <w:t>-</w:t>
            </w:r>
          </w:p>
        </w:tc>
      </w:tr>
      <w:tr w14:paraId="68B7D7C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0AE683A4">
            <w:pPr>
              <w:pStyle w:val="179"/>
            </w:pPr>
            <w:r>
              <w:t>坡度（°）</w:t>
            </w:r>
          </w:p>
        </w:tc>
        <w:tc>
          <w:tcPr>
            <w:tcW w:w="2703" w:type="pct"/>
            <w:vAlign w:val="center"/>
          </w:tcPr>
          <w:p w14:paraId="6B4FF86A">
            <w:pPr>
              <w:pStyle w:val="179"/>
            </w:pPr>
            <w:r>
              <w:t>-</w:t>
            </w:r>
          </w:p>
        </w:tc>
      </w:tr>
      <w:tr w14:paraId="319C874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0B2AEDCC">
            <w:pPr>
              <w:pStyle w:val="179"/>
            </w:pPr>
            <w:r>
              <w:t>总盖度（%）</w:t>
            </w:r>
          </w:p>
        </w:tc>
        <w:tc>
          <w:tcPr>
            <w:tcW w:w="2703" w:type="pct"/>
            <w:vAlign w:val="center"/>
          </w:tcPr>
          <w:p w14:paraId="677AFA17">
            <w:pPr>
              <w:pStyle w:val="179"/>
            </w:pPr>
            <w:r>
              <w:t>68</w:t>
            </w:r>
          </w:p>
        </w:tc>
      </w:tr>
      <w:tr w14:paraId="7F2F919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6B0AB56B">
            <w:pPr>
              <w:pStyle w:val="179"/>
            </w:pPr>
            <w:r>
              <w:t>乔木层平均高度（m）</w:t>
            </w:r>
          </w:p>
        </w:tc>
        <w:tc>
          <w:tcPr>
            <w:tcW w:w="2703" w:type="pct"/>
            <w:vAlign w:val="center"/>
          </w:tcPr>
          <w:p w14:paraId="4EB7FBB4">
            <w:pPr>
              <w:pStyle w:val="179"/>
            </w:pPr>
            <w:r>
              <w:t>14.2</w:t>
            </w:r>
          </w:p>
        </w:tc>
      </w:tr>
      <w:tr w14:paraId="7136826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610FB6EC">
            <w:pPr>
              <w:pStyle w:val="179"/>
            </w:pPr>
            <w:r>
              <w:t>乔木层盖度（%）</w:t>
            </w:r>
          </w:p>
        </w:tc>
        <w:tc>
          <w:tcPr>
            <w:tcW w:w="2703" w:type="pct"/>
            <w:vAlign w:val="center"/>
          </w:tcPr>
          <w:p w14:paraId="3E6703A3">
            <w:pPr>
              <w:pStyle w:val="179"/>
            </w:pPr>
            <w:r>
              <w:t>61</w:t>
            </w:r>
          </w:p>
        </w:tc>
      </w:tr>
      <w:tr w14:paraId="584D10D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6018E7A3">
            <w:pPr>
              <w:pStyle w:val="179"/>
            </w:pPr>
            <w:r>
              <w:t>灌木层高度（m）</w:t>
            </w:r>
          </w:p>
        </w:tc>
        <w:tc>
          <w:tcPr>
            <w:tcW w:w="2703" w:type="pct"/>
            <w:vAlign w:val="center"/>
          </w:tcPr>
          <w:p w14:paraId="3471F68D">
            <w:pPr>
              <w:pStyle w:val="179"/>
            </w:pPr>
            <w:r>
              <w:t>1</w:t>
            </w:r>
          </w:p>
        </w:tc>
      </w:tr>
      <w:tr w14:paraId="7EEC94F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7E53261D">
            <w:pPr>
              <w:pStyle w:val="179"/>
            </w:pPr>
            <w:r>
              <w:t>灌木层盖度（%）</w:t>
            </w:r>
          </w:p>
        </w:tc>
        <w:tc>
          <w:tcPr>
            <w:tcW w:w="2703" w:type="pct"/>
            <w:vAlign w:val="center"/>
          </w:tcPr>
          <w:p w14:paraId="4091E0F5">
            <w:pPr>
              <w:pStyle w:val="179"/>
            </w:pPr>
            <w:r>
              <w:t>29</w:t>
            </w:r>
          </w:p>
        </w:tc>
      </w:tr>
      <w:tr w14:paraId="129482B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59F83254">
            <w:pPr>
              <w:pStyle w:val="179"/>
            </w:pPr>
            <w:r>
              <w:t>草本层高度（cm）</w:t>
            </w:r>
          </w:p>
        </w:tc>
        <w:tc>
          <w:tcPr>
            <w:tcW w:w="2703" w:type="pct"/>
            <w:vAlign w:val="center"/>
          </w:tcPr>
          <w:p w14:paraId="39866815">
            <w:pPr>
              <w:pStyle w:val="179"/>
            </w:pPr>
            <w:r>
              <w:t>11</w:t>
            </w:r>
          </w:p>
        </w:tc>
      </w:tr>
      <w:tr w14:paraId="2B6EF7E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3584C549">
            <w:pPr>
              <w:pStyle w:val="179"/>
            </w:pPr>
            <w:r>
              <w:t>草本层盖度（%）</w:t>
            </w:r>
          </w:p>
        </w:tc>
        <w:tc>
          <w:tcPr>
            <w:tcW w:w="2703" w:type="pct"/>
            <w:vAlign w:val="center"/>
          </w:tcPr>
          <w:p w14:paraId="49706045">
            <w:pPr>
              <w:pStyle w:val="179"/>
            </w:pPr>
            <w:r>
              <w:t>18</w:t>
            </w:r>
          </w:p>
        </w:tc>
      </w:tr>
      <w:tr w14:paraId="4E21E79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0C39E11C">
            <w:pPr>
              <w:pStyle w:val="179"/>
            </w:pPr>
            <w:r>
              <w:t>乔木层</w:t>
            </w:r>
          </w:p>
        </w:tc>
        <w:tc>
          <w:tcPr>
            <w:tcW w:w="2703" w:type="pct"/>
            <w:vAlign w:val="center"/>
          </w:tcPr>
          <w:p w14:paraId="4EFDACBA">
            <w:pPr>
              <w:pStyle w:val="179"/>
            </w:pPr>
            <w:r>
              <w:t>多优度-群聚度</w:t>
            </w:r>
          </w:p>
        </w:tc>
      </w:tr>
      <w:tr w14:paraId="0F825CA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204B9AC7">
            <w:pPr>
              <w:pStyle w:val="179"/>
            </w:pPr>
            <w:r>
              <w:t>山杨</w:t>
            </w:r>
          </w:p>
        </w:tc>
        <w:tc>
          <w:tcPr>
            <w:tcW w:w="2703" w:type="pct"/>
            <w:vAlign w:val="center"/>
          </w:tcPr>
          <w:p w14:paraId="055777E6">
            <w:pPr>
              <w:pStyle w:val="179"/>
            </w:pPr>
            <w:r>
              <w:t>3.1</w:t>
            </w:r>
          </w:p>
        </w:tc>
      </w:tr>
      <w:tr w14:paraId="6684AFB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1A3D636A">
            <w:pPr>
              <w:pStyle w:val="179"/>
            </w:pPr>
            <w:r>
              <w:t>白桦</w:t>
            </w:r>
          </w:p>
        </w:tc>
        <w:tc>
          <w:tcPr>
            <w:tcW w:w="2703" w:type="pct"/>
            <w:vAlign w:val="center"/>
          </w:tcPr>
          <w:p w14:paraId="656B703D">
            <w:pPr>
              <w:pStyle w:val="179"/>
            </w:pPr>
            <w:r>
              <w:t>1.2</w:t>
            </w:r>
          </w:p>
        </w:tc>
      </w:tr>
      <w:tr w14:paraId="6E5F3C5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306CC038">
            <w:pPr>
              <w:pStyle w:val="179"/>
            </w:pPr>
            <w:r>
              <w:t>-</w:t>
            </w:r>
          </w:p>
        </w:tc>
        <w:tc>
          <w:tcPr>
            <w:tcW w:w="2703" w:type="pct"/>
            <w:vAlign w:val="center"/>
          </w:tcPr>
          <w:p w14:paraId="74800916">
            <w:pPr>
              <w:pStyle w:val="179"/>
            </w:pPr>
            <w:r>
              <w:t>-</w:t>
            </w:r>
          </w:p>
        </w:tc>
      </w:tr>
      <w:tr w14:paraId="73DB01B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1BD49E05">
            <w:pPr>
              <w:pStyle w:val="179"/>
            </w:pPr>
            <w:r>
              <w:t>灌木层</w:t>
            </w:r>
          </w:p>
        </w:tc>
        <w:tc>
          <w:tcPr>
            <w:tcW w:w="2703" w:type="pct"/>
            <w:vAlign w:val="center"/>
          </w:tcPr>
          <w:p w14:paraId="14D8E574">
            <w:pPr>
              <w:pStyle w:val="179"/>
            </w:pPr>
            <w:r>
              <w:t>多优度-群聚度</w:t>
            </w:r>
          </w:p>
        </w:tc>
      </w:tr>
      <w:tr w14:paraId="350208D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55B7C8A9">
            <w:pPr>
              <w:pStyle w:val="179"/>
            </w:pPr>
            <w:r>
              <w:t>笃斯越橘</w:t>
            </w:r>
          </w:p>
        </w:tc>
        <w:tc>
          <w:tcPr>
            <w:tcW w:w="2703" w:type="pct"/>
            <w:vAlign w:val="center"/>
          </w:tcPr>
          <w:p w14:paraId="09657A71">
            <w:pPr>
              <w:pStyle w:val="179"/>
            </w:pPr>
            <w:r>
              <w:t>1.1</w:t>
            </w:r>
          </w:p>
        </w:tc>
      </w:tr>
      <w:tr w14:paraId="5926CC2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46E33F66">
            <w:pPr>
              <w:pStyle w:val="179"/>
            </w:pPr>
            <w:r>
              <w:t>-</w:t>
            </w:r>
          </w:p>
        </w:tc>
        <w:tc>
          <w:tcPr>
            <w:tcW w:w="2703" w:type="pct"/>
            <w:vAlign w:val="center"/>
          </w:tcPr>
          <w:p w14:paraId="70C90AF9">
            <w:pPr>
              <w:pStyle w:val="179"/>
            </w:pPr>
            <w:r>
              <w:t>-</w:t>
            </w:r>
          </w:p>
        </w:tc>
      </w:tr>
      <w:tr w14:paraId="1EC35E0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63964A98">
            <w:pPr>
              <w:pStyle w:val="179"/>
            </w:pPr>
            <w:r>
              <w:t>草本层</w:t>
            </w:r>
          </w:p>
        </w:tc>
        <w:tc>
          <w:tcPr>
            <w:tcW w:w="2703" w:type="pct"/>
            <w:vAlign w:val="center"/>
          </w:tcPr>
          <w:p w14:paraId="62B0EBD4">
            <w:pPr>
              <w:pStyle w:val="179"/>
            </w:pPr>
            <w:r>
              <w:t>多优度-群聚度</w:t>
            </w:r>
          </w:p>
        </w:tc>
      </w:tr>
      <w:tr w14:paraId="6706F51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4263" w:type="dxa"/>
            <w:vAlign w:val="center"/>
          </w:tcPr>
          <w:p w14:paraId="2EB17B8D">
            <w:pPr>
              <w:pStyle w:val="179"/>
            </w:pPr>
            <w:r>
              <w:rPr>
                <w:rFonts w:hint="eastAsia"/>
              </w:rPr>
              <w:t>中华草沙蚕</w:t>
            </w:r>
          </w:p>
        </w:tc>
        <w:tc>
          <w:tcPr>
            <w:tcW w:w="5019" w:type="dxa"/>
            <w:vAlign w:val="center"/>
          </w:tcPr>
          <w:p w14:paraId="1E36A093">
            <w:pPr>
              <w:pStyle w:val="179"/>
            </w:pPr>
            <w:r>
              <w:rPr>
                <w:rFonts w:hint="eastAsia"/>
              </w:rPr>
              <w:t>2.4</w:t>
            </w:r>
          </w:p>
        </w:tc>
      </w:tr>
      <w:tr w14:paraId="7AD3F03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4263" w:type="dxa"/>
            <w:vAlign w:val="center"/>
          </w:tcPr>
          <w:p w14:paraId="1B501696">
            <w:pPr>
              <w:pStyle w:val="179"/>
            </w:pPr>
            <w:r>
              <w:rPr>
                <w:rFonts w:hint="eastAsia"/>
              </w:rPr>
              <w:t>山野豌豆</w:t>
            </w:r>
          </w:p>
        </w:tc>
        <w:tc>
          <w:tcPr>
            <w:tcW w:w="5019" w:type="dxa"/>
            <w:vAlign w:val="center"/>
          </w:tcPr>
          <w:p w14:paraId="24DE079B">
            <w:pPr>
              <w:pStyle w:val="179"/>
            </w:pPr>
            <w:r>
              <w:rPr>
                <w:rFonts w:hint="eastAsia"/>
              </w:rPr>
              <w:t>1.2</w:t>
            </w:r>
          </w:p>
        </w:tc>
      </w:tr>
      <w:tr w14:paraId="78935D8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exact"/>
          <w:jc w:val="center"/>
        </w:trPr>
        <w:tc>
          <w:tcPr>
            <w:tcW w:w="2296" w:type="pct"/>
            <w:vAlign w:val="center"/>
          </w:tcPr>
          <w:p w14:paraId="7D5303D5">
            <w:pPr>
              <w:pStyle w:val="179"/>
            </w:pPr>
            <w:r>
              <w:t>附地菜</w:t>
            </w:r>
          </w:p>
        </w:tc>
        <w:tc>
          <w:tcPr>
            <w:tcW w:w="2703" w:type="pct"/>
            <w:vAlign w:val="center"/>
          </w:tcPr>
          <w:p w14:paraId="2ADBEE0C">
            <w:pPr>
              <w:pStyle w:val="179"/>
            </w:pPr>
            <w:r>
              <w:t>1.1</w:t>
            </w:r>
          </w:p>
        </w:tc>
      </w:tr>
      <w:tr w14:paraId="27B62DE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4263" w:type="dxa"/>
            <w:vAlign w:val="center"/>
          </w:tcPr>
          <w:p w14:paraId="69646B61">
            <w:pPr>
              <w:pStyle w:val="179"/>
            </w:pPr>
            <w:r>
              <w:rPr>
                <w:rFonts w:hint="eastAsia"/>
              </w:rPr>
              <w:t>三叶委陵菜</w:t>
            </w:r>
          </w:p>
        </w:tc>
        <w:tc>
          <w:tcPr>
            <w:tcW w:w="5019" w:type="dxa"/>
            <w:vAlign w:val="center"/>
          </w:tcPr>
          <w:p w14:paraId="2D28166B">
            <w:pPr>
              <w:pStyle w:val="179"/>
            </w:pPr>
            <w:r>
              <w:rPr>
                <w:rFonts w:hint="eastAsia"/>
              </w:rPr>
              <w:t>2.1</w:t>
            </w:r>
          </w:p>
        </w:tc>
      </w:tr>
      <w:tr w14:paraId="33181D5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2EC29920">
            <w:pPr>
              <w:pStyle w:val="179"/>
            </w:pPr>
            <w:r>
              <w:t>娄蒿</w:t>
            </w:r>
          </w:p>
        </w:tc>
        <w:tc>
          <w:tcPr>
            <w:tcW w:w="2703" w:type="pct"/>
            <w:vAlign w:val="center"/>
          </w:tcPr>
          <w:p w14:paraId="5486306A">
            <w:pPr>
              <w:pStyle w:val="179"/>
            </w:pPr>
            <w:r>
              <w:t>1.1</w:t>
            </w:r>
          </w:p>
        </w:tc>
      </w:tr>
    </w:tbl>
    <w:p w14:paraId="253DABAF">
      <w:pPr>
        <w:pStyle w:val="178"/>
      </w:pPr>
      <w:r>
        <w:t>表</w:t>
      </w:r>
      <w:r>
        <w:rPr>
          <w:rFonts w:hint="eastAsia"/>
        </w:rPr>
        <w:t xml:space="preserve">1-3  </w:t>
      </w:r>
      <w:r>
        <w:t>蒙古栎样方表（3）</w:t>
      </w:r>
    </w:p>
    <w:tbl>
      <w:tblPr>
        <w:tblStyle w:val="36"/>
        <w:tblW w:w="4996"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3913"/>
        <w:gridCol w:w="4608"/>
      </w:tblGrid>
      <w:tr w14:paraId="65D90AD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4A2F1761">
            <w:pPr>
              <w:pStyle w:val="179"/>
            </w:pPr>
            <w:r>
              <w:t>地点</w:t>
            </w:r>
          </w:p>
        </w:tc>
        <w:tc>
          <w:tcPr>
            <w:tcW w:w="2703" w:type="pct"/>
            <w:vAlign w:val="center"/>
          </w:tcPr>
          <w:p w14:paraId="5BA22282">
            <w:pPr>
              <w:pStyle w:val="179"/>
            </w:pPr>
            <w:r>
              <w:t>嫩江市塔溪乡马厂河</w:t>
            </w:r>
          </w:p>
        </w:tc>
      </w:tr>
      <w:tr w14:paraId="1A21968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16EF3D10">
            <w:pPr>
              <w:pStyle w:val="179"/>
            </w:pPr>
            <w:r>
              <w:t>样地面积（m</w:t>
            </w:r>
            <w:r>
              <w:rPr>
                <w:vertAlign w:val="superscript"/>
              </w:rPr>
              <w:t>2</w:t>
            </w:r>
            <w:r>
              <w:t>）</w:t>
            </w:r>
          </w:p>
        </w:tc>
        <w:tc>
          <w:tcPr>
            <w:tcW w:w="2703" w:type="pct"/>
            <w:vAlign w:val="center"/>
          </w:tcPr>
          <w:p w14:paraId="3FE3155C">
            <w:pPr>
              <w:pStyle w:val="179"/>
            </w:pPr>
            <w:r>
              <w:t>400</w:t>
            </w:r>
          </w:p>
        </w:tc>
      </w:tr>
      <w:tr w14:paraId="618BCBD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02BCD003">
            <w:pPr>
              <w:pStyle w:val="179"/>
            </w:pPr>
            <w:r>
              <w:t>经纬度</w:t>
            </w:r>
          </w:p>
        </w:tc>
        <w:tc>
          <w:tcPr>
            <w:tcW w:w="2703" w:type="pct"/>
            <w:vAlign w:val="center"/>
          </w:tcPr>
          <w:p w14:paraId="19B4E224">
            <w:pPr>
              <w:pStyle w:val="179"/>
            </w:pPr>
            <w:r>
              <w:t>126°18'19.0332"E，49°26'46.1868"N</w:t>
            </w:r>
          </w:p>
        </w:tc>
      </w:tr>
      <w:tr w14:paraId="24DD4AD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6B2EBF76">
            <w:pPr>
              <w:pStyle w:val="179"/>
            </w:pPr>
            <w:r>
              <w:t>海拔（m）</w:t>
            </w:r>
          </w:p>
        </w:tc>
        <w:tc>
          <w:tcPr>
            <w:tcW w:w="2703" w:type="pct"/>
            <w:vAlign w:val="center"/>
          </w:tcPr>
          <w:p w14:paraId="6EFF3DE2">
            <w:pPr>
              <w:pStyle w:val="179"/>
            </w:pPr>
            <w:r>
              <w:t>418</w:t>
            </w:r>
          </w:p>
        </w:tc>
      </w:tr>
      <w:tr w14:paraId="323EECA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0C91C784">
            <w:pPr>
              <w:pStyle w:val="179"/>
            </w:pPr>
            <w:r>
              <w:t>坡向</w:t>
            </w:r>
          </w:p>
        </w:tc>
        <w:tc>
          <w:tcPr>
            <w:tcW w:w="2703" w:type="pct"/>
            <w:vAlign w:val="center"/>
          </w:tcPr>
          <w:p w14:paraId="16C092E7">
            <w:pPr>
              <w:pStyle w:val="179"/>
            </w:pPr>
            <w:r>
              <w:t>-</w:t>
            </w:r>
          </w:p>
        </w:tc>
      </w:tr>
      <w:tr w14:paraId="57A4D60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4B0F82A1">
            <w:pPr>
              <w:pStyle w:val="179"/>
            </w:pPr>
            <w:r>
              <w:t>坡度（°）</w:t>
            </w:r>
          </w:p>
        </w:tc>
        <w:tc>
          <w:tcPr>
            <w:tcW w:w="2703" w:type="pct"/>
            <w:vAlign w:val="center"/>
          </w:tcPr>
          <w:p w14:paraId="5FE160A0">
            <w:pPr>
              <w:pStyle w:val="179"/>
            </w:pPr>
            <w:r>
              <w:t>-</w:t>
            </w:r>
          </w:p>
        </w:tc>
      </w:tr>
      <w:tr w14:paraId="3345B14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09929F3D">
            <w:pPr>
              <w:pStyle w:val="179"/>
            </w:pPr>
            <w:r>
              <w:t>总盖度（%）</w:t>
            </w:r>
          </w:p>
        </w:tc>
        <w:tc>
          <w:tcPr>
            <w:tcW w:w="2703" w:type="pct"/>
            <w:vAlign w:val="center"/>
          </w:tcPr>
          <w:p w14:paraId="7902BCDE">
            <w:pPr>
              <w:pStyle w:val="179"/>
            </w:pPr>
            <w:r>
              <w:t>65</w:t>
            </w:r>
          </w:p>
        </w:tc>
      </w:tr>
      <w:tr w14:paraId="6C6281D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48803F5A">
            <w:pPr>
              <w:pStyle w:val="179"/>
            </w:pPr>
            <w:r>
              <w:t>乔木层平均高度（m）</w:t>
            </w:r>
          </w:p>
        </w:tc>
        <w:tc>
          <w:tcPr>
            <w:tcW w:w="2703" w:type="pct"/>
            <w:vAlign w:val="center"/>
          </w:tcPr>
          <w:p w14:paraId="203A26AA">
            <w:pPr>
              <w:pStyle w:val="179"/>
            </w:pPr>
            <w:r>
              <w:t>12.8</w:t>
            </w:r>
          </w:p>
        </w:tc>
      </w:tr>
      <w:tr w14:paraId="41BC00D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446C440B">
            <w:pPr>
              <w:pStyle w:val="179"/>
            </w:pPr>
            <w:r>
              <w:t>乔木层盖度（%）</w:t>
            </w:r>
          </w:p>
        </w:tc>
        <w:tc>
          <w:tcPr>
            <w:tcW w:w="2703" w:type="pct"/>
            <w:vAlign w:val="center"/>
          </w:tcPr>
          <w:p w14:paraId="0F069C65">
            <w:pPr>
              <w:pStyle w:val="179"/>
            </w:pPr>
            <w:r>
              <w:t>56</w:t>
            </w:r>
          </w:p>
        </w:tc>
      </w:tr>
      <w:tr w14:paraId="07C109F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3B5D5648">
            <w:pPr>
              <w:pStyle w:val="179"/>
            </w:pPr>
            <w:r>
              <w:t>灌木层高度（m）</w:t>
            </w:r>
          </w:p>
        </w:tc>
        <w:tc>
          <w:tcPr>
            <w:tcW w:w="2703" w:type="pct"/>
            <w:vAlign w:val="center"/>
          </w:tcPr>
          <w:p w14:paraId="20ADB5A4">
            <w:pPr>
              <w:pStyle w:val="179"/>
            </w:pPr>
            <w:r>
              <w:t>0.9</w:t>
            </w:r>
          </w:p>
        </w:tc>
      </w:tr>
      <w:tr w14:paraId="3827472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057241E0">
            <w:pPr>
              <w:pStyle w:val="179"/>
            </w:pPr>
            <w:r>
              <w:t>灌木层盖度（%）</w:t>
            </w:r>
          </w:p>
        </w:tc>
        <w:tc>
          <w:tcPr>
            <w:tcW w:w="2703" w:type="pct"/>
            <w:vAlign w:val="center"/>
          </w:tcPr>
          <w:p w14:paraId="14A6DFD1">
            <w:pPr>
              <w:pStyle w:val="179"/>
            </w:pPr>
            <w:r>
              <w:t>25</w:t>
            </w:r>
          </w:p>
        </w:tc>
      </w:tr>
      <w:tr w14:paraId="391CB35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4E84B13B">
            <w:pPr>
              <w:pStyle w:val="179"/>
            </w:pPr>
            <w:r>
              <w:t>草本层高度（cm）</w:t>
            </w:r>
          </w:p>
        </w:tc>
        <w:tc>
          <w:tcPr>
            <w:tcW w:w="2703" w:type="pct"/>
            <w:vAlign w:val="center"/>
          </w:tcPr>
          <w:p w14:paraId="1B0FBB95">
            <w:pPr>
              <w:pStyle w:val="179"/>
            </w:pPr>
            <w:r>
              <w:t>17</w:t>
            </w:r>
          </w:p>
        </w:tc>
      </w:tr>
      <w:tr w14:paraId="13D118A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15FC2C79">
            <w:pPr>
              <w:pStyle w:val="179"/>
            </w:pPr>
            <w:r>
              <w:t>草本层盖度（%）</w:t>
            </w:r>
          </w:p>
        </w:tc>
        <w:tc>
          <w:tcPr>
            <w:tcW w:w="2703" w:type="pct"/>
            <w:vAlign w:val="center"/>
          </w:tcPr>
          <w:p w14:paraId="5705F585">
            <w:pPr>
              <w:pStyle w:val="179"/>
            </w:pPr>
            <w:r>
              <w:t>35</w:t>
            </w:r>
          </w:p>
        </w:tc>
      </w:tr>
      <w:tr w14:paraId="730F4E6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2DAF3271">
            <w:pPr>
              <w:pStyle w:val="179"/>
            </w:pPr>
            <w:r>
              <w:t>乔木层</w:t>
            </w:r>
          </w:p>
        </w:tc>
        <w:tc>
          <w:tcPr>
            <w:tcW w:w="2703" w:type="pct"/>
            <w:vAlign w:val="center"/>
          </w:tcPr>
          <w:p w14:paraId="4ED05249">
            <w:pPr>
              <w:pStyle w:val="179"/>
            </w:pPr>
            <w:r>
              <w:t>多优度-群聚度</w:t>
            </w:r>
          </w:p>
        </w:tc>
      </w:tr>
      <w:tr w14:paraId="73618B9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71D201F0">
            <w:pPr>
              <w:pStyle w:val="179"/>
            </w:pPr>
            <w:r>
              <w:t>山杨</w:t>
            </w:r>
          </w:p>
        </w:tc>
        <w:tc>
          <w:tcPr>
            <w:tcW w:w="2703" w:type="pct"/>
            <w:vAlign w:val="center"/>
          </w:tcPr>
          <w:p w14:paraId="362F81D6">
            <w:pPr>
              <w:pStyle w:val="179"/>
            </w:pPr>
            <w:r>
              <w:t>4.1</w:t>
            </w:r>
          </w:p>
        </w:tc>
      </w:tr>
      <w:tr w14:paraId="3DCB06F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548353D8">
            <w:pPr>
              <w:pStyle w:val="179"/>
            </w:pPr>
            <w:r>
              <w:rPr>
                <w:rFonts w:hint="eastAsia"/>
              </w:rPr>
              <w:t>落叶松</w:t>
            </w:r>
          </w:p>
        </w:tc>
        <w:tc>
          <w:tcPr>
            <w:tcW w:w="2703" w:type="pct"/>
            <w:vAlign w:val="center"/>
          </w:tcPr>
          <w:p w14:paraId="33D2C848">
            <w:pPr>
              <w:pStyle w:val="179"/>
            </w:pPr>
            <w:r>
              <w:rPr>
                <w:rFonts w:hint="eastAsia"/>
              </w:rPr>
              <w:t>1.3</w:t>
            </w:r>
          </w:p>
        </w:tc>
      </w:tr>
      <w:tr w14:paraId="3443F16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1B5A2604">
            <w:pPr>
              <w:pStyle w:val="179"/>
            </w:pPr>
            <w:r>
              <w:t>-</w:t>
            </w:r>
          </w:p>
        </w:tc>
        <w:tc>
          <w:tcPr>
            <w:tcW w:w="2703" w:type="pct"/>
            <w:vAlign w:val="center"/>
          </w:tcPr>
          <w:p w14:paraId="76F824DF">
            <w:pPr>
              <w:pStyle w:val="179"/>
            </w:pPr>
            <w:r>
              <w:t>-</w:t>
            </w:r>
          </w:p>
        </w:tc>
      </w:tr>
      <w:tr w14:paraId="13F49CA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268C3B24">
            <w:pPr>
              <w:pStyle w:val="179"/>
            </w:pPr>
            <w:r>
              <w:t>灌木层</w:t>
            </w:r>
          </w:p>
        </w:tc>
        <w:tc>
          <w:tcPr>
            <w:tcW w:w="2703" w:type="pct"/>
            <w:vAlign w:val="center"/>
          </w:tcPr>
          <w:p w14:paraId="37277F46">
            <w:pPr>
              <w:pStyle w:val="179"/>
            </w:pPr>
            <w:r>
              <w:t>多优度-群聚度</w:t>
            </w:r>
          </w:p>
        </w:tc>
      </w:tr>
      <w:tr w14:paraId="5CF1910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050341BF">
            <w:pPr>
              <w:pStyle w:val="179"/>
            </w:pPr>
            <w:r>
              <w:rPr>
                <w:rFonts w:hint="eastAsia"/>
              </w:rPr>
              <w:t>山刺玫</w:t>
            </w:r>
          </w:p>
        </w:tc>
        <w:tc>
          <w:tcPr>
            <w:tcW w:w="2703" w:type="pct"/>
            <w:vAlign w:val="center"/>
          </w:tcPr>
          <w:p w14:paraId="4092AAA1">
            <w:pPr>
              <w:pStyle w:val="179"/>
            </w:pPr>
            <w:r>
              <w:rPr>
                <w:rFonts w:hint="eastAsia"/>
              </w:rPr>
              <w:t>1.4</w:t>
            </w:r>
          </w:p>
        </w:tc>
      </w:tr>
      <w:tr w14:paraId="5511CAF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51E3DE4F">
            <w:pPr>
              <w:pStyle w:val="179"/>
            </w:pPr>
            <w:r>
              <w:t>榛</w:t>
            </w:r>
          </w:p>
        </w:tc>
        <w:tc>
          <w:tcPr>
            <w:tcW w:w="2703" w:type="pct"/>
            <w:vAlign w:val="center"/>
          </w:tcPr>
          <w:p w14:paraId="2ADA20E5">
            <w:pPr>
              <w:pStyle w:val="179"/>
            </w:pPr>
            <w:r>
              <w:t>1.1</w:t>
            </w:r>
          </w:p>
        </w:tc>
      </w:tr>
      <w:tr w14:paraId="2D1B492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438A9919">
            <w:pPr>
              <w:pStyle w:val="179"/>
            </w:pPr>
            <w:r>
              <w:t>-</w:t>
            </w:r>
          </w:p>
        </w:tc>
        <w:tc>
          <w:tcPr>
            <w:tcW w:w="2703" w:type="pct"/>
            <w:vAlign w:val="center"/>
          </w:tcPr>
          <w:p w14:paraId="2EA87F1A">
            <w:pPr>
              <w:pStyle w:val="179"/>
            </w:pPr>
            <w:r>
              <w:t>-</w:t>
            </w:r>
          </w:p>
        </w:tc>
      </w:tr>
      <w:tr w14:paraId="6BACBB3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43ADD98F">
            <w:pPr>
              <w:pStyle w:val="179"/>
            </w:pPr>
            <w:r>
              <w:t>草本层</w:t>
            </w:r>
          </w:p>
        </w:tc>
        <w:tc>
          <w:tcPr>
            <w:tcW w:w="2703" w:type="pct"/>
            <w:vAlign w:val="center"/>
          </w:tcPr>
          <w:p w14:paraId="38DD7531">
            <w:pPr>
              <w:pStyle w:val="179"/>
            </w:pPr>
            <w:r>
              <w:t>多优度-群聚度</w:t>
            </w:r>
          </w:p>
        </w:tc>
      </w:tr>
      <w:tr w14:paraId="6D195A1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0EC10FD1">
            <w:pPr>
              <w:pStyle w:val="179"/>
            </w:pPr>
            <w:r>
              <w:t>老鹳草</w:t>
            </w:r>
          </w:p>
        </w:tc>
        <w:tc>
          <w:tcPr>
            <w:tcW w:w="2703" w:type="pct"/>
            <w:vAlign w:val="center"/>
          </w:tcPr>
          <w:p w14:paraId="0E696A1B">
            <w:pPr>
              <w:pStyle w:val="179"/>
            </w:pPr>
            <w:r>
              <w:t>1.3</w:t>
            </w:r>
          </w:p>
        </w:tc>
      </w:tr>
      <w:tr w14:paraId="0D8BDBA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3B1E2C95">
            <w:pPr>
              <w:pStyle w:val="179"/>
            </w:pPr>
            <w:r>
              <w:t>蒲公英</w:t>
            </w:r>
          </w:p>
        </w:tc>
        <w:tc>
          <w:tcPr>
            <w:tcW w:w="2703" w:type="pct"/>
            <w:vAlign w:val="center"/>
          </w:tcPr>
          <w:p w14:paraId="0B2CB6A5">
            <w:pPr>
              <w:pStyle w:val="179"/>
            </w:pPr>
            <w:r>
              <w:t>1.2</w:t>
            </w:r>
          </w:p>
        </w:tc>
      </w:tr>
      <w:tr w14:paraId="7910455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4263" w:type="dxa"/>
            <w:vAlign w:val="center"/>
          </w:tcPr>
          <w:p w14:paraId="36A47813">
            <w:pPr>
              <w:pStyle w:val="179"/>
            </w:pPr>
            <w:r>
              <w:rPr>
                <w:rFonts w:hint="eastAsia"/>
              </w:rPr>
              <w:t>北极花</w:t>
            </w:r>
          </w:p>
        </w:tc>
        <w:tc>
          <w:tcPr>
            <w:tcW w:w="5019" w:type="dxa"/>
            <w:vAlign w:val="center"/>
          </w:tcPr>
          <w:p w14:paraId="76F59EC3">
            <w:pPr>
              <w:pStyle w:val="179"/>
            </w:pPr>
            <w:r>
              <w:rPr>
                <w:rFonts w:hint="eastAsia"/>
              </w:rPr>
              <w:t>2.4</w:t>
            </w:r>
          </w:p>
        </w:tc>
      </w:tr>
      <w:tr w14:paraId="2E54AB4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0EA94FAC">
            <w:pPr>
              <w:pStyle w:val="179"/>
            </w:pPr>
            <w:r>
              <w:t>娄蒿</w:t>
            </w:r>
          </w:p>
        </w:tc>
        <w:tc>
          <w:tcPr>
            <w:tcW w:w="2703" w:type="pct"/>
            <w:vAlign w:val="center"/>
          </w:tcPr>
          <w:p w14:paraId="6E3A0ABF">
            <w:pPr>
              <w:pStyle w:val="179"/>
            </w:pPr>
            <w:r>
              <w:t>1.1</w:t>
            </w:r>
          </w:p>
        </w:tc>
      </w:tr>
      <w:tr w14:paraId="003DBFD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11681913">
            <w:pPr>
              <w:pStyle w:val="179"/>
            </w:pPr>
            <w:r>
              <w:t>白茅</w:t>
            </w:r>
          </w:p>
        </w:tc>
        <w:tc>
          <w:tcPr>
            <w:tcW w:w="2703" w:type="pct"/>
            <w:vAlign w:val="center"/>
          </w:tcPr>
          <w:p w14:paraId="1BB5074F">
            <w:pPr>
              <w:pStyle w:val="179"/>
            </w:pPr>
            <w:r>
              <w:t>1.1</w:t>
            </w:r>
          </w:p>
        </w:tc>
      </w:tr>
    </w:tbl>
    <w:p w14:paraId="4B0483E5">
      <w:pPr>
        <w:pStyle w:val="178"/>
      </w:pPr>
      <w:r>
        <w:t>表</w:t>
      </w:r>
      <w:r>
        <w:rPr>
          <w:rFonts w:hint="eastAsia"/>
        </w:rPr>
        <w:t xml:space="preserve">1-4  </w:t>
      </w:r>
      <w:r>
        <w:t>蒙古栎样方表（4）</w:t>
      </w:r>
    </w:p>
    <w:tbl>
      <w:tblPr>
        <w:tblStyle w:val="36"/>
        <w:tblW w:w="4996"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3913"/>
        <w:gridCol w:w="4608"/>
      </w:tblGrid>
      <w:tr w14:paraId="177CDE4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6156ECAF">
            <w:pPr>
              <w:pStyle w:val="179"/>
            </w:pPr>
            <w:r>
              <w:t>地点</w:t>
            </w:r>
          </w:p>
        </w:tc>
        <w:tc>
          <w:tcPr>
            <w:tcW w:w="2703" w:type="pct"/>
            <w:vAlign w:val="center"/>
          </w:tcPr>
          <w:p w14:paraId="51E686B1">
            <w:pPr>
              <w:pStyle w:val="179"/>
            </w:pPr>
            <w:r>
              <w:t>嫩江市塔溪乡马厂河</w:t>
            </w:r>
          </w:p>
        </w:tc>
      </w:tr>
      <w:tr w14:paraId="6C3015C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3D7A05EA">
            <w:pPr>
              <w:pStyle w:val="179"/>
            </w:pPr>
            <w:r>
              <w:t>样地面积（m</w:t>
            </w:r>
            <w:r>
              <w:rPr>
                <w:vertAlign w:val="superscript"/>
              </w:rPr>
              <w:t>2</w:t>
            </w:r>
            <w:r>
              <w:t>）</w:t>
            </w:r>
          </w:p>
        </w:tc>
        <w:tc>
          <w:tcPr>
            <w:tcW w:w="2703" w:type="pct"/>
            <w:vAlign w:val="center"/>
          </w:tcPr>
          <w:p w14:paraId="68D3D31E">
            <w:pPr>
              <w:pStyle w:val="179"/>
            </w:pPr>
            <w:r>
              <w:t>400</w:t>
            </w:r>
          </w:p>
        </w:tc>
      </w:tr>
      <w:tr w14:paraId="342EFAC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32BB684F">
            <w:pPr>
              <w:pStyle w:val="179"/>
            </w:pPr>
            <w:r>
              <w:t>经纬度</w:t>
            </w:r>
          </w:p>
        </w:tc>
        <w:tc>
          <w:tcPr>
            <w:tcW w:w="2703" w:type="pct"/>
            <w:vAlign w:val="center"/>
          </w:tcPr>
          <w:p w14:paraId="786B9A6B">
            <w:pPr>
              <w:pStyle w:val="179"/>
            </w:pPr>
            <w:r>
              <w:t>126°18′31.7016″E，49°26′58.8696″N</w:t>
            </w:r>
          </w:p>
        </w:tc>
      </w:tr>
      <w:tr w14:paraId="35E58C3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49C44059">
            <w:pPr>
              <w:pStyle w:val="179"/>
            </w:pPr>
            <w:r>
              <w:t>海拔（m）</w:t>
            </w:r>
          </w:p>
        </w:tc>
        <w:tc>
          <w:tcPr>
            <w:tcW w:w="2703" w:type="pct"/>
            <w:vAlign w:val="center"/>
          </w:tcPr>
          <w:p w14:paraId="60E4838F">
            <w:pPr>
              <w:pStyle w:val="179"/>
            </w:pPr>
            <w:r>
              <w:t>418</w:t>
            </w:r>
          </w:p>
        </w:tc>
      </w:tr>
      <w:tr w14:paraId="11ED78F1">
        <w:tblPrEx>
          <w:tblCellMar>
            <w:top w:w="0" w:type="dxa"/>
            <w:left w:w="108" w:type="dxa"/>
            <w:bottom w:w="0" w:type="dxa"/>
            <w:right w:w="108" w:type="dxa"/>
          </w:tblCellMar>
        </w:tblPrEx>
        <w:trPr>
          <w:trHeight w:val="340" w:hRule="exact"/>
          <w:jc w:val="center"/>
        </w:trPr>
        <w:tc>
          <w:tcPr>
            <w:tcW w:w="2296" w:type="pct"/>
            <w:vAlign w:val="center"/>
          </w:tcPr>
          <w:p w14:paraId="4B65E6D0">
            <w:pPr>
              <w:pStyle w:val="179"/>
            </w:pPr>
            <w:r>
              <w:t>坡向</w:t>
            </w:r>
          </w:p>
        </w:tc>
        <w:tc>
          <w:tcPr>
            <w:tcW w:w="2703" w:type="pct"/>
            <w:vAlign w:val="center"/>
          </w:tcPr>
          <w:p w14:paraId="05AA72D4">
            <w:pPr>
              <w:pStyle w:val="179"/>
            </w:pPr>
            <w:r>
              <w:t>-</w:t>
            </w:r>
          </w:p>
        </w:tc>
      </w:tr>
      <w:tr w14:paraId="2E89B1F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3A9D1B94">
            <w:pPr>
              <w:pStyle w:val="179"/>
            </w:pPr>
            <w:r>
              <w:t>坡度（°）</w:t>
            </w:r>
          </w:p>
        </w:tc>
        <w:tc>
          <w:tcPr>
            <w:tcW w:w="2703" w:type="pct"/>
            <w:vAlign w:val="center"/>
          </w:tcPr>
          <w:p w14:paraId="3F5C6BD1">
            <w:pPr>
              <w:pStyle w:val="179"/>
            </w:pPr>
            <w:r>
              <w:t>-</w:t>
            </w:r>
          </w:p>
        </w:tc>
      </w:tr>
      <w:tr w14:paraId="2F2123B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6309C0A6">
            <w:pPr>
              <w:pStyle w:val="179"/>
            </w:pPr>
            <w:r>
              <w:t>总盖度（%）</w:t>
            </w:r>
          </w:p>
        </w:tc>
        <w:tc>
          <w:tcPr>
            <w:tcW w:w="2703" w:type="pct"/>
            <w:vAlign w:val="center"/>
          </w:tcPr>
          <w:p w14:paraId="2941F518">
            <w:pPr>
              <w:pStyle w:val="179"/>
            </w:pPr>
            <w:r>
              <w:rPr>
                <w:rFonts w:hint="eastAsia"/>
              </w:rPr>
              <w:t>66</w:t>
            </w:r>
          </w:p>
        </w:tc>
      </w:tr>
      <w:tr w14:paraId="73A5B86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212F380F">
            <w:pPr>
              <w:pStyle w:val="179"/>
            </w:pPr>
            <w:r>
              <w:t>乔木层平均高度（m）</w:t>
            </w:r>
          </w:p>
        </w:tc>
        <w:tc>
          <w:tcPr>
            <w:tcW w:w="2703" w:type="pct"/>
            <w:vAlign w:val="center"/>
          </w:tcPr>
          <w:p w14:paraId="57D45286">
            <w:pPr>
              <w:pStyle w:val="179"/>
            </w:pPr>
            <w:r>
              <w:rPr>
                <w:rFonts w:hint="eastAsia"/>
              </w:rPr>
              <w:t>15</w:t>
            </w:r>
          </w:p>
        </w:tc>
      </w:tr>
      <w:tr w14:paraId="2912998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058EAC61">
            <w:pPr>
              <w:pStyle w:val="179"/>
            </w:pPr>
            <w:r>
              <w:t>乔木层盖度（%）</w:t>
            </w:r>
          </w:p>
        </w:tc>
        <w:tc>
          <w:tcPr>
            <w:tcW w:w="2703" w:type="pct"/>
            <w:vAlign w:val="center"/>
          </w:tcPr>
          <w:p w14:paraId="5EEAF987">
            <w:pPr>
              <w:pStyle w:val="179"/>
            </w:pPr>
            <w:r>
              <w:rPr>
                <w:rFonts w:hint="eastAsia"/>
              </w:rPr>
              <w:t>60</w:t>
            </w:r>
          </w:p>
        </w:tc>
      </w:tr>
      <w:tr w14:paraId="3AF28C5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01FCBB76">
            <w:pPr>
              <w:pStyle w:val="179"/>
            </w:pPr>
            <w:r>
              <w:t>灌木层高度（m）</w:t>
            </w:r>
          </w:p>
        </w:tc>
        <w:tc>
          <w:tcPr>
            <w:tcW w:w="2703" w:type="pct"/>
            <w:vAlign w:val="center"/>
          </w:tcPr>
          <w:p w14:paraId="1901383F">
            <w:pPr>
              <w:pStyle w:val="179"/>
            </w:pPr>
            <w:r>
              <w:rPr>
                <w:rFonts w:hint="eastAsia"/>
              </w:rPr>
              <w:t>1.1</w:t>
            </w:r>
          </w:p>
        </w:tc>
      </w:tr>
      <w:tr w14:paraId="5BAB5A7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0A464CB2">
            <w:pPr>
              <w:pStyle w:val="179"/>
            </w:pPr>
            <w:r>
              <w:t>灌木层盖度（%）</w:t>
            </w:r>
          </w:p>
        </w:tc>
        <w:tc>
          <w:tcPr>
            <w:tcW w:w="2703" w:type="pct"/>
            <w:vAlign w:val="center"/>
          </w:tcPr>
          <w:p w14:paraId="022F42CB">
            <w:pPr>
              <w:pStyle w:val="179"/>
            </w:pPr>
            <w:r>
              <w:rPr>
                <w:rFonts w:hint="eastAsia"/>
              </w:rPr>
              <w:t>40</w:t>
            </w:r>
          </w:p>
        </w:tc>
      </w:tr>
      <w:tr w14:paraId="20510082">
        <w:tblPrEx>
          <w:tblCellMar>
            <w:top w:w="0" w:type="dxa"/>
            <w:left w:w="108" w:type="dxa"/>
            <w:bottom w:w="0" w:type="dxa"/>
            <w:right w:w="108" w:type="dxa"/>
          </w:tblCellMar>
        </w:tblPrEx>
        <w:trPr>
          <w:trHeight w:val="340" w:hRule="exact"/>
          <w:jc w:val="center"/>
        </w:trPr>
        <w:tc>
          <w:tcPr>
            <w:tcW w:w="2296" w:type="pct"/>
            <w:vAlign w:val="center"/>
          </w:tcPr>
          <w:p w14:paraId="5B09D1BC">
            <w:pPr>
              <w:pStyle w:val="179"/>
            </w:pPr>
            <w:r>
              <w:t>草本层高度（cm）</w:t>
            </w:r>
          </w:p>
        </w:tc>
        <w:tc>
          <w:tcPr>
            <w:tcW w:w="2703" w:type="pct"/>
            <w:vAlign w:val="center"/>
          </w:tcPr>
          <w:p w14:paraId="4D6559BA">
            <w:pPr>
              <w:pStyle w:val="179"/>
            </w:pPr>
            <w:r>
              <w:rPr>
                <w:rFonts w:hint="eastAsia"/>
              </w:rPr>
              <w:t>18</w:t>
            </w:r>
          </w:p>
        </w:tc>
      </w:tr>
      <w:tr w14:paraId="7C56EA6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17E1C697">
            <w:pPr>
              <w:pStyle w:val="179"/>
            </w:pPr>
            <w:r>
              <w:t>草本层盖度（%）</w:t>
            </w:r>
          </w:p>
        </w:tc>
        <w:tc>
          <w:tcPr>
            <w:tcW w:w="2703" w:type="pct"/>
            <w:vAlign w:val="center"/>
          </w:tcPr>
          <w:p w14:paraId="62B6F503">
            <w:pPr>
              <w:pStyle w:val="179"/>
            </w:pPr>
            <w:r>
              <w:rPr>
                <w:rFonts w:hint="eastAsia"/>
              </w:rPr>
              <w:t>54</w:t>
            </w:r>
          </w:p>
        </w:tc>
      </w:tr>
      <w:tr w14:paraId="4AC68DC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5372E294">
            <w:pPr>
              <w:pStyle w:val="179"/>
            </w:pPr>
            <w:r>
              <w:t>乔木层</w:t>
            </w:r>
          </w:p>
        </w:tc>
        <w:tc>
          <w:tcPr>
            <w:tcW w:w="2703" w:type="pct"/>
            <w:vAlign w:val="center"/>
          </w:tcPr>
          <w:p w14:paraId="017B3871">
            <w:pPr>
              <w:pStyle w:val="179"/>
            </w:pPr>
            <w:r>
              <w:t>多优度-群聚度</w:t>
            </w:r>
          </w:p>
        </w:tc>
      </w:tr>
      <w:tr w14:paraId="0EC41D20">
        <w:tblPrEx>
          <w:tblCellMar>
            <w:top w:w="0" w:type="dxa"/>
            <w:left w:w="108" w:type="dxa"/>
            <w:bottom w:w="0" w:type="dxa"/>
            <w:right w:w="108" w:type="dxa"/>
          </w:tblCellMar>
        </w:tblPrEx>
        <w:trPr>
          <w:trHeight w:val="340" w:hRule="exact"/>
          <w:jc w:val="center"/>
        </w:trPr>
        <w:tc>
          <w:tcPr>
            <w:tcW w:w="2296" w:type="pct"/>
            <w:vAlign w:val="center"/>
          </w:tcPr>
          <w:p w14:paraId="0A87D9AC">
            <w:pPr>
              <w:pStyle w:val="179"/>
            </w:pPr>
            <w:r>
              <w:t>山杨</w:t>
            </w:r>
          </w:p>
        </w:tc>
        <w:tc>
          <w:tcPr>
            <w:tcW w:w="2703" w:type="pct"/>
            <w:vAlign w:val="center"/>
          </w:tcPr>
          <w:p w14:paraId="0C68E562">
            <w:pPr>
              <w:pStyle w:val="179"/>
            </w:pPr>
            <w:r>
              <w:t>4.3</w:t>
            </w:r>
          </w:p>
        </w:tc>
      </w:tr>
      <w:tr w14:paraId="0EF0C2DE">
        <w:tblPrEx>
          <w:tblCellMar>
            <w:top w:w="0" w:type="dxa"/>
            <w:left w:w="108" w:type="dxa"/>
            <w:bottom w:w="0" w:type="dxa"/>
            <w:right w:w="108" w:type="dxa"/>
          </w:tblCellMar>
        </w:tblPrEx>
        <w:trPr>
          <w:trHeight w:val="340" w:hRule="exact"/>
          <w:jc w:val="center"/>
        </w:trPr>
        <w:tc>
          <w:tcPr>
            <w:tcW w:w="2296" w:type="pct"/>
            <w:vAlign w:val="center"/>
          </w:tcPr>
          <w:p w14:paraId="6E7CA479">
            <w:pPr>
              <w:pStyle w:val="179"/>
            </w:pPr>
            <w:r>
              <w:rPr>
                <w:rFonts w:hint="eastAsia"/>
              </w:rPr>
              <w:t>落叶松</w:t>
            </w:r>
          </w:p>
        </w:tc>
        <w:tc>
          <w:tcPr>
            <w:tcW w:w="2703" w:type="pct"/>
            <w:vAlign w:val="center"/>
          </w:tcPr>
          <w:p w14:paraId="69ADB0C1">
            <w:pPr>
              <w:pStyle w:val="179"/>
            </w:pPr>
            <w:r>
              <w:rPr>
                <w:rFonts w:hint="eastAsia"/>
              </w:rPr>
              <w:t>1.1</w:t>
            </w:r>
          </w:p>
        </w:tc>
      </w:tr>
      <w:tr w14:paraId="3AF66FE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580A3FA6">
            <w:pPr>
              <w:pStyle w:val="179"/>
            </w:pPr>
            <w:r>
              <w:t>-</w:t>
            </w:r>
          </w:p>
        </w:tc>
        <w:tc>
          <w:tcPr>
            <w:tcW w:w="2703" w:type="pct"/>
            <w:vAlign w:val="center"/>
          </w:tcPr>
          <w:p w14:paraId="29CC0019">
            <w:pPr>
              <w:pStyle w:val="179"/>
            </w:pPr>
            <w:r>
              <w:t>-</w:t>
            </w:r>
          </w:p>
        </w:tc>
      </w:tr>
      <w:tr w14:paraId="7521892C">
        <w:tblPrEx>
          <w:tblCellMar>
            <w:top w:w="0" w:type="dxa"/>
            <w:left w:w="108" w:type="dxa"/>
            <w:bottom w:w="0" w:type="dxa"/>
            <w:right w:w="108" w:type="dxa"/>
          </w:tblCellMar>
        </w:tblPrEx>
        <w:trPr>
          <w:trHeight w:val="340" w:hRule="exact"/>
          <w:jc w:val="center"/>
        </w:trPr>
        <w:tc>
          <w:tcPr>
            <w:tcW w:w="2296" w:type="pct"/>
            <w:vAlign w:val="center"/>
          </w:tcPr>
          <w:p w14:paraId="3C1F99FC">
            <w:pPr>
              <w:pStyle w:val="179"/>
            </w:pPr>
            <w:r>
              <w:t>灌木层</w:t>
            </w:r>
          </w:p>
        </w:tc>
        <w:tc>
          <w:tcPr>
            <w:tcW w:w="2703" w:type="pct"/>
            <w:vAlign w:val="center"/>
          </w:tcPr>
          <w:p w14:paraId="0137A4AC">
            <w:pPr>
              <w:pStyle w:val="179"/>
            </w:pPr>
            <w:r>
              <w:t>多优度-群聚度</w:t>
            </w:r>
          </w:p>
        </w:tc>
      </w:tr>
      <w:tr w14:paraId="72364DFF">
        <w:tblPrEx>
          <w:tblCellMar>
            <w:top w:w="0" w:type="dxa"/>
            <w:left w:w="108" w:type="dxa"/>
            <w:bottom w:w="0" w:type="dxa"/>
            <w:right w:w="108" w:type="dxa"/>
          </w:tblCellMar>
        </w:tblPrEx>
        <w:trPr>
          <w:trHeight w:val="340" w:hRule="exact"/>
          <w:jc w:val="center"/>
        </w:trPr>
        <w:tc>
          <w:tcPr>
            <w:tcW w:w="2296" w:type="pct"/>
            <w:vAlign w:val="center"/>
          </w:tcPr>
          <w:p w14:paraId="38D376C9">
            <w:pPr>
              <w:pStyle w:val="179"/>
            </w:pPr>
            <w:r>
              <w:rPr>
                <w:rFonts w:hint="eastAsia"/>
              </w:rPr>
              <w:t>珍珠梅</w:t>
            </w:r>
          </w:p>
        </w:tc>
        <w:tc>
          <w:tcPr>
            <w:tcW w:w="2703" w:type="pct"/>
            <w:vAlign w:val="center"/>
          </w:tcPr>
          <w:p w14:paraId="2CB7BF22">
            <w:pPr>
              <w:pStyle w:val="179"/>
            </w:pPr>
            <w:r>
              <w:rPr>
                <w:rFonts w:hint="eastAsia"/>
              </w:rPr>
              <w:t>1.1</w:t>
            </w:r>
          </w:p>
        </w:tc>
      </w:tr>
      <w:tr w14:paraId="5E7B27CF">
        <w:tblPrEx>
          <w:tblCellMar>
            <w:top w:w="0" w:type="dxa"/>
            <w:left w:w="108" w:type="dxa"/>
            <w:bottom w:w="0" w:type="dxa"/>
            <w:right w:w="108" w:type="dxa"/>
          </w:tblCellMar>
        </w:tblPrEx>
        <w:trPr>
          <w:trHeight w:val="340" w:hRule="exact"/>
          <w:jc w:val="center"/>
        </w:trPr>
        <w:tc>
          <w:tcPr>
            <w:tcW w:w="2296" w:type="pct"/>
            <w:vAlign w:val="center"/>
          </w:tcPr>
          <w:p w14:paraId="39E0E157">
            <w:pPr>
              <w:pStyle w:val="179"/>
            </w:pPr>
            <w:r>
              <w:t>榛</w:t>
            </w:r>
          </w:p>
        </w:tc>
        <w:tc>
          <w:tcPr>
            <w:tcW w:w="2703" w:type="pct"/>
            <w:vAlign w:val="center"/>
          </w:tcPr>
          <w:p w14:paraId="257D077F">
            <w:pPr>
              <w:pStyle w:val="179"/>
            </w:pPr>
            <w:r>
              <w:t>1.1</w:t>
            </w:r>
          </w:p>
        </w:tc>
      </w:tr>
      <w:tr w14:paraId="05CD4558">
        <w:tblPrEx>
          <w:tblCellMar>
            <w:top w:w="0" w:type="dxa"/>
            <w:left w:w="108" w:type="dxa"/>
            <w:bottom w:w="0" w:type="dxa"/>
            <w:right w:w="108" w:type="dxa"/>
          </w:tblCellMar>
        </w:tblPrEx>
        <w:trPr>
          <w:trHeight w:val="340" w:hRule="exact"/>
          <w:jc w:val="center"/>
        </w:trPr>
        <w:tc>
          <w:tcPr>
            <w:tcW w:w="2296" w:type="pct"/>
            <w:vAlign w:val="center"/>
          </w:tcPr>
          <w:p w14:paraId="21CC6E39">
            <w:pPr>
              <w:pStyle w:val="179"/>
            </w:pPr>
            <w:r>
              <w:t>-</w:t>
            </w:r>
          </w:p>
        </w:tc>
        <w:tc>
          <w:tcPr>
            <w:tcW w:w="2703" w:type="pct"/>
            <w:vAlign w:val="center"/>
          </w:tcPr>
          <w:p w14:paraId="444614EE">
            <w:pPr>
              <w:pStyle w:val="179"/>
            </w:pPr>
            <w:r>
              <w:t>-</w:t>
            </w:r>
          </w:p>
        </w:tc>
      </w:tr>
      <w:tr w14:paraId="0AD4396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26C13501">
            <w:pPr>
              <w:pStyle w:val="179"/>
            </w:pPr>
            <w:r>
              <w:t>草本层</w:t>
            </w:r>
          </w:p>
        </w:tc>
        <w:tc>
          <w:tcPr>
            <w:tcW w:w="2703" w:type="pct"/>
            <w:vAlign w:val="center"/>
          </w:tcPr>
          <w:p w14:paraId="670AA078">
            <w:pPr>
              <w:pStyle w:val="179"/>
            </w:pPr>
            <w:r>
              <w:t>多优度-群聚度</w:t>
            </w:r>
          </w:p>
        </w:tc>
      </w:tr>
      <w:tr w14:paraId="798CBA5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5CCD78E9">
            <w:pPr>
              <w:pStyle w:val="179"/>
            </w:pPr>
            <w:r>
              <w:rPr>
                <w:rFonts w:hint="eastAsia"/>
              </w:rPr>
              <w:t>中华草沙蚕</w:t>
            </w:r>
          </w:p>
        </w:tc>
        <w:tc>
          <w:tcPr>
            <w:tcW w:w="2703" w:type="pct"/>
            <w:vAlign w:val="center"/>
          </w:tcPr>
          <w:p w14:paraId="3E54DCF5">
            <w:pPr>
              <w:pStyle w:val="179"/>
            </w:pPr>
            <w:r>
              <w:rPr>
                <w:rFonts w:hint="eastAsia"/>
              </w:rPr>
              <w:t>2</w:t>
            </w:r>
            <w:r>
              <w:t>.</w:t>
            </w:r>
            <w:r>
              <w:rPr>
                <w:rFonts w:hint="eastAsia"/>
              </w:rPr>
              <w:t>5</w:t>
            </w:r>
          </w:p>
        </w:tc>
      </w:tr>
      <w:tr w14:paraId="0F30503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2FB2A6E5">
            <w:pPr>
              <w:pStyle w:val="179"/>
            </w:pPr>
            <w:r>
              <w:t>蒌蒿</w:t>
            </w:r>
          </w:p>
        </w:tc>
        <w:tc>
          <w:tcPr>
            <w:tcW w:w="2703" w:type="pct"/>
            <w:vAlign w:val="center"/>
          </w:tcPr>
          <w:p w14:paraId="3399FCB3">
            <w:pPr>
              <w:pStyle w:val="179"/>
            </w:pPr>
            <w:r>
              <w:t>1.2</w:t>
            </w:r>
          </w:p>
        </w:tc>
      </w:tr>
      <w:tr w14:paraId="379C02A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0714D2CC">
            <w:pPr>
              <w:pStyle w:val="179"/>
            </w:pPr>
            <w:r>
              <w:rPr>
                <w:rFonts w:hint="eastAsia"/>
              </w:rPr>
              <w:t>白茅</w:t>
            </w:r>
          </w:p>
        </w:tc>
        <w:tc>
          <w:tcPr>
            <w:tcW w:w="2703" w:type="pct"/>
            <w:vAlign w:val="center"/>
          </w:tcPr>
          <w:p w14:paraId="628BCDC8">
            <w:pPr>
              <w:pStyle w:val="179"/>
            </w:pPr>
            <w:r>
              <w:rPr>
                <w:rFonts w:hint="eastAsia"/>
              </w:rPr>
              <w:t>2.4</w:t>
            </w:r>
          </w:p>
        </w:tc>
      </w:tr>
      <w:tr w14:paraId="7DFE7F6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3F7971EA">
            <w:pPr>
              <w:pStyle w:val="179"/>
            </w:pPr>
            <w:r>
              <w:t>地榆</w:t>
            </w:r>
          </w:p>
        </w:tc>
        <w:tc>
          <w:tcPr>
            <w:tcW w:w="2703" w:type="pct"/>
            <w:vAlign w:val="center"/>
          </w:tcPr>
          <w:p w14:paraId="7824965A">
            <w:pPr>
              <w:pStyle w:val="179"/>
            </w:pPr>
            <w:r>
              <w:t>1.1</w:t>
            </w:r>
          </w:p>
        </w:tc>
      </w:tr>
      <w:tr w14:paraId="2CCCA2A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0DD6FA1B">
            <w:pPr>
              <w:pStyle w:val="179"/>
            </w:pPr>
            <w:r>
              <w:t>长萼鸡眼草</w:t>
            </w:r>
          </w:p>
        </w:tc>
        <w:tc>
          <w:tcPr>
            <w:tcW w:w="2703" w:type="pct"/>
            <w:vAlign w:val="center"/>
          </w:tcPr>
          <w:p w14:paraId="0E521456">
            <w:pPr>
              <w:pStyle w:val="179"/>
            </w:pPr>
            <w:r>
              <w:t>1.1</w:t>
            </w:r>
          </w:p>
        </w:tc>
      </w:tr>
      <w:tr w14:paraId="7D43ECF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30ED7CA5">
            <w:pPr>
              <w:pStyle w:val="179"/>
            </w:pPr>
            <w:r>
              <w:rPr>
                <w:rFonts w:hint="eastAsia"/>
              </w:rPr>
              <w:t>库页悬钩子</w:t>
            </w:r>
          </w:p>
        </w:tc>
        <w:tc>
          <w:tcPr>
            <w:tcW w:w="2703" w:type="pct"/>
            <w:vAlign w:val="center"/>
          </w:tcPr>
          <w:p w14:paraId="6E654CB1">
            <w:pPr>
              <w:pStyle w:val="179"/>
            </w:pPr>
            <w:r>
              <w:rPr>
                <w:rFonts w:hint="eastAsia"/>
              </w:rPr>
              <w:t>1.1</w:t>
            </w:r>
          </w:p>
        </w:tc>
      </w:tr>
      <w:tr w14:paraId="04659D0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387CA5C0">
            <w:pPr>
              <w:pStyle w:val="179"/>
            </w:pPr>
            <w:r>
              <w:rPr>
                <w:rFonts w:hint="eastAsia"/>
              </w:rPr>
              <w:t>宽叶荨麻</w:t>
            </w:r>
          </w:p>
          <w:p w14:paraId="34F772B4">
            <w:pPr>
              <w:pStyle w:val="179"/>
            </w:pPr>
          </w:p>
        </w:tc>
        <w:tc>
          <w:tcPr>
            <w:tcW w:w="2703" w:type="pct"/>
            <w:vAlign w:val="center"/>
          </w:tcPr>
          <w:p w14:paraId="7F94BD5E">
            <w:pPr>
              <w:pStyle w:val="179"/>
            </w:pPr>
            <w:r>
              <w:rPr>
                <w:rFonts w:hint="eastAsia"/>
              </w:rPr>
              <w:t>1.1</w:t>
            </w:r>
          </w:p>
        </w:tc>
      </w:tr>
    </w:tbl>
    <w:p w14:paraId="7BDA686D">
      <w:pPr>
        <w:pStyle w:val="178"/>
      </w:pPr>
      <w:r>
        <w:t>表</w:t>
      </w:r>
      <w:r>
        <w:rPr>
          <w:rFonts w:hint="eastAsia"/>
        </w:rPr>
        <w:t xml:space="preserve">1-5  </w:t>
      </w:r>
      <w:r>
        <w:t>蒙古栎样方表（5）</w:t>
      </w:r>
    </w:p>
    <w:tbl>
      <w:tblPr>
        <w:tblStyle w:val="36"/>
        <w:tblW w:w="4996"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3913"/>
        <w:gridCol w:w="4608"/>
      </w:tblGrid>
      <w:tr w14:paraId="45C16AD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0E51FFF2">
            <w:pPr>
              <w:pStyle w:val="179"/>
            </w:pPr>
            <w:r>
              <w:t>地点</w:t>
            </w:r>
          </w:p>
        </w:tc>
        <w:tc>
          <w:tcPr>
            <w:tcW w:w="2703" w:type="pct"/>
            <w:vAlign w:val="center"/>
          </w:tcPr>
          <w:p w14:paraId="327AE953">
            <w:pPr>
              <w:pStyle w:val="179"/>
            </w:pPr>
            <w:r>
              <w:t>嫩江市塔溪乡马厂河</w:t>
            </w:r>
          </w:p>
        </w:tc>
      </w:tr>
      <w:tr w14:paraId="718B728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74E0E4DA">
            <w:pPr>
              <w:pStyle w:val="179"/>
            </w:pPr>
            <w:r>
              <w:t>样地面积（m</w:t>
            </w:r>
            <w:r>
              <w:rPr>
                <w:vertAlign w:val="superscript"/>
              </w:rPr>
              <w:t>2</w:t>
            </w:r>
            <w:r>
              <w:t>）</w:t>
            </w:r>
          </w:p>
        </w:tc>
        <w:tc>
          <w:tcPr>
            <w:tcW w:w="2703" w:type="pct"/>
            <w:vAlign w:val="center"/>
          </w:tcPr>
          <w:p w14:paraId="79C5733F">
            <w:pPr>
              <w:pStyle w:val="179"/>
            </w:pPr>
            <w:r>
              <w:t>400</w:t>
            </w:r>
          </w:p>
        </w:tc>
      </w:tr>
      <w:tr w14:paraId="225A555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2553D529">
            <w:pPr>
              <w:pStyle w:val="179"/>
            </w:pPr>
            <w:r>
              <w:t>经纬度</w:t>
            </w:r>
          </w:p>
        </w:tc>
        <w:tc>
          <w:tcPr>
            <w:tcW w:w="2703" w:type="pct"/>
            <w:vAlign w:val="center"/>
          </w:tcPr>
          <w:p w14:paraId="1A6D49B4">
            <w:pPr>
              <w:pStyle w:val="179"/>
            </w:pPr>
            <w:r>
              <w:t>126°17′17.5092″E，49°26′55.4338″N</w:t>
            </w:r>
          </w:p>
        </w:tc>
      </w:tr>
      <w:tr w14:paraId="315C03C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27FBBB7C">
            <w:pPr>
              <w:pStyle w:val="179"/>
            </w:pPr>
            <w:r>
              <w:t>海拔（m）</w:t>
            </w:r>
          </w:p>
        </w:tc>
        <w:tc>
          <w:tcPr>
            <w:tcW w:w="2703" w:type="pct"/>
            <w:vAlign w:val="center"/>
          </w:tcPr>
          <w:p w14:paraId="7AE2D786">
            <w:pPr>
              <w:pStyle w:val="179"/>
            </w:pPr>
            <w:r>
              <w:t>418</w:t>
            </w:r>
          </w:p>
        </w:tc>
      </w:tr>
      <w:tr w14:paraId="6DE4EC9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38AA545E">
            <w:pPr>
              <w:pStyle w:val="179"/>
            </w:pPr>
            <w:r>
              <w:t>坡向</w:t>
            </w:r>
          </w:p>
        </w:tc>
        <w:tc>
          <w:tcPr>
            <w:tcW w:w="2703" w:type="pct"/>
            <w:vAlign w:val="center"/>
          </w:tcPr>
          <w:p w14:paraId="6A22F1B3">
            <w:pPr>
              <w:pStyle w:val="179"/>
            </w:pPr>
            <w:r>
              <w:t>-</w:t>
            </w:r>
          </w:p>
        </w:tc>
      </w:tr>
      <w:tr w14:paraId="3F04D633">
        <w:tblPrEx>
          <w:tblCellMar>
            <w:top w:w="0" w:type="dxa"/>
            <w:left w:w="108" w:type="dxa"/>
            <w:bottom w:w="0" w:type="dxa"/>
            <w:right w:w="108" w:type="dxa"/>
          </w:tblCellMar>
        </w:tblPrEx>
        <w:trPr>
          <w:trHeight w:val="340" w:hRule="exact"/>
          <w:jc w:val="center"/>
        </w:trPr>
        <w:tc>
          <w:tcPr>
            <w:tcW w:w="2296" w:type="pct"/>
            <w:vAlign w:val="center"/>
          </w:tcPr>
          <w:p w14:paraId="2B235A04">
            <w:pPr>
              <w:pStyle w:val="179"/>
            </w:pPr>
            <w:r>
              <w:t>坡度（°）</w:t>
            </w:r>
          </w:p>
        </w:tc>
        <w:tc>
          <w:tcPr>
            <w:tcW w:w="2703" w:type="pct"/>
            <w:vAlign w:val="center"/>
          </w:tcPr>
          <w:p w14:paraId="3A9D641D">
            <w:pPr>
              <w:pStyle w:val="179"/>
            </w:pPr>
            <w:r>
              <w:t>-</w:t>
            </w:r>
          </w:p>
        </w:tc>
      </w:tr>
      <w:tr w14:paraId="6FA08FC8">
        <w:tblPrEx>
          <w:tblCellMar>
            <w:top w:w="0" w:type="dxa"/>
            <w:left w:w="108" w:type="dxa"/>
            <w:bottom w:w="0" w:type="dxa"/>
            <w:right w:w="108" w:type="dxa"/>
          </w:tblCellMar>
        </w:tblPrEx>
        <w:trPr>
          <w:trHeight w:val="340" w:hRule="exact"/>
          <w:jc w:val="center"/>
        </w:trPr>
        <w:tc>
          <w:tcPr>
            <w:tcW w:w="2296" w:type="pct"/>
            <w:vAlign w:val="center"/>
          </w:tcPr>
          <w:p w14:paraId="57FA538E">
            <w:pPr>
              <w:pStyle w:val="179"/>
            </w:pPr>
            <w:r>
              <w:t>总盖度（%）</w:t>
            </w:r>
          </w:p>
        </w:tc>
        <w:tc>
          <w:tcPr>
            <w:tcW w:w="5018" w:type="dxa"/>
            <w:vAlign w:val="center"/>
          </w:tcPr>
          <w:p w14:paraId="22D5D974">
            <w:pPr>
              <w:pStyle w:val="179"/>
            </w:pPr>
            <w:r>
              <w:rPr>
                <w:rFonts w:hint="eastAsia"/>
              </w:rPr>
              <w:t>61</w:t>
            </w:r>
          </w:p>
        </w:tc>
      </w:tr>
      <w:tr w14:paraId="04C350CC">
        <w:tblPrEx>
          <w:tblCellMar>
            <w:top w:w="0" w:type="dxa"/>
            <w:left w:w="108" w:type="dxa"/>
            <w:bottom w:w="0" w:type="dxa"/>
            <w:right w:w="108" w:type="dxa"/>
          </w:tblCellMar>
        </w:tblPrEx>
        <w:trPr>
          <w:trHeight w:val="340" w:hRule="exact"/>
          <w:jc w:val="center"/>
        </w:trPr>
        <w:tc>
          <w:tcPr>
            <w:tcW w:w="2296" w:type="pct"/>
            <w:vAlign w:val="center"/>
          </w:tcPr>
          <w:p w14:paraId="38295C7D">
            <w:pPr>
              <w:pStyle w:val="179"/>
            </w:pPr>
            <w:r>
              <w:t>乔木层平均高度（m）</w:t>
            </w:r>
          </w:p>
        </w:tc>
        <w:tc>
          <w:tcPr>
            <w:tcW w:w="5018" w:type="dxa"/>
            <w:vAlign w:val="center"/>
          </w:tcPr>
          <w:p w14:paraId="6C2BB691">
            <w:pPr>
              <w:pStyle w:val="179"/>
            </w:pPr>
            <w:r>
              <w:rPr>
                <w:rFonts w:hint="eastAsia"/>
              </w:rPr>
              <w:t>17</w:t>
            </w:r>
          </w:p>
        </w:tc>
      </w:tr>
      <w:tr w14:paraId="36ED10A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413CEE62">
            <w:pPr>
              <w:pStyle w:val="179"/>
            </w:pPr>
            <w:r>
              <w:t>乔木层盖度（%）</w:t>
            </w:r>
          </w:p>
        </w:tc>
        <w:tc>
          <w:tcPr>
            <w:tcW w:w="5018" w:type="dxa"/>
            <w:vAlign w:val="center"/>
          </w:tcPr>
          <w:p w14:paraId="1C6AE43D">
            <w:pPr>
              <w:pStyle w:val="179"/>
            </w:pPr>
            <w:r>
              <w:rPr>
                <w:rFonts w:hint="eastAsia"/>
              </w:rPr>
              <w:t>55</w:t>
            </w:r>
          </w:p>
        </w:tc>
      </w:tr>
      <w:tr w14:paraId="79470E6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16EB608C">
            <w:pPr>
              <w:pStyle w:val="179"/>
            </w:pPr>
            <w:r>
              <w:t>灌木层高度（m）</w:t>
            </w:r>
          </w:p>
        </w:tc>
        <w:tc>
          <w:tcPr>
            <w:tcW w:w="5018" w:type="dxa"/>
            <w:vAlign w:val="center"/>
          </w:tcPr>
          <w:p w14:paraId="1C64D2FD">
            <w:pPr>
              <w:pStyle w:val="179"/>
            </w:pPr>
            <w:r>
              <w:rPr>
                <w:rFonts w:hint="eastAsia"/>
              </w:rPr>
              <w:t>0.8</w:t>
            </w:r>
          </w:p>
        </w:tc>
      </w:tr>
      <w:tr w14:paraId="6F5104C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379AAC39">
            <w:pPr>
              <w:pStyle w:val="179"/>
            </w:pPr>
            <w:r>
              <w:t>灌木层盖度（%）</w:t>
            </w:r>
          </w:p>
        </w:tc>
        <w:tc>
          <w:tcPr>
            <w:tcW w:w="5018" w:type="dxa"/>
            <w:vAlign w:val="center"/>
          </w:tcPr>
          <w:p w14:paraId="3005D4B8">
            <w:pPr>
              <w:pStyle w:val="179"/>
            </w:pPr>
            <w:r>
              <w:rPr>
                <w:rFonts w:hint="eastAsia"/>
              </w:rPr>
              <w:t>35</w:t>
            </w:r>
          </w:p>
        </w:tc>
      </w:tr>
      <w:tr w14:paraId="75C225A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097CF08A">
            <w:pPr>
              <w:pStyle w:val="179"/>
            </w:pPr>
            <w:r>
              <w:t>草本层高度（cm）</w:t>
            </w:r>
          </w:p>
        </w:tc>
        <w:tc>
          <w:tcPr>
            <w:tcW w:w="5018" w:type="dxa"/>
            <w:vAlign w:val="center"/>
          </w:tcPr>
          <w:p w14:paraId="24AFCCA5">
            <w:pPr>
              <w:pStyle w:val="179"/>
            </w:pPr>
            <w:r>
              <w:rPr>
                <w:rFonts w:hint="eastAsia"/>
              </w:rPr>
              <w:t>15</w:t>
            </w:r>
          </w:p>
        </w:tc>
      </w:tr>
      <w:tr w14:paraId="4346909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02F3E0C6">
            <w:pPr>
              <w:pStyle w:val="179"/>
            </w:pPr>
            <w:r>
              <w:t>草本层盖度（%）</w:t>
            </w:r>
          </w:p>
        </w:tc>
        <w:tc>
          <w:tcPr>
            <w:tcW w:w="5018" w:type="dxa"/>
            <w:vAlign w:val="center"/>
          </w:tcPr>
          <w:p w14:paraId="6B4662F2">
            <w:pPr>
              <w:pStyle w:val="179"/>
            </w:pPr>
            <w:r>
              <w:rPr>
                <w:rFonts w:hint="eastAsia"/>
              </w:rPr>
              <w:t>61</w:t>
            </w:r>
          </w:p>
        </w:tc>
      </w:tr>
      <w:tr w14:paraId="4C99303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543E2448">
            <w:pPr>
              <w:pStyle w:val="179"/>
            </w:pPr>
            <w:r>
              <w:t>乔木层</w:t>
            </w:r>
          </w:p>
        </w:tc>
        <w:tc>
          <w:tcPr>
            <w:tcW w:w="2703" w:type="pct"/>
            <w:vAlign w:val="center"/>
          </w:tcPr>
          <w:p w14:paraId="10394D9A">
            <w:pPr>
              <w:pStyle w:val="179"/>
            </w:pPr>
            <w:r>
              <w:t>多优度-群聚度</w:t>
            </w:r>
          </w:p>
        </w:tc>
      </w:tr>
      <w:tr w14:paraId="432FEE8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7CE2FF05">
            <w:pPr>
              <w:pStyle w:val="179"/>
            </w:pPr>
            <w:r>
              <w:t>山杨</w:t>
            </w:r>
          </w:p>
        </w:tc>
        <w:tc>
          <w:tcPr>
            <w:tcW w:w="2703" w:type="pct"/>
            <w:vAlign w:val="center"/>
          </w:tcPr>
          <w:p w14:paraId="1AF39326">
            <w:pPr>
              <w:pStyle w:val="179"/>
            </w:pPr>
            <w:r>
              <w:t>4.3</w:t>
            </w:r>
          </w:p>
        </w:tc>
      </w:tr>
      <w:tr w14:paraId="1E53DBF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59D12703">
            <w:pPr>
              <w:pStyle w:val="179"/>
            </w:pPr>
            <w:r>
              <w:rPr>
                <w:rFonts w:hint="eastAsia"/>
              </w:rPr>
              <w:t>落叶松</w:t>
            </w:r>
          </w:p>
        </w:tc>
        <w:tc>
          <w:tcPr>
            <w:tcW w:w="2703" w:type="pct"/>
            <w:vAlign w:val="center"/>
          </w:tcPr>
          <w:p w14:paraId="7570EF34">
            <w:pPr>
              <w:pStyle w:val="179"/>
            </w:pPr>
            <w:r>
              <w:rPr>
                <w:rFonts w:hint="eastAsia"/>
              </w:rPr>
              <w:t>1.1</w:t>
            </w:r>
          </w:p>
        </w:tc>
      </w:tr>
      <w:tr w14:paraId="67BEE42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3566D578">
            <w:pPr>
              <w:pStyle w:val="179"/>
            </w:pPr>
            <w:r>
              <w:t>白桦</w:t>
            </w:r>
          </w:p>
        </w:tc>
        <w:tc>
          <w:tcPr>
            <w:tcW w:w="2703" w:type="pct"/>
            <w:vAlign w:val="center"/>
          </w:tcPr>
          <w:p w14:paraId="1F51366B">
            <w:pPr>
              <w:pStyle w:val="179"/>
            </w:pPr>
            <w:r>
              <w:t>1.1</w:t>
            </w:r>
          </w:p>
        </w:tc>
      </w:tr>
      <w:tr w14:paraId="3C574E1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02B2B570">
            <w:pPr>
              <w:pStyle w:val="179"/>
            </w:pPr>
            <w:r>
              <w:t>-</w:t>
            </w:r>
          </w:p>
        </w:tc>
        <w:tc>
          <w:tcPr>
            <w:tcW w:w="2703" w:type="pct"/>
            <w:vAlign w:val="center"/>
          </w:tcPr>
          <w:p w14:paraId="426E8501">
            <w:pPr>
              <w:pStyle w:val="179"/>
            </w:pPr>
            <w:r>
              <w:t>-</w:t>
            </w:r>
          </w:p>
        </w:tc>
      </w:tr>
      <w:tr w14:paraId="27B00ED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51065DD9">
            <w:pPr>
              <w:pStyle w:val="179"/>
            </w:pPr>
            <w:r>
              <w:t>灌木层</w:t>
            </w:r>
          </w:p>
        </w:tc>
        <w:tc>
          <w:tcPr>
            <w:tcW w:w="2703" w:type="pct"/>
            <w:vAlign w:val="center"/>
          </w:tcPr>
          <w:p w14:paraId="43092A7C">
            <w:pPr>
              <w:pStyle w:val="179"/>
            </w:pPr>
            <w:r>
              <w:t>多优度-群聚度</w:t>
            </w:r>
          </w:p>
        </w:tc>
      </w:tr>
      <w:tr w14:paraId="21C43C13">
        <w:tblPrEx>
          <w:tblCellMar>
            <w:top w:w="0" w:type="dxa"/>
            <w:left w:w="108" w:type="dxa"/>
            <w:bottom w:w="0" w:type="dxa"/>
            <w:right w:w="108" w:type="dxa"/>
          </w:tblCellMar>
        </w:tblPrEx>
        <w:trPr>
          <w:trHeight w:val="340" w:hRule="exact"/>
          <w:jc w:val="center"/>
        </w:trPr>
        <w:tc>
          <w:tcPr>
            <w:tcW w:w="4263" w:type="dxa"/>
            <w:vAlign w:val="center"/>
          </w:tcPr>
          <w:p w14:paraId="68F465EF">
            <w:pPr>
              <w:pStyle w:val="179"/>
            </w:pPr>
            <w:r>
              <w:rPr>
                <w:rFonts w:hint="eastAsia"/>
              </w:rPr>
              <w:t>榆树</w:t>
            </w:r>
          </w:p>
        </w:tc>
        <w:tc>
          <w:tcPr>
            <w:tcW w:w="5018" w:type="dxa"/>
            <w:vAlign w:val="center"/>
          </w:tcPr>
          <w:p w14:paraId="405CF3E6">
            <w:pPr>
              <w:pStyle w:val="179"/>
            </w:pPr>
            <w:r>
              <w:rPr>
                <w:rFonts w:hint="eastAsia"/>
              </w:rPr>
              <w:t>1.1</w:t>
            </w:r>
          </w:p>
        </w:tc>
      </w:tr>
      <w:tr w14:paraId="25C1244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107E6269">
            <w:pPr>
              <w:pStyle w:val="179"/>
            </w:pPr>
            <w:r>
              <w:t>胡枝子</w:t>
            </w:r>
          </w:p>
        </w:tc>
        <w:tc>
          <w:tcPr>
            <w:tcW w:w="2703" w:type="pct"/>
            <w:vAlign w:val="center"/>
          </w:tcPr>
          <w:p w14:paraId="0134719B">
            <w:pPr>
              <w:pStyle w:val="179"/>
            </w:pPr>
            <w:r>
              <w:t>1.1</w:t>
            </w:r>
          </w:p>
        </w:tc>
      </w:tr>
      <w:tr w14:paraId="1B37EF5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022477A9">
            <w:pPr>
              <w:pStyle w:val="179"/>
            </w:pPr>
            <w:r>
              <w:t>蒿柳</w:t>
            </w:r>
          </w:p>
        </w:tc>
        <w:tc>
          <w:tcPr>
            <w:tcW w:w="2703" w:type="pct"/>
            <w:vAlign w:val="center"/>
          </w:tcPr>
          <w:p w14:paraId="5C72B730">
            <w:pPr>
              <w:pStyle w:val="179"/>
            </w:pPr>
            <w:r>
              <w:t>1.1</w:t>
            </w:r>
          </w:p>
        </w:tc>
      </w:tr>
      <w:tr w14:paraId="2BAB50F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67BA401E">
            <w:pPr>
              <w:pStyle w:val="179"/>
            </w:pPr>
            <w:r>
              <w:t>草本层</w:t>
            </w:r>
          </w:p>
        </w:tc>
        <w:tc>
          <w:tcPr>
            <w:tcW w:w="2703" w:type="pct"/>
            <w:vAlign w:val="center"/>
          </w:tcPr>
          <w:p w14:paraId="61FD1B03">
            <w:pPr>
              <w:pStyle w:val="179"/>
            </w:pPr>
            <w:r>
              <w:t>多优度-群聚度</w:t>
            </w:r>
          </w:p>
        </w:tc>
      </w:tr>
      <w:tr w14:paraId="04FCC96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63" w:type="dxa"/>
            <w:vAlign w:val="center"/>
          </w:tcPr>
          <w:p w14:paraId="4273D81E">
            <w:pPr>
              <w:pStyle w:val="179"/>
            </w:pPr>
            <w:r>
              <w:t>大叶章</w:t>
            </w:r>
          </w:p>
        </w:tc>
        <w:tc>
          <w:tcPr>
            <w:tcW w:w="5018" w:type="dxa"/>
            <w:vAlign w:val="center"/>
          </w:tcPr>
          <w:p w14:paraId="15E3CAF2">
            <w:pPr>
              <w:pStyle w:val="179"/>
            </w:pPr>
            <w:r>
              <w:t>2.5</w:t>
            </w:r>
          </w:p>
        </w:tc>
      </w:tr>
      <w:tr w14:paraId="66860B2F">
        <w:tblPrEx>
          <w:tblCellMar>
            <w:top w:w="0" w:type="dxa"/>
            <w:left w:w="108" w:type="dxa"/>
            <w:bottom w:w="0" w:type="dxa"/>
            <w:right w:w="108" w:type="dxa"/>
          </w:tblCellMar>
        </w:tblPrEx>
        <w:trPr>
          <w:trHeight w:val="340" w:hRule="atLeast"/>
          <w:jc w:val="center"/>
        </w:trPr>
        <w:tc>
          <w:tcPr>
            <w:tcW w:w="2296" w:type="pct"/>
            <w:vAlign w:val="center"/>
          </w:tcPr>
          <w:p w14:paraId="390EBFD5">
            <w:pPr>
              <w:pStyle w:val="179"/>
            </w:pPr>
            <w:r>
              <w:t>莓叶委陵菜蒿</w:t>
            </w:r>
          </w:p>
        </w:tc>
        <w:tc>
          <w:tcPr>
            <w:tcW w:w="2703" w:type="pct"/>
            <w:vAlign w:val="center"/>
          </w:tcPr>
          <w:p w14:paraId="687C9F37">
            <w:pPr>
              <w:pStyle w:val="179"/>
            </w:pPr>
            <w:r>
              <w:t>1.2</w:t>
            </w:r>
          </w:p>
        </w:tc>
      </w:tr>
      <w:tr w14:paraId="7150F02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63" w:type="dxa"/>
            <w:vAlign w:val="center"/>
          </w:tcPr>
          <w:p w14:paraId="0BAA8FB4">
            <w:pPr>
              <w:pStyle w:val="179"/>
            </w:pPr>
            <w:r>
              <w:t>白茅</w:t>
            </w:r>
          </w:p>
        </w:tc>
        <w:tc>
          <w:tcPr>
            <w:tcW w:w="5019" w:type="dxa"/>
            <w:vAlign w:val="center"/>
          </w:tcPr>
          <w:p w14:paraId="41DAF375">
            <w:pPr>
              <w:pStyle w:val="179"/>
            </w:pPr>
            <w:r>
              <w:t>2.4</w:t>
            </w:r>
          </w:p>
        </w:tc>
      </w:tr>
      <w:tr w14:paraId="7D65233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30EFCF38">
            <w:pPr>
              <w:pStyle w:val="179"/>
            </w:pPr>
            <w:r>
              <w:t>小白花地榆</w:t>
            </w:r>
          </w:p>
        </w:tc>
        <w:tc>
          <w:tcPr>
            <w:tcW w:w="2703" w:type="pct"/>
            <w:vAlign w:val="center"/>
          </w:tcPr>
          <w:p w14:paraId="5BFC5250">
            <w:pPr>
              <w:pStyle w:val="179"/>
            </w:pPr>
            <w:r>
              <w:t>1.1</w:t>
            </w:r>
          </w:p>
        </w:tc>
      </w:tr>
      <w:tr w14:paraId="1F7DBBE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2DF52FAF">
            <w:pPr>
              <w:pStyle w:val="179"/>
            </w:pPr>
            <w:r>
              <w:t>红花鹿蹄草</w:t>
            </w:r>
          </w:p>
        </w:tc>
        <w:tc>
          <w:tcPr>
            <w:tcW w:w="2703" w:type="pct"/>
            <w:vAlign w:val="center"/>
          </w:tcPr>
          <w:p w14:paraId="330A999A">
            <w:pPr>
              <w:pStyle w:val="179"/>
            </w:pPr>
            <w:r>
              <w:t>1.1</w:t>
            </w:r>
          </w:p>
        </w:tc>
      </w:tr>
      <w:tr w14:paraId="7E7AAF1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3032E47B">
            <w:pPr>
              <w:pStyle w:val="179"/>
            </w:pPr>
            <w:r>
              <w:t>长萼鸡眼草</w:t>
            </w:r>
          </w:p>
        </w:tc>
        <w:tc>
          <w:tcPr>
            <w:tcW w:w="2703" w:type="pct"/>
            <w:vAlign w:val="center"/>
          </w:tcPr>
          <w:p w14:paraId="33BF7FD7">
            <w:pPr>
              <w:pStyle w:val="179"/>
            </w:pPr>
            <w:r>
              <w:t>1.1</w:t>
            </w:r>
          </w:p>
        </w:tc>
      </w:tr>
      <w:tr w14:paraId="1721F6C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63" w:type="dxa"/>
            <w:vAlign w:val="center"/>
          </w:tcPr>
          <w:p w14:paraId="49C34534">
            <w:pPr>
              <w:pStyle w:val="179"/>
            </w:pPr>
            <w:r>
              <w:t>蚊子草</w:t>
            </w:r>
          </w:p>
        </w:tc>
        <w:tc>
          <w:tcPr>
            <w:tcW w:w="5018" w:type="dxa"/>
            <w:vAlign w:val="center"/>
          </w:tcPr>
          <w:p w14:paraId="14A899C1">
            <w:pPr>
              <w:pStyle w:val="179"/>
            </w:pPr>
            <w:r>
              <w:t>1.2</w:t>
            </w:r>
          </w:p>
        </w:tc>
      </w:tr>
      <w:tr w14:paraId="4668335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63" w:type="dxa"/>
            <w:vAlign w:val="center"/>
          </w:tcPr>
          <w:p w14:paraId="31B597F3">
            <w:pPr>
              <w:pStyle w:val="179"/>
            </w:pPr>
            <w:r>
              <w:t>毛蕊老鹳草</w:t>
            </w:r>
          </w:p>
        </w:tc>
        <w:tc>
          <w:tcPr>
            <w:tcW w:w="5018" w:type="dxa"/>
            <w:vAlign w:val="center"/>
          </w:tcPr>
          <w:p w14:paraId="18BE4A64">
            <w:pPr>
              <w:pStyle w:val="179"/>
            </w:pPr>
            <w:r>
              <w:t>1.1</w:t>
            </w:r>
          </w:p>
        </w:tc>
      </w:tr>
      <w:tr w14:paraId="7EB72F0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63" w:type="dxa"/>
            <w:vAlign w:val="center"/>
          </w:tcPr>
          <w:p w14:paraId="530DB3E3">
            <w:pPr>
              <w:pStyle w:val="179"/>
            </w:pPr>
            <w:r>
              <w:t>东北婆婆纳</w:t>
            </w:r>
          </w:p>
        </w:tc>
        <w:tc>
          <w:tcPr>
            <w:tcW w:w="5018" w:type="dxa"/>
            <w:vAlign w:val="center"/>
          </w:tcPr>
          <w:p w14:paraId="1656BEF5">
            <w:pPr>
              <w:pStyle w:val="179"/>
            </w:pPr>
            <w:r>
              <w:t>1.1</w:t>
            </w:r>
          </w:p>
        </w:tc>
      </w:tr>
    </w:tbl>
    <w:p w14:paraId="627F1D80">
      <w:pPr>
        <w:pStyle w:val="178"/>
      </w:pPr>
      <w:r>
        <w:t>表</w:t>
      </w:r>
      <w:r>
        <w:rPr>
          <w:rFonts w:hint="eastAsia"/>
        </w:rPr>
        <w:t xml:space="preserve">1-6  </w:t>
      </w:r>
      <w:r>
        <w:t>落叶松林样方表（1）</w:t>
      </w:r>
    </w:p>
    <w:tbl>
      <w:tblPr>
        <w:tblStyle w:val="36"/>
        <w:tblW w:w="4996"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3913"/>
        <w:gridCol w:w="4608"/>
      </w:tblGrid>
      <w:tr w14:paraId="2D1904A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2322E65B">
            <w:pPr>
              <w:pStyle w:val="179"/>
            </w:pPr>
            <w:r>
              <w:t>地点</w:t>
            </w:r>
          </w:p>
        </w:tc>
        <w:tc>
          <w:tcPr>
            <w:tcW w:w="2703" w:type="pct"/>
            <w:vAlign w:val="center"/>
          </w:tcPr>
          <w:p w14:paraId="1EBE714F">
            <w:pPr>
              <w:pStyle w:val="179"/>
            </w:pPr>
            <w:r>
              <w:t>嫩江市塔溪乡马厂河</w:t>
            </w:r>
          </w:p>
        </w:tc>
      </w:tr>
      <w:tr w14:paraId="0476CE6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6E9716E1">
            <w:pPr>
              <w:pStyle w:val="179"/>
            </w:pPr>
            <w:r>
              <w:t>样地面积（m</w:t>
            </w:r>
            <w:r>
              <w:rPr>
                <w:vertAlign w:val="superscript"/>
              </w:rPr>
              <w:t>2</w:t>
            </w:r>
            <w:r>
              <w:t>）</w:t>
            </w:r>
          </w:p>
        </w:tc>
        <w:tc>
          <w:tcPr>
            <w:tcW w:w="2703" w:type="pct"/>
            <w:vAlign w:val="center"/>
          </w:tcPr>
          <w:p w14:paraId="0B6BD918">
            <w:pPr>
              <w:pStyle w:val="179"/>
            </w:pPr>
            <w:r>
              <w:t>400</w:t>
            </w:r>
          </w:p>
        </w:tc>
      </w:tr>
      <w:tr w14:paraId="100377FA">
        <w:tblPrEx>
          <w:tblCellMar>
            <w:top w:w="0" w:type="dxa"/>
            <w:left w:w="108" w:type="dxa"/>
            <w:bottom w:w="0" w:type="dxa"/>
            <w:right w:w="108" w:type="dxa"/>
          </w:tblCellMar>
        </w:tblPrEx>
        <w:trPr>
          <w:trHeight w:val="340" w:hRule="atLeast"/>
          <w:jc w:val="center"/>
        </w:trPr>
        <w:tc>
          <w:tcPr>
            <w:tcW w:w="2296" w:type="pct"/>
            <w:vAlign w:val="center"/>
          </w:tcPr>
          <w:p w14:paraId="2BDED069">
            <w:pPr>
              <w:pStyle w:val="179"/>
            </w:pPr>
            <w:r>
              <w:t>经纬度</w:t>
            </w:r>
          </w:p>
        </w:tc>
        <w:tc>
          <w:tcPr>
            <w:tcW w:w="2703" w:type="pct"/>
            <w:vAlign w:val="center"/>
          </w:tcPr>
          <w:p w14:paraId="3625E020">
            <w:pPr>
              <w:pStyle w:val="179"/>
            </w:pPr>
            <w:r>
              <w:t>126°18'9.5328"E，49°26'20.5476"N</w:t>
            </w:r>
          </w:p>
        </w:tc>
      </w:tr>
      <w:tr w14:paraId="23DC7E43">
        <w:tblPrEx>
          <w:tblCellMar>
            <w:top w:w="0" w:type="dxa"/>
            <w:left w:w="108" w:type="dxa"/>
            <w:bottom w:w="0" w:type="dxa"/>
            <w:right w:w="108" w:type="dxa"/>
          </w:tblCellMar>
        </w:tblPrEx>
        <w:trPr>
          <w:trHeight w:val="340" w:hRule="atLeast"/>
          <w:jc w:val="center"/>
        </w:trPr>
        <w:tc>
          <w:tcPr>
            <w:tcW w:w="2296" w:type="pct"/>
            <w:vAlign w:val="center"/>
          </w:tcPr>
          <w:p w14:paraId="3DF67869">
            <w:pPr>
              <w:pStyle w:val="179"/>
            </w:pPr>
            <w:r>
              <w:t>海拔（m）</w:t>
            </w:r>
          </w:p>
        </w:tc>
        <w:tc>
          <w:tcPr>
            <w:tcW w:w="2703" w:type="pct"/>
            <w:vAlign w:val="center"/>
          </w:tcPr>
          <w:p w14:paraId="475B2D25">
            <w:pPr>
              <w:pStyle w:val="179"/>
            </w:pPr>
            <w:r>
              <w:t>418</w:t>
            </w:r>
          </w:p>
        </w:tc>
      </w:tr>
      <w:tr w14:paraId="2CD4CECA">
        <w:tblPrEx>
          <w:tblCellMar>
            <w:top w:w="0" w:type="dxa"/>
            <w:left w:w="108" w:type="dxa"/>
            <w:bottom w:w="0" w:type="dxa"/>
            <w:right w:w="108" w:type="dxa"/>
          </w:tblCellMar>
        </w:tblPrEx>
        <w:trPr>
          <w:trHeight w:val="340" w:hRule="atLeast"/>
          <w:jc w:val="center"/>
        </w:trPr>
        <w:tc>
          <w:tcPr>
            <w:tcW w:w="2296" w:type="pct"/>
            <w:vAlign w:val="center"/>
          </w:tcPr>
          <w:p w14:paraId="4D9997FD">
            <w:pPr>
              <w:pStyle w:val="179"/>
            </w:pPr>
            <w:r>
              <w:t>坡向</w:t>
            </w:r>
          </w:p>
        </w:tc>
        <w:tc>
          <w:tcPr>
            <w:tcW w:w="2703" w:type="pct"/>
            <w:vAlign w:val="center"/>
          </w:tcPr>
          <w:p w14:paraId="3D79BB0D">
            <w:pPr>
              <w:pStyle w:val="179"/>
            </w:pPr>
            <w:r>
              <w:t>-</w:t>
            </w:r>
          </w:p>
        </w:tc>
      </w:tr>
      <w:tr w14:paraId="0779D29A">
        <w:tblPrEx>
          <w:tblCellMar>
            <w:top w:w="0" w:type="dxa"/>
            <w:left w:w="108" w:type="dxa"/>
            <w:bottom w:w="0" w:type="dxa"/>
            <w:right w:w="108" w:type="dxa"/>
          </w:tblCellMar>
        </w:tblPrEx>
        <w:trPr>
          <w:trHeight w:val="340" w:hRule="atLeast"/>
          <w:jc w:val="center"/>
        </w:trPr>
        <w:tc>
          <w:tcPr>
            <w:tcW w:w="2296" w:type="pct"/>
            <w:vAlign w:val="center"/>
          </w:tcPr>
          <w:p w14:paraId="0C9EFDEE">
            <w:pPr>
              <w:pStyle w:val="179"/>
            </w:pPr>
            <w:r>
              <w:t>坡度（°）</w:t>
            </w:r>
          </w:p>
        </w:tc>
        <w:tc>
          <w:tcPr>
            <w:tcW w:w="2703" w:type="pct"/>
            <w:vAlign w:val="center"/>
          </w:tcPr>
          <w:p w14:paraId="3B3562F3">
            <w:pPr>
              <w:pStyle w:val="179"/>
            </w:pPr>
            <w:r>
              <w:t>-</w:t>
            </w:r>
          </w:p>
        </w:tc>
      </w:tr>
      <w:tr w14:paraId="0E2E257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5F472C43">
            <w:pPr>
              <w:pStyle w:val="179"/>
            </w:pPr>
            <w:r>
              <w:t>总盖度（%）</w:t>
            </w:r>
          </w:p>
        </w:tc>
        <w:tc>
          <w:tcPr>
            <w:tcW w:w="2703" w:type="pct"/>
            <w:vAlign w:val="center"/>
          </w:tcPr>
          <w:p w14:paraId="00F9B786">
            <w:pPr>
              <w:pStyle w:val="179"/>
            </w:pPr>
            <w:r>
              <w:rPr>
                <w:rFonts w:hint="eastAsia"/>
              </w:rPr>
              <w:t>62</w:t>
            </w:r>
          </w:p>
        </w:tc>
      </w:tr>
      <w:tr w14:paraId="6A330A2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482AC86C">
            <w:pPr>
              <w:pStyle w:val="179"/>
            </w:pPr>
            <w:r>
              <w:t>乔木层平均高度（m）</w:t>
            </w:r>
          </w:p>
        </w:tc>
        <w:tc>
          <w:tcPr>
            <w:tcW w:w="2703" w:type="pct"/>
            <w:vAlign w:val="center"/>
          </w:tcPr>
          <w:p w14:paraId="086CAB7F">
            <w:pPr>
              <w:pStyle w:val="179"/>
            </w:pPr>
            <w:r>
              <w:rPr>
                <w:rFonts w:hint="eastAsia"/>
              </w:rPr>
              <w:t>18</w:t>
            </w:r>
          </w:p>
        </w:tc>
      </w:tr>
      <w:tr w14:paraId="44EC7FF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22842CCD">
            <w:pPr>
              <w:pStyle w:val="179"/>
            </w:pPr>
            <w:r>
              <w:t>乔木层盖度（%）</w:t>
            </w:r>
          </w:p>
        </w:tc>
        <w:tc>
          <w:tcPr>
            <w:tcW w:w="2703" w:type="pct"/>
            <w:vAlign w:val="center"/>
          </w:tcPr>
          <w:p w14:paraId="0687897E">
            <w:pPr>
              <w:pStyle w:val="179"/>
            </w:pPr>
            <w:r>
              <w:rPr>
                <w:rFonts w:hint="eastAsia"/>
              </w:rPr>
              <w:t>58</w:t>
            </w:r>
          </w:p>
        </w:tc>
      </w:tr>
      <w:tr w14:paraId="47E4BD8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26F8338E">
            <w:pPr>
              <w:pStyle w:val="179"/>
            </w:pPr>
            <w:r>
              <w:t>灌木层高度（m）</w:t>
            </w:r>
          </w:p>
        </w:tc>
        <w:tc>
          <w:tcPr>
            <w:tcW w:w="2703" w:type="pct"/>
            <w:vAlign w:val="center"/>
          </w:tcPr>
          <w:p w14:paraId="73226303">
            <w:pPr>
              <w:pStyle w:val="179"/>
            </w:pPr>
            <w:r>
              <w:rPr>
                <w:rFonts w:hint="eastAsia"/>
              </w:rPr>
              <w:t>1.1</w:t>
            </w:r>
          </w:p>
        </w:tc>
      </w:tr>
      <w:tr w14:paraId="7CE1770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594A217A">
            <w:pPr>
              <w:pStyle w:val="179"/>
            </w:pPr>
            <w:r>
              <w:t>灌木层盖度（%）</w:t>
            </w:r>
          </w:p>
        </w:tc>
        <w:tc>
          <w:tcPr>
            <w:tcW w:w="2703" w:type="pct"/>
            <w:vAlign w:val="center"/>
          </w:tcPr>
          <w:p w14:paraId="7F82B547">
            <w:pPr>
              <w:pStyle w:val="179"/>
            </w:pPr>
            <w:r>
              <w:rPr>
                <w:rFonts w:hint="eastAsia"/>
              </w:rPr>
              <w:t>35</w:t>
            </w:r>
          </w:p>
        </w:tc>
      </w:tr>
      <w:tr w14:paraId="2A6A690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7B35B0CA">
            <w:pPr>
              <w:pStyle w:val="179"/>
            </w:pPr>
            <w:r>
              <w:t>草本层高度（cm）</w:t>
            </w:r>
          </w:p>
        </w:tc>
        <w:tc>
          <w:tcPr>
            <w:tcW w:w="2703" w:type="pct"/>
            <w:vAlign w:val="center"/>
          </w:tcPr>
          <w:p w14:paraId="7230C935">
            <w:pPr>
              <w:pStyle w:val="179"/>
            </w:pPr>
            <w:r>
              <w:rPr>
                <w:rFonts w:hint="eastAsia"/>
              </w:rPr>
              <w:t>18</w:t>
            </w:r>
          </w:p>
        </w:tc>
      </w:tr>
      <w:tr w14:paraId="3F1E999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6627DB66">
            <w:pPr>
              <w:pStyle w:val="179"/>
            </w:pPr>
            <w:r>
              <w:t>草本层盖度（%）</w:t>
            </w:r>
          </w:p>
        </w:tc>
        <w:tc>
          <w:tcPr>
            <w:tcW w:w="2703" w:type="pct"/>
            <w:vAlign w:val="center"/>
          </w:tcPr>
          <w:p w14:paraId="7461C1C3">
            <w:pPr>
              <w:pStyle w:val="179"/>
            </w:pPr>
            <w:r>
              <w:rPr>
                <w:rFonts w:hint="eastAsia"/>
              </w:rPr>
              <w:t>35</w:t>
            </w:r>
          </w:p>
        </w:tc>
      </w:tr>
      <w:tr w14:paraId="5BFAA14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716598CB">
            <w:pPr>
              <w:pStyle w:val="179"/>
            </w:pPr>
            <w:r>
              <w:t>乔木层</w:t>
            </w:r>
          </w:p>
        </w:tc>
        <w:tc>
          <w:tcPr>
            <w:tcW w:w="2703" w:type="pct"/>
            <w:vAlign w:val="center"/>
          </w:tcPr>
          <w:p w14:paraId="16C573EF">
            <w:pPr>
              <w:pStyle w:val="179"/>
            </w:pPr>
            <w:r>
              <w:t>多优度-群聚度</w:t>
            </w:r>
          </w:p>
        </w:tc>
      </w:tr>
      <w:tr w14:paraId="394D911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5378A277">
            <w:pPr>
              <w:pStyle w:val="179"/>
            </w:pPr>
            <w:r>
              <w:t>落叶松</w:t>
            </w:r>
          </w:p>
        </w:tc>
        <w:tc>
          <w:tcPr>
            <w:tcW w:w="2703" w:type="pct"/>
            <w:vAlign w:val="center"/>
          </w:tcPr>
          <w:p w14:paraId="3E64B4E3">
            <w:pPr>
              <w:pStyle w:val="179"/>
            </w:pPr>
            <w:r>
              <w:t>4.1</w:t>
            </w:r>
          </w:p>
        </w:tc>
      </w:tr>
      <w:tr w14:paraId="382AB27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60FCB763">
            <w:pPr>
              <w:pStyle w:val="179"/>
            </w:pPr>
            <w:r>
              <w:t>-</w:t>
            </w:r>
          </w:p>
        </w:tc>
        <w:tc>
          <w:tcPr>
            <w:tcW w:w="2703" w:type="pct"/>
            <w:vAlign w:val="center"/>
          </w:tcPr>
          <w:p w14:paraId="7F14F45B">
            <w:pPr>
              <w:pStyle w:val="179"/>
            </w:pPr>
            <w:r>
              <w:t>-</w:t>
            </w:r>
          </w:p>
        </w:tc>
      </w:tr>
      <w:tr w14:paraId="0FEC646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1461E943">
            <w:pPr>
              <w:pStyle w:val="179"/>
            </w:pPr>
            <w:r>
              <w:t>灌木层</w:t>
            </w:r>
          </w:p>
        </w:tc>
        <w:tc>
          <w:tcPr>
            <w:tcW w:w="2703" w:type="pct"/>
            <w:vAlign w:val="center"/>
          </w:tcPr>
          <w:p w14:paraId="58CAFE9E">
            <w:pPr>
              <w:pStyle w:val="179"/>
            </w:pPr>
            <w:r>
              <w:t>多优度-群聚度</w:t>
            </w:r>
          </w:p>
        </w:tc>
      </w:tr>
      <w:tr w14:paraId="2B72357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66EA79AD">
            <w:pPr>
              <w:pStyle w:val="179"/>
            </w:pPr>
            <w:r>
              <w:t>绣线菊</w:t>
            </w:r>
          </w:p>
        </w:tc>
        <w:tc>
          <w:tcPr>
            <w:tcW w:w="2703" w:type="pct"/>
            <w:vAlign w:val="center"/>
          </w:tcPr>
          <w:p w14:paraId="3EF0A339">
            <w:pPr>
              <w:pStyle w:val="179"/>
            </w:pPr>
            <w:r>
              <w:t>1.1</w:t>
            </w:r>
          </w:p>
        </w:tc>
      </w:tr>
      <w:tr w14:paraId="6DEC86A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204E47F5">
            <w:pPr>
              <w:pStyle w:val="179"/>
            </w:pPr>
            <w:r>
              <w:t>山刺玫</w:t>
            </w:r>
          </w:p>
        </w:tc>
        <w:tc>
          <w:tcPr>
            <w:tcW w:w="2703" w:type="pct"/>
            <w:vAlign w:val="center"/>
          </w:tcPr>
          <w:p w14:paraId="718C3DAE">
            <w:pPr>
              <w:pStyle w:val="179"/>
            </w:pPr>
            <w:r>
              <w:t>1.1</w:t>
            </w:r>
          </w:p>
        </w:tc>
      </w:tr>
      <w:tr w14:paraId="5D71377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68F59239">
            <w:pPr>
              <w:pStyle w:val="179"/>
            </w:pPr>
            <w:r>
              <w:t>-</w:t>
            </w:r>
          </w:p>
        </w:tc>
        <w:tc>
          <w:tcPr>
            <w:tcW w:w="2703" w:type="pct"/>
            <w:vAlign w:val="center"/>
          </w:tcPr>
          <w:p w14:paraId="6A63F83B">
            <w:pPr>
              <w:pStyle w:val="179"/>
            </w:pPr>
            <w:r>
              <w:t>-</w:t>
            </w:r>
          </w:p>
        </w:tc>
      </w:tr>
      <w:tr w14:paraId="097B6EC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05AB3820">
            <w:pPr>
              <w:pStyle w:val="179"/>
            </w:pPr>
            <w:r>
              <w:t>草本层</w:t>
            </w:r>
          </w:p>
        </w:tc>
        <w:tc>
          <w:tcPr>
            <w:tcW w:w="2703" w:type="pct"/>
            <w:vAlign w:val="center"/>
          </w:tcPr>
          <w:p w14:paraId="02864934">
            <w:pPr>
              <w:pStyle w:val="179"/>
            </w:pPr>
            <w:r>
              <w:t>多优度-群聚度</w:t>
            </w:r>
          </w:p>
        </w:tc>
      </w:tr>
      <w:tr w14:paraId="3A4ADEC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6E11EECD">
            <w:pPr>
              <w:pStyle w:val="179"/>
            </w:pPr>
            <w:r>
              <w:t>野黍</w:t>
            </w:r>
          </w:p>
        </w:tc>
        <w:tc>
          <w:tcPr>
            <w:tcW w:w="2703" w:type="pct"/>
            <w:vAlign w:val="center"/>
          </w:tcPr>
          <w:p w14:paraId="4B4B6F33">
            <w:pPr>
              <w:pStyle w:val="179"/>
            </w:pPr>
            <w:r>
              <w:t>2.5</w:t>
            </w:r>
          </w:p>
        </w:tc>
      </w:tr>
      <w:tr w14:paraId="22D4780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7C4241AE">
            <w:pPr>
              <w:pStyle w:val="179"/>
            </w:pPr>
            <w:r>
              <w:t>铃兰</w:t>
            </w:r>
          </w:p>
        </w:tc>
        <w:tc>
          <w:tcPr>
            <w:tcW w:w="2703" w:type="pct"/>
            <w:vAlign w:val="center"/>
          </w:tcPr>
          <w:p w14:paraId="63603106">
            <w:pPr>
              <w:pStyle w:val="179"/>
            </w:pPr>
            <w:r>
              <w:t>1.2</w:t>
            </w:r>
          </w:p>
        </w:tc>
      </w:tr>
      <w:tr w14:paraId="776F8CA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5D2CF2E9">
            <w:pPr>
              <w:pStyle w:val="179"/>
            </w:pPr>
            <w:r>
              <w:t>蚊子草</w:t>
            </w:r>
          </w:p>
        </w:tc>
        <w:tc>
          <w:tcPr>
            <w:tcW w:w="2703" w:type="pct"/>
            <w:vAlign w:val="center"/>
          </w:tcPr>
          <w:p w14:paraId="24B679B8">
            <w:pPr>
              <w:pStyle w:val="179"/>
            </w:pPr>
            <w:r>
              <w:t>1.2</w:t>
            </w:r>
          </w:p>
        </w:tc>
      </w:tr>
      <w:tr w14:paraId="3679B06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7703144D">
            <w:pPr>
              <w:pStyle w:val="179"/>
            </w:pPr>
            <w:r>
              <w:t>小白花地榆</w:t>
            </w:r>
          </w:p>
        </w:tc>
        <w:tc>
          <w:tcPr>
            <w:tcW w:w="2703" w:type="pct"/>
            <w:vAlign w:val="center"/>
          </w:tcPr>
          <w:p w14:paraId="3B843E0D">
            <w:pPr>
              <w:pStyle w:val="179"/>
            </w:pPr>
            <w:r>
              <w:t>1.1</w:t>
            </w:r>
          </w:p>
        </w:tc>
      </w:tr>
      <w:tr w14:paraId="18462DC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6EF1F692">
            <w:pPr>
              <w:pStyle w:val="179"/>
            </w:pPr>
            <w:r>
              <w:t>北山莴苣</w:t>
            </w:r>
          </w:p>
        </w:tc>
        <w:tc>
          <w:tcPr>
            <w:tcW w:w="2703" w:type="pct"/>
            <w:vAlign w:val="center"/>
          </w:tcPr>
          <w:p w14:paraId="00CB71A2">
            <w:pPr>
              <w:pStyle w:val="179"/>
            </w:pPr>
            <w:r>
              <w:t>1.2</w:t>
            </w:r>
          </w:p>
        </w:tc>
      </w:tr>
      <w:tr w14:paraId="1A1C4EE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06E37352">
            <w:pPr>
              <w:pStyle w:val="179"/>
            </w:pPr>
            <w:r>
              <w:t>轮叶沙参</w:t>
            </w:r>
          </w:p>
        </w:tc>
        <w:tc>
          <w:tcPr>
            <w:tcW w:w="2703" w:type="pct"/>
            <w:vAlign w:val="center"/>
          </w:tcPr>
          <w:p w14:paraId="7ABEC6B2">
            <w:pPr>
              <w:pStyle w:val="179"/>
            </w:pPr>
            <w:r>
              <w:t>1.1</w:t>
            </w:r>
          </w:p>
        </w:tc>
      </w:tr>
    </w:tbl>
    <w:p w14:paraId="1A0D83D0">
      <w:pPr>
        <w:pStyle w:val="178"/>
      </w:pPr>
      <w:r>
        <w:t>表</w:t>
      </w:r>
      <w:r>
        <w:rPr>
          <w:rFonts w:hint="eastAsia"/>
        </w:rPr>
        <w:t xml:space="preserve">1-7  </w:t>
      </w:r>
      <w:r>
        <w:t>落叶松林样方表（2）</w:t>
      </w:r>
    </w:p>
    <w:tbl>
      <w:tblPr>
        <w:tblStyle w:val="36"/>
        <w:tblW w:w="4996"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3913"/>
        <w:gridCol w:w="4608"/>
      </w:tblGrid>
      <w:tr w14:paraId="20145B7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3B9237D2">
            <w:pPr>
              <w:pStyle w:val="179"/>
            </w:pPr>
            <w:r>
              <w:t>地点</w:t>
            </w:r>
          </w:p>
        </w:tc>
        <w:tc>
          <w:tcPr>
            <w:tcW w:w="2703" w:type="pct"/>
            <w:vAlign w:val="center"/>
          </w:tcPr>
          <w:p w14:paraId="0C73BBD0">
            <w:pPr>
              <w:pStyle w:val="179"/>
            </w:pPr>
            <w:r>
              <w:t>嫩江市塔溪乡马厂河</w:t>
            </w:r>
          </w:p>
        </w:tc>
      </w:tr>
      <w:tr w14:paraId="6FF47E7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411187A0">
            <w:pPr>
              <w:pStyle w:val="179"/>
            </w:pPr>
            <w:r>
              <w:t>样地面积（m</w:t>
            </w:r>
            <w:r>
              <w:rPr>
                <w:vertAlign w:val="superscript"/>
              </w:rPr>
              <w:t>2</w:t>
            </w:r>
            <w:r>
              <w:t>）</w:t>
            </w:r>
          </w:p>
        </w:tc>
        <w:tc>
          <w:tcPr>
            <w:tcW w:w="2703" w:type="pct"/>
            <w:vAlign w:val="center"/>
          </w:tcPr>
          <w:p w14:paraId="63A44FC2">
            <w:pPr>
              <w:pStyle w:val="179"/>
            </w:pPr>
            <w:r>
              <w:t>400</w:t>
            </w:r>
          </w:p>
        </w:tc>
      </w:tr>
      <w:tr w14:paraId="56D4BE5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26FF51D7">
            <w:pPr>
              <w:pStyle w:val="179"/>
            </w:pPr>
            <w:r>
              <w:t>经纬度</w:t>
            </w:r>
          </w:p>
        </w:tc>
        <w:tc>
          <w:tcPr>
            <w:tcW w:w="2703" w:type="pct"/>
            <w:vAlign w:val="center"/>
          </w:tcPr>
          <w:p w14:paraId="446975AA">
            <w:pPr>
              <w:pStyle w:val="179"/>
            </w:pPr>
            <w:r>
              <w:t>126°17′37.1652″E，49°27′21.6684″N</w:t>
            </w:r>
          </w:p>
        </w:tc>
      </w:tr>
      <w:tr w14:paraId="7CA9160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1AAB4C48">
            <w:pPr>
              <w:pStyle w:val="179"/>
            </w:pPr>
            <w:r>
              <w:t>海拔（m）</w:t>
            </w:r>
          </w:p>
        </w:tc>
        <w:tc>
          <w:tcPr>
            <w:tcW w:w="2703" w:type="pct"/>
            <w:vAlign w:val="center"/>
          </w:tcPr>
          <w:p w14:paraId="54846715">
            <w:pPr>
              <w:pStyle w:val="179"/>
            </w:pPr>
            <w:r>
              <w:t>418</w:t>
            </w:r>
          </w:p>
        </w:tc>
      </w:tr>
      <w:tr w14:paraId="623ABE0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3064F530">
            <w:pPr>
              <w:pStyle w:val="179"/>
            </w:pPr>
            <w:r>
              <w:t>坡向</w:t>
            </w:r>
          </w:p>
        </w:tc>
        <w:tc>
          <w:tcPr>
            <w:tcW w:w="2703" w:type="pct"/>
            <w:vAlign w:val="center"/>
          </w:tcPr>
          <w:p w14:paraId="0B773613">
            <w:pPr>
              <w:pStyle w:val="179"/>
            </w:pPr>
            <w:r>
              <w:t>-</w:t>
            </w:r>
          </w:p>
        </w:tc>
      </w:tr>
      <w:tr w14:paraId="5E225DE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55D75530">
            <w:pPr>
              <w:pStyle w:val="179"/>
            </w:pPr>
            <w:r>
              <w:t>坡度（°）</w:t>
            </w:r>
          </w:p>
        </w:tc>
        <w:tc>
          <w:tcPr>
            <w:tcW w:w="2703" w:type="pct"/>
            <w:vAlign w:val="center"/>
          </w:tcPr>
          <w:p w14:paraId="129B0368">
            <w:pPr>
              <w:pStyle w:val="179"/>
            </w:pPr>
            <w:r>
              <w:t>-</w:t>
            </w:r>
          </w:p>
        </w:tc>
      </w:tr>
      <w:tr w14:paraId="1F0B174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491D9723">
            <w:pPr>
              <w:pStyle w:val="179"/>
            </w:pPr>
            <w:r>
              <w:t>总盖度（%）</w:t>
            </w:r>
          </w:p>
        </w:tc>
        <w:tc>
          <w:tcPr>
            <w:tcW w:w="2703" w:type="pct"/>
            <w:vAlign w:val="center"/>
          </w:tcPr>
          <w:p w14:paraId="66F272D0">
            <w:pPr>
              <w:pStyle w:val="179"/>
            </w:pPr>
            <w:r>
              <w:rPr>
                <w:rFonts w:hint="eastAsia"/>
              </w:rPr>
              <w:t>56</w:t>
            </w:r>
          </w:p>
        </w:tc>
      </w:tr>
      <w:tr w14:paraId="3D648CF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01393D12">
            <w:pPr>
              <w:pStyle w:val="179"/>
            </w:pPr>
            <w:r>
              <w:t>乔木层平均高度（m）</w:t>
            </w:r>
          </w:p>
        </w:tc>
        <w:tc>
          <w:tcPr>
            <w:tcW w:w="2703" w:type="pct"/>
            <w:vAlign w:val="center"/>
          </w:tcPr>
          <w:p w14:paraId="1CA5FBCF">
            <w:pPr>
              <w:pStyle w:val="179"/>
            </w:pPr>
            <w:r>
              <w:rPr>
                <w:rFonts w:hint="eastAsia"/>
              </w:rPr>
              <w:t>19</w:t>
            </w:r>
          </w:p>
        </w:tc>
      </w:tr>
      <w:tr w14:paraId="30A9CBC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2C098F7A">
            <w:pPr>
              <w:pStyle w:val="179"/>
            </w:pPr>
            <w:r>
              <w:t>乔木层盖度（%）</w:t>
            </w:r>
          </w:p>
        </w:tc>
        <w:tc>
          <w:tcPr>
            <w:tcW w:w="2703" w:type="pct"/>
            <w:vAlign w:val="center"/>
          </w:tcPr>
          <w:p w14:paraId="5776A60B">
            <w:pPr>
              <w:pStyle w:val="179"/>
            </w:pPr>
            <w:r>
              <w:rPr>
                <w:rFonts w:hint="eastAsia"/>
              </w:rPr>
              <w:t>50</w:t>
            </w:r>
          </w:p>
        </w:tc>
      </w:tr>
      <w:tr w14:paraId="4ED4074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0C259D58">
            <w:pPr>
              <w:pStyle w:val="179"/>
            </w:pPr>
            <w:r>
              <w:t>灌木层高度（m）</w:t>
            </w:r>
          </w:p>
        </w:tc>
        <w:tc>
          <w:tcPr>
            <w:tcW w:w="2703" w:type="pct"/>
            <w:vAlign w:val="center"/>
          </w:tcPr>
          <w:p w14:paraId="7DA8236A">
            <w:pPr>
              <w:pStyle w:val="179"/>
            </w:pPr>
            <w:r>
              <w:rPr>
                <w:rFonts w:hint="eastAsia"/>
              </w:rPr>
              <w:t>0.9</w:t>
            </w:r>
          </w:p>
        </w:tc>
      </w:tr>
      <w:tr w14:paraId="2D16B31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51EDAFD4">
            <w:pPr>
              <w:pStyle w:val="179"/>
            </w:pPr>
            <w:r>
              <w:t>灌木层盖度（%）</w:t>
            </w:r>
          </w:p>
        </w:tc>
        <w:tc>
          <w:tcPr>
            <w:tcW w:w="2703" w:type="pct"/>
            <w:vAlign w:val="center"/>
          </w:tcPr>
          <w:p w14:paraId="062F9C93">
            <w:pPr>
              <w:pStyle w:val="179"/>
            </w:pPr>
            <w:r>
              <w:rPr>
                <w:rFonts w:hint="eastAsia"/>
              </w:rPr>
              <w:t>33</w:t>
            </w:r>
          </w:p>
        </w:tc>
      </w:tr>
      <w:tr w14:paraId="075D9A4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5C742109">
            <w:pPr>
              <w:pStyle w:val="179"/>
            </w:pPr>
            <w:r>
              <w:t>草本层高度（cm）</w:t>
            </w:r>
          </w:p>
        </w:tc>
        <w:tc>
          <w:tcPr>
            <w:tcW w:w="2703" w:type="pct"/>
            <w:vAlign w:val="center"/>
          </w:tcPr>
          <w:p w14:paraId="2A24111D">
            <w:pPr>
              <w:pStyle w:val="179"/>
            </w:pPr>
            <w:r>
              <w:rPr>
                <w:rFonts w:hint="eastAsia"/>
              </w:rPr>
              <w:t>21</w:t>
            </w:r>
          </w:p>
        </w:tc>
      </w:tr>
      <w:tr w14:paraId="367D8B0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76C1CEF2">
            <w:pPr>
              <w:pStyle w:val="179"/>
            </w:pPr>
            <w:r>
              <w:t>草本层盖度（%）</w:t>
            </w:r>
          </w:p>
        </w:tc>
        <w:tc>
          <w:tcPr>
            <w:tcW w:w="2703" w:type="pct"/>
            <w:vAlign w:val="center"/>
          </w:tcPr>
          <w:p w14:paraId="68D667D9">
            <w:pPr>
              <w:pStyle w:val="179"/>
            </w:pPr>
            <w:r>
              <w:rPr>
                <w:rFonts w:hint="eastAsia"/>
              </w:rPr>
              <w:t>33</w:t>
            </w:r>
          </w:p>
        </w:tc>
      </w:tr>
      <w:tr w14:paraId="425B0AE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2A470653">
            <w:pPr>
              <w:pStyle w:val="179"/>
            </w:pPr>
            <w:r>
              <w:t>乔木层</w:t>
            </w:r>
          </w:p>
        </w:tc>
        <w:tc>
          <w:tcPr>
            <w:tcW w:w="2703" w:type="pct"/>
            <w:vAlign w:val="center"/>
          </w:tcPr>
          <w:p w14:paraId="047900BF">
            <w:pPr>
              <w:pStyle w:val="179"/>
            </w:pPr>
            <w:r>
              <w:t>多优度-群聚度</w:t>
            </w:r>
          </w:p>
        </w:tc>
      </w:tr>
      <w:tr w14:paraId="492F136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054D0D3C">
            <w:pPr>
              <w:pStyle w:val="179"/>
            </w:pPr>
            <w:r>
              <w:t>落叶松</w:t>
            </w:r>
          </w:p>
        </w:tc>
        <w:tc>
          <w:tcPr>
            <w:tcW w:w="2703" w:type="pct"/>
            <w:vAlign w:val="center"/>
          </w:tcPr>
          <w:p w14:paraId="3EA6E6F6">
            <w:pPr>
              <w:pStyle w:val="179"/>
            </w:pPr>
            <w:r>
              <w:t>4.2</w:t>
            </w:r>
          </w:p>
        </w:tc>
      </w:tr>
      <w:tr w14:paraId="705A903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1DCAA0B7">
            <w:pPr>
              <w:pStyle w:val="179"/>
            </w:pPr>
            <w:r>
              <w:t>-</w:t>
            </w:r>
          </w:p>
        </w:tc>
        <w:tc>
          <w:tcPr>
            <w:tcW w:w="2703" w:type="pct"/>
            <w:vAlign w:val="center"/>
          </w:tcPr>
          <w:p w14:paraId="354DF580">
            <w:pPr>
              <w:pStyle w:val="179"/>
            </w:pPr>
            <w:r>
              <w:t>-</w:t>
            </w:r>
          </w:p>
        </w:tc>
      </w:tr>
      <w:tr w14:paraId="1BEB989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72DFA7B8">
            <w:pPr>
              <w:pStyle w:val="179"/>
            </w:pPr>
            <w:r>
              <w:t>灌木层</w:t>
            </w:r>
          </w:p>
        </w:tc>
        <w:tc>
          <w:tcPr>
            <w:tcW w:w="2703" w:type="pct"/>
            <w:vAlign w:val="center"/>
          </w:tcPr>
          <w:p w14:paraId="3D81D507">
            <w:pPr>
              <w:pStyle w:val="179"/>
            </w:pPr>
            <w:r>
              <w:t>多优度-群聚度</w:t>
            </w:r>
          </w:p>
        </w:tc>
      </w:tr>
      <w:tr w14:paraId="081AA5D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76FF38AC">
            <w:pPr>
              <w:pStyle w:val="179"/>
            </w:pPr>
            <w:r>
              <w:t>榛</w:t>
            </w:r>
          </w:p>
        </w:tc>
        <w:tc>
          <w:tcPr>
            <w:tcW w:w="2703" w:type="pct"/>
            <w:vAlign w:val="center"/>
          </w:tcPr>
          <w:p w14:paraId="145D1101">
            <w:pPr>
              <w:pStyle w:val="179"/>
            </w:pPr>
            <w:r>
              <w:rPr>
                <w:rFonts w:hint="eastAsia"/>
              </w:rPr>
              <w:t>1.1</w:t>
            </w:r>
          </w:p>
        </w:tc>
      </w:tr>
      <w:tr w14:paraId="7F6DFA2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2A1F71AB">
            <w:pPr>
              <w:pStyle w:val="179"/>
            </w:pPr>
            <w:r>
              <w:t>胡枝子</w:t>
            </w:r>
          </w:p>
        </w:tc>
        <w:tc>
          <w:tcPr>
            <w:tcW w:w="2703" w:type="pct"/>
            <w:vAlign w:val="center"/>
          </w:tcPr>
          <w:p w14:paraId="3E44AD2C">
            <w:pPr>
              <w:pStyle w:val="179"/>
            </w:pPr>
            <w:r>
              <w:t>1.1</w:t>
            </w:r>
          </w:p>
        </w:tc>
      </w:tr>
      <w:tr w14:paraId="0A0FA1F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697E22D7">
            <w:pPr>
              <w:pStyle w:val="179"/>
            </w:pPr>
            <w:r>
              <w:t>-</w:t>
            </w:r>
          </w:p>
        </w:tc>
        <w:tc>
          <w:tcPr>
            <w:tcW w:w="2703" w:type="pct"/>
            <w:vAlign w:val="center"/>
          </w:tcPr>
          <w:p w14:paraId="51F6FF6A">
            <w:pPr>
              <w:pStyle w:val="179"/>
            </w:pPr>
            <w:r>
              <w:t>-</w:t>
            </w:r>
          </w:p>
        </w:tc>
      </w:tr>
      <w:tr w14:paraId="4AB52B5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147ED2F1">
            <w:pPr>
              <w:pStyle w:val="179"/>
            </w:pPr>
            <w:r>
              <w:t>草本层</w:t>
            </w:r>
          </w:p>
        </w:tc>
        <w:tc>
          <w:tcPr>
            <w:tcW w:w="2703" w:type="pct"/>
            <w:vAlign w:val="center"/>
          </w:tcPr>
          <w:p w14:paraId="4718CCC6">
            <w:pPr>
              <w:pStyle w:val="179"/>
            </w:pPr>
            <w:r>
              <w:t>多优度-群聚度</w:t>
            </w:r>
          </w:p>
        </w:tc>
      </w:tr>
      <w:tr w14:paraId="7DB1398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71B910AF">
            <w:pPr>
              <w:pStyle w:val="179"/>
            </w:pPr>
            <w:r>
              <w:t>蚊子草</w:t>
            </w:r>
          </w:p>
        </w:tc>
        <w:tc>
          <w:tcPr>
            <w:tcW w:w="2703" w:type="pct"/>
            <w:vAlign w:val="center"/>
          </w:tcPr>
          <w:p w14:paraId="3853DC39">
            <w:pPr>
              <w:pStyle w:val="179"/>
            </w:pPr>
            <w:r>
              <w:t>2.5</w:t>
            </w:r>
          </w:p>
        </w:tc>
      </w:tr>
      <w:tr w14:paraId="01531E1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4F0CB14B">
            <w:pPr>
              <w:pStyle w:val="179"/>
            </w:pPr>
            <w:r>
              <w:t>球穗苔草</w:t>
            </w:r>
          </w:p>
        </w:tc>
        <w:tc>
          <w:tcPr>
            <w:tcW w:w="2703" w:type="pct"/>
            <w:vAlign w:val="center"/>
          </w:tcPr>
          <w:p w14:paraId="47F615C9">
            <w:pPr>
              <w:pStyle w:val="179"/>
            </w:pPr>
            <w:r>
              <w:t>1.2</w:t>
            </w:r>
          </w:p>
        </w:tc>
      </w:tr>
      <w:tr w14:paraId="595DEA5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5B732DAF">
            <w:pPr>
              <w:pStyle w:val="179"/>
            </w:pPr>
            <w:r>
              <w:t>老鹳草</w:t>
            </w:r>
          </w:p>
        </w:tc>
        <w:tc>
          <w:tcPr>
            <w:tcW w:w="2703" w:type="pct"/>
            <w:vAlign w:val="center"/>
          </w:tcPr>
          <w:p w14:paraId="5DBB6E17">
            <w:pPr>
              <w:pStyle w:val="179"/>
            </w:pPr>
            <w:r>
              <w:t>1.2</w:t>
            </w:r>
          </w:p>
        </w:tc>
      </w:tr>
      <w:tr w14:paraId="7C271D9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2991846F">
            <w:pPr>
              <w:pStyle w:val="179"/>
            </w:pPr>
            <w:r>
              <w:t>小白花地榆</w:t>
            </w:r>
          </w:p>
        </w:tc>
        <w:tc>
          <w:tcPr>
            <w:tcW w:w="2703" w:type="pct"/>
            <w:vAlign w:val="center"/>
          </w:tcPr>
          <w:p w14:paraId="52EAC000">
            <w:pPr>
              <w:pStyle w:val="179"/>
            </w:pPr>
            <w:r>
              <w:t>1.1</w:t>
            </w:r>
          </w:p>
        </w:tc>
      </w:tr>
      <w:tr w14:paraId="40077D3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68139B2C">
            <w:pPr>
              <w:pStyle w:val="179"/>
            </w:pPr>
            <w:r>
              <w:t>广布野豌豆</w:t>
            </w:r>
          </w:p>
        </w:tc>
        <w:tc>
          <w:tcPr>
            <w:tcW w:w="2703" w:type="pct"/>
            <w:vAlign w:val="center"/>
          </w:tcPr>
          <w:p w14:paraId="022A57EE">
            <w:pPr>
              <w:pStyle w:val="179"/>
            </w:pPr>
            <w:r>
              <w:t>1.2</w:t>
            </w:r>
          </w:p>
        </w:tc>
      </w:tr>
    </w:tbl>
    <w:p w14:paraId="678FFCA6">
      <w:pPr>
        <w:pStyle w:val="178"/>
      </w:pPr>
      <w:r>
        <w:t>表</w:t>
      </w:r>
      <w:r>
        <w:rPr>
          <w:rFonts w:hint="eastAsia"/>
        </w:rPr>
        <w:t xml:space="preserve">1-8  </w:t>
      </w:r>
      <w:r>
        <w:t>落叶松林样方表（3）</w:t>
      </w:r>
    </w:p>
    <w:tbl>
      <w:tblPr>
        <w:tblStyle w:val="36"/>
        <w:tblW w:w="4996"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3913"/>
        <w:gridCol w:w="4608"/>
      </w:tblGrid>
      <w:tr w14:paraId="153B4A7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076C1C7F">
            <w:pPr>
              <w:pStyle w:val="179"/>
            </w:pPr>
            <w:r>
              <w:t>地点</w:t>
            </w:r>
          </w:p>
        </w:tc>
        <w:tc>
          <w:tcPr>
            <w:tcW w:w="2703" w:type="pct"/>
            <w:vAlign w:val="center"/>
          </w:tcPr>
          <w:p w14:paraId="431D1027">
            <w:pPr>
              <w:pStyle w:val="179"/>
            </w:pPr>
            <w:r>
              <w:t>嫩江市塔溪乡马厂河</w:t>
            </w:r>
          </w:p>
        </w:tc>
      </w:tr>
      <w:tr w14:paraId="7FD56A8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62CB63FD">
            <w:pPr>
              <w:pStyle w:val="179"/>
            </w:pPr>
            <w:r>
              <w:t>样地面积（m</w:t>
            </w:r>
            <w:r>
              <w:rPr>
                <w:vertAlign w:val="superscript"/>
              </w:rPr>
              <w:t>2</w:t>
            </w:r>
            <w:r>
              <w:t>）</w:t>
            </w:r>
          </w:p>
        </w:tc>
        <w:tc>
          <w:tcPr>
            <w:tcW w:w="2703" w:type="pct"/>
            <w:vAlign w:val="center"/>
          </w:tcPr>
          <w:p w14:paraId="6E1757C6">
            <w:pPr>
              <w:pStyle w:val="179"/>
            </w:pPr>
            <w:r>
              <w:t>400</w:t>
            </w:r>
          </w:p>
        </w:tc>
      </w:tr>
      <w:tr w14:paraId="6C65978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0F99A668">
            <w:pPr>
              <w:pStyle w:val="179"/>
            </w:pPr>
            <w:r>
              <w:t>经纬度</w:t>
            </w:r>
          </w:p>
        </w:tc>
        <w:tc>
          <w:tcPr>
            <w:tcW w:w="2703" w:type="pct"/>
            <w:vAlign w:val="center"/>
          </w:tcPr>
          <w:p w14:paraId="67D4DF89">
            <w:pPr>
              <w:pStyle w:val="179"/>
            </w:pPr>
            <w:r>
              <w:t>126°18′45.4500″E，49°26′15.4212″N</w:t>
            </w:r>
          </w:p>
        </w:tc>
      </w:tr>
      <w:tr w14:paraId="1601849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21D4ECA2">
            <w:pPr>
              <w:pStyle w:val="179"/>
            </w:pPr>
            <w:r>
              <w:t>海拔（m）</w:t>
            </w:r>
          </w:p>
        </w:tc>
        <w:tc>
          <w:tcPr>
            <w:tcW w:w="2703" w:type="pct"/>
            <w:vAlign w:val="center"/>
          </w:tcPr>
          <w:p w14:paraId="49CE8F2D">
            <w:pPr>
              <w:pStyle w:val="179"/>
            </w:pPr>
            <w:r>
              <w:t>418</w:t>
            </w:r>
          </w:p>
        </w:tc>
      </w:tr>
      <w:tr w14:paraId="559B1B1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434D5B43">
            <w:pPr>
              <w:pStyle w:val="179"/>
            </w:pPr>
            <w:r>
              <w:t>坡向</w:t>
            </w:r>
          </w:p>
        </w:tc>
        <w:tc>
          <w:tcPr>
            <w:tcW w:w="2703" w:type="pct"/>
            <w:vAlign w:val="center"/>
          </w:tcPr>
          <w:p w14:paraId="6A34544E">
            <w:pPr>
              <w:pStyle w:val="179"/>
            </w:pPr>
            <w:r>
              <w:t>-</w:t>
            </w:r>
          </w:p>
        </w:tc>
      </w:tr>
      <w:tr w14:paraId="4DF4399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5072BC98">
            <w:pPr>
              <w:pStyle w:val="179"/>
            </w:pPr>
            <w:r>
              <w:t>坡度（°）</w:t>
            </w:r>
          </w:p>
        </w:tc>
        <w:tc>
          <w:tcPr>
            <w:tcW w:w="2703" w:type="pct"/>
            <w:vAlign w:val="center"/>
          </w:tcPr>
          <w:p w14:paraId="2E7C438A">
            <w:pPr>
              <w:pStyle w:val="179"/>
            </w:pPr>
            <w:r>
              <w:t>-</w:t>
            </w:r>
          </w:p>
        </w:tc>
      </w:tr>
      <w:tr w14:paraId="67204B33">
        <w:tblPrEx>
          <w:tblCellMar>
            <w:top w:w="0" w:type="dxa"/>
            <w:left w:w="108" w:type="dxa"/>
            <w:bottom w:w="0" w:type="dxa"/>
            <w:right w:w="108" w:type="dxa"/>
          </w:tblCellMar>
        </w:tblPrEx>
        <w:trPr>
          <w:trHeight w:val="340" w:hRule="atLeast"/>
          <w:jc w:val="center"/>
        </w:trPr>
        <w:tc>
          <w:tcPr>
            <w:tcW w:w="2296" w:type="pct"/>
            <w:vAlign w:val="center"/>
          </w:tcPr>
          <w:p w14:paraId="05EA4075">
            <w:pPr>
              <w:pStyle w:val="179"/>
            </w:pPr>
            <w:r>
              <w:t>总盖度（%）</w:t>
            </w:r>
          </w:p>
        </w:tc>
        <w:tc>
          <w:tcPr>
            <w:tcW w:w="2703" w:type="pct"/>
            <w:vAlign w:val="center"/>
          </w:tcPr>
          <w:p w14:paraId="426BD7AA">
            <w:pPr>
              <w:pStyle w:val="179"/>
            </w:pPr>
            <w:r>
              <w:rPr>
                <w:rFonts w:hint="eastAsia"/>
              </w:rPr>
              <w:t>66</w:t>
            </w:r>
          </w:p>
        </w:tc>
      </w:tr>
      <w:tr w14:paraId="6AF6FD1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4DD88E33">
            <w:pPr>
              <w:pStyle w:val="179"/>
            </w:pPr>
            <w:r>
              <w:t>乔木层平均高度（m）</w:t>
            </w:r>
          </w:p>
        </w:tc>
        <w:tc>
          <w:tcPr>
            <w:tcW w:w="2703" w:type="pct"/>
            <w:vAlign w:val="center"/>
          </w:tcPr>
          <w:p w14:paraId="58886B88">
            <w:pPr>
              <w:pStyle w:val="179"/>
            </w:pPr>
            <w:r>
              <w:rPr>
                <w:rFonts w:hint="eastAsia"/>
              </w:rPr>
              <w:t>19</w:t>
            </w:r>
          </w:p>
        </w:tc>
      </w:tr>
      <w:tr w14:paraId="18E80B7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55CCC102">
            <w:pPr>
              <w:pStyle w:val="179"/>
            </w:pPr>
            <w:r>
              <w:t>乔木层盖度（%）</w:t>
            </w:r>
          </w:p>
        </w:tc>
        <w:tc>
          <w:tcPr>
            <w:tcW w:w="2703" w:type="pct"/>
            <w:vAlign w:val="center"/>
          </w:tcPr>
          <w:p w14:paraId="129F8F11">
            <w:pPr>
              <w:pStyle w:val="179"/>
            </w:pPr>
            <w:r>
              <w:rPr>
                <w:rFonts w:hint="eastAsia"/>
              </w:rPr>
              <w:t>58</w:t>
            </w:r>
          </w:p>
        </w:tc>
      </w:tr>
      <w:tr w14:paraId="18D0710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785998EF">
            <w:pPr>
              <w:pStyle w:val="179"/>
            </w:pPr>
            <w:r>
              <w:t>灌木层高度（m）</w:t>
            </w:r>
          </w:p>
        </w:tc>
        <w:tc>
          <w:tcPr>
            <w:tcW w:w="2703" w:type="pct"/>
            <w:vAlign w:val="center"/>
          </w:tcPr>
          <w:p w14:paraId="71D6D7D8">
            <w:pPr>
              <w:pStyle w:val="179"/>
            </w:pPr>
            <w:r>
              <w:rPr>
                <w:rFonts w:hint="eastAsia"/>
              </w:rPr>
              <w:t>0.9</w:t>
            </w:r>
          </w:p>
        </w:tc>
      </w:tr>
      <w:tr w14:paraId="6FA6502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3D4ADFFF">
            <w:pPr>
              <w:pStyle w:val="179"/>
            </w:pPr>
            <w:r>
              <w:t>灌木层盖度（%）</w:t>
            </w:r>
          </w:p>
        </w:tc>
        <w:tc>
          <w:tcPr>
            <w:tcW w:w="2703" w:type="pct"/>
            <w:vAlign w:val="center"/>
          </w:tcPr>
          <w:p w14:paraId="672BD737">
            <w:pPr>
              <w:pStyle w:val="179"/>
            </w:pPr>
            <w:r>
              <w:rPr>
                <w:rFonts w:hint="eastAsia"/>
              </w:rPr>
              <w:t>35</w:t>
            </w:r>
          </w:p>
        </w:tc>
      </w:tr>
      <w:tr w14:paraId="231B375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788D5265">
            <w:pPr>
              <w:pStyle w:val="179"/>
            </w:pPr>
            <w:r>
              <w:t>草本层高度（cm）</w:t>
            </w:r>
          </w:p>
        </w:tc>
        <w:tc>
          <w:tcPr>
            <w:tcW w:w="2703" w:type="pct"/>
            <w:vAlign w:val="center"/>
          </w:tcPr>
          <w:p w14:paraId="4AE5DAD7">
            <w:pPr>
              <w:pStyle w:val="179"/>
            </w:pPr>
            <w:r>
              <w:rPr>
                <w:rFonts w:hint="eastAsia"/>
              </w:rPr>
              <w:t>18</w:t>
            </w:r>
          </w:p>
        </w:tc>
      </w:tr>
      <w:tr w14:paraId="100AF71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3D5369AA">
            <w:pPr>
              <w:pStyle w:val="179"/>
            </w:pPr>
            <w:r>
              <w:t>草本层盖度（%）</w:t>
            </w:r>
          </w:p>
        </w:tc>
        <w:tc>
          <w:tcPr>
            <w:tcW w:w="2703" w:type="pct"/>
            <w:vAlign w:val="center"/>
          </w:tcPr>
          <w:p w14:paraId="007109AA">
            <w:pPr>
              <w:pStyle w:val="179"/>
            </w:pPr>
            <w:r>
              <w:rPr>
                <w:rFonts w:hint="eastAsia"/>
              </w:rPr>
              <w:t>35</w:t>
            </w:r>
          </w:p>
        </w:tc>
      </w:tr>
      <w:tr w14:paraId="762A0BF3">
        <w:tblPrEx>
          <w:tblCellMar>
            <w:top w:w="0" w:type="dxa"/>
            <w:left w:w="108" w:type="dxa"/>
            <w:bottom w:w="0" w:type="dxa"/>
            <w:right w:w="108" w:type="dxa"/>
          </w:tblCellMar>
        </w:tblPrEx>
        <w:trPr>
          <w:trHeight w:val="340" w:hRule="atLeast"/>
          <w:jc w:val="center"/>
        </w:trPr>
        <w:tc>
          <w:tcPr>
            <w:tcW w:w="2296" w:type="pct"/>
            <w:vAlign w:val="center"/>
          </w:tcPr>
          <w:p w14:paraId="4FEC6AA0">
            <w:pPr>
              <w:pStyle w:val="179"/>
            </w:pPr>
            <w:r>
              <w:t>乔木层</w:t>
            </w:r>
          </w:p>
        </w:tc>
        <w:tc>
          <w:tcPr>
            <w:tcW w:w="2703" w:type="pct"/>
            <w:vAlign w:val="center"/>
          </w:tcPr>
          <w:p w14:paraId="69A5EEED">
            <w:pPr>
              <w:pStyle w:val="179"/>
            </w:pPr>
            <w:r>
              <w:t>多优度-群聚度</w:t>
            </w:r>
          </w:p>
        </w:tc>
      </w:tr>
      <w:tr w14:paraId="2156BB4E">
        <w:tblPrEx>
          <w:tblCellMar>
            <w:top w:w="0" w:type="dxa"/>
            <w:left w:w="108" w:type="dxa"/>
            <w:bottom w:w="0" w:type="dxa"/>
            <w:right w:w="108" w:type="dxa"/>
          </w:tblCellMar>
        </w:tblPrEx>
        <w:trPr>
          <w:trHeight w:val="340" w:hRule="atLeast"/>
          <w:jc w:val="center"/>
        </w:trPr>
        <w:tc>
          <w:tcPr>
            <w:tcW w:w="2296" w:type="pct"/>
            <w:vAlign w:val="center"/>
          </w:tcPr>
          <w:p w14:paraId="65255361">
            <w:pPr>
              <w:pStyle w:val="179"/>
            </w:pPr>
            <w:r>
              <w:t>落叶松</w:t>
            </w:r>
          </w:p>
        </w:tc>
        <w:tc>
          <w:tcPr>
            <w:tcW w:w="2703" w:type="pct"/>
            <w:vAlign w:val="center"/>
          </w:tcPr>
          <w:p w14:paraId="344CC6F8">
            <w:pPr>
              <w:pStyle w:val="179"/>
            </w:pPr>
            <w:r>
              <w:t>4.3</w:t>
            </w:r>
          </w:p>
        </w:tc>
      </w:tr>
      <w:tr w14:paraId="5D6E72B7">
        <w:tblPrEx>
          <w:tblCellMar>
            <w:top w:w="0" w:type="dxa"/>
            <w:left w:w="108" w:type="dxa"/>
            <w:bottom w:w="0" w:type="dxa"/>
            <w:right w:w="108" w:type="dxa"/>
          </w:tblCellMar>
        </w:tblPrEx>
        <w:trPr>
          <w:trHeight w:val="340" w:hRule="atLeast"/>
          <w:jc w:val="center"/>
        </w:trPr>
        <w:tc>
          <w:tcPr>
            <w:tcW w:w="2296" w:type="pct"/>
            <w:vAlign w:val="center"/>
          </w:tcPr>
          <w:p w14:paraId="22BE9C10">
            <w:pPr>
              <w:pStyle w:val="179"/>
            </w:pPr>
            <w:r>
              <w:t>-</w:t>
            </w:r>
          </w:p>
        </w:tc>
        <w:tc>
          <w:tcPr>
            <w:tcW w:w="2703" w:type="pct"/>
            <w:vAlign w:val="center"/>
          </w:tcPr>
          <w:p w14:paraId="2C85724D">
            <w:pPr>
              <w:pStyle w:val="179"/>
            </w:pPr>
            <w:r>
              <w:t>-</w:t>
            </w:r>
          </w:p>
        </w:tc>
      </w:tr>
      <w:tr w14:paraId="175F7BBA">
        <w:tblPrEx>
          <w:tblCellMar>
            <w:top w:w="0" w:type="dxa"/>
            <w:left w:w="108" w:type="dxa"/>
            <w:bottom w:w="0" w:type="dxa"/>
            <w:right w:w="108" w:type="dxa"/>
          </w:tblCellMar>
        </w:tblPrEx>
        <w:trPr>
          <w:trHeight w:val="340" w:hRule="atLeast"/>
          <w:jc w:val="center"/>
        </w:trPr>
        <w:tc>
          <w:tcPr>
            <w:tcW w:w="2296" w:type="pct"/>
            <w:vAlign w:val="center"/>
          </w:tcPr>
          <w:p w14:paraId="6ECE9698">
            <w:pPr>
              <w:pStyle w:val="179"/>
            </w:pPr>
            <w:r>
              <w:t>灌木层</w:t>
            </w:r>
          </w:p>
        </w:tc>
        <w:tc>
          <w:tcPr>
            <w:tcW w:w="2703" w:type="pct"/>
            <w:vAlign w:val="center"/>
          </w:tcPr>
          <w:p w14:paraId="090DD8E1">
            <w:pPr>
              <w:pStyle w:val="179"/>
            </w:pPr>
            <w:r>
              <w:t>多优度-群聚度</w:t>
            </w:r>
          </w:p>
        </w:tc>
      </w:tr>
      <w:tr w14:paraId="575C12B5">
        <w:tblPrEx>
          <w:tblCellMar>
            <w:top w:w="0" w:type="dxa"/>
            <w:left w:w="108" w:type="dxa"/>
            <w:bottom w:w="0" w:type="dxa"/>
            <w:right w:w="108" w:type="dxa"/>
          </w:tblCellMar>
        </w:tblPrEx>
        <w:trPr>
          <w:trHeight w:val="340" w:hRule="atLeast"/>
          <w:jc w:val="center"/>
        </w:trPr>
        <w:tc>
          <w:tcPr>
            <w:tcW w:w="2296" w:type="pct"/>
            <w:vAlign w:val="center"/>
          </w:tcPr>
          <w:p w14:paraId="66DB7055">
            <w:pPr>
              <w:pStyle w:val="179"/>
            </w:pPr>
            <w:r>
              <w:t>山刺玫</w:t>
            </w:r>
          </w:p>
        </w:tc>
        <w:tc>
          <w:tcPr>
            <w:tcW w:w="2703" w:type="pct"/>
            <w:vAlign w:val="center"/>
          </w:tcPr>
          <w:p w14:paraId="698AF796">
            <w:pPr>
              <w:pStyle w:val="179"/>
            </w:pPr>
            <w:r>
              <w:rPr>
                <w:rFonts w:hint="eastAsia"/>
              </w:rPr>
              <w:t>2.1</w:t>
            </w:r>
          </w:p>
        </w:tc>
      </w:tr>
      <w:tr w14:paraId="4283C46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0F544DEF">
            <w:pPr>
              <w:pStyle w:val="179"/>
            </w:pPr>
            <w:r>
              <w:t>胡枝子</w:t>
            </w:r>
          </w:p>
        </w:tc>
        <w:tc>
          <w:tcPr>
            <w:tcW w:w="2703" w:type="pct"/>
            <w:vAlign w:val="center"/>
          </w:tcPr>
          <w:p w14:paraId="5B0AA731">
            <w:pPr>
              <w:pStyle w:val="179"/>
            </w:pPr>
            <w:r>
              <w:t>1.2</w:t>
            </w:r>
          </w:p>
        </w:tc>
      </w:tr>
      <w:tr w14:paraId="656EFDB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2379B41B">
            <w:pPr>
              <w:pStyle w:val="179"/>
            </w:pPr>
            <w:r>
              <w:t>榛</w:t>
            </w:r>
          </w:p>
        </w:tc>
        <w:tc>
          <w:tcPr>
            <w:tcW w:w="2703" w:type="pct"/>
            <w:vAlign w:val="center"/>
          </w:tcPr>
          <w:p w14:paraId="038A6538">
            <w:pPr>
              <w:pStyle w:val="179"/>
            </w:pPr>
            <w:r>
              <w:t>1.1</w:t>
            </w:r>
          </w:p>
        </w:tc>
      </w:tr>
      <w:tr w14:paraId="5AD9917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7D6D575D">
            <w:pPr>
              <w:pStyle w:val="179"/>
            </w:pPr>
            <w:r>
              <w:t>-</w:t>
            </w:r>
          </w:p>
        </w:tc>
        <w:tc>
          <w:tcPr>
            <w:tcW w:w="2703" w:type="pct"/>
            <w:vAlign w:val="center"/>
          </w:tcPr>
          <w:p w14:paraId="14EA1DDE">
            <w:pPr>
              <w:pStyle w:val="179"/>
            </w:pPr>
            <w:r>
              <w:t>-</w:t>
            </w:r>
          </w:p>
        </w:tc>
      </w:tr>
      <w:tr w14:paraId="09AF5EAC">
        <w:tblPrEx>
          <w:tblCellMar>
            <w:top w:w="0" w:type="dxa"/>
            <w:left w:w="108" w:type="dxa"/>
            <w:bottom w:w="0" w:type="dxa"/>
            <w:right w:w="108" w:type="dxa"/>
          </w:tblCellMar>
        </w:tblPrEx>
        <w:trPr>
          <w:trHeight w:val="340" w:hRule="atLeast"/>
          <w:jc w:val="center"/>
        </w:trPr>
        <w:tc>
          <w:tcPr>
            <w:tcW w:w="2296" w:type="pct"/>
            <w:vAlign w:val="center"/>
          </w:tcPr>
          <w:p w14:paraId="665E4A1D">
            <w:pPr>
              <w:pStyle w:val="179"/>
            </w:pPr>
            <w:r>
              <w:t>草本层</w:t>
            </w:r>
          </w:p>
        </w:tc>
        <w:tc>
          <w:tcPr>
            <w:tcW w:w="2703" w:type="pct"/>
            <w:vAlign w:val="center"/>
          </w:tcPr>
          <w:p w14:paraId="07E35E43">
            <w:pPr>
              <w:pStyle w:val="179"/>
            </w:pPr>
            <w:r>
              <w:t>多优度-群聚度</w:t>
            </w:r>
          </w:p>
        </w:tc>
      </w:tr>
      <w:tr w14:paraId="56AC793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4F236606">
            <w:pPr>
              <w:pStyle w:val="179"/>
            </w:pPr>
            <w:r>
              <w:t>红花鹿蹄草</w:t>
            </w:r>
          </w:p>
        </w:tc>
        <w:tc>
          <w:tcPr>
            <w:tcW w:w="2703" w:type="pct"/>
            <w:vAlign w:val="center"/>
          </w:tcPr>
          <w:p w14:paraId="4802D74A">
            <w:pPr>
              <w:pStyle w:val="179"/>
            </w:pPr>
            <w:r>
              <w:t>1.2</w:t>
            </w:r>
          </w:p>
        </w:tc>
      </w:tr>
      <w:tr w14:paraId="74EE0DF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00D3F8C1">
            <w:pPr>
              <w:pStyle w:val="179"/>
            </w:pPr>
            <w:r>
              <w:t>小白花地榆</w:t>
            </w:r>
          </w:p>
        </w:tc>
        <w:tc>
          <w:tcPr>
            <w:tcW w:w="2703" w:type="pct"/>
            <w:vAlign w:val="center"/>
          </w:tcPr>
          <w:p w14:paraId="4133B8DB">
            <w:pPr>
              <w:pStyle w:val="179"/>
            </w:pPr>
            <w:r>
              <w:t>2.1</w:t>
            </w:r>
          </w:p>
        </w:tc>
      </w:tr>
      <w:tr w14:paraId="319513C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69536B8A">
            <w:pPr>
              <w:pStyle w:val="179"/>
            </w:pPr>
            <w:r>
              <w:t>老鹳草</w:t>
            </w:r>
          </w:p>
        </w:tc>
        <w:tc>
          <w:tcPr>
            <w:tcW w:w="2703" w:type="pct"/>
            <w:vAlign w:val="center"/>
          </w:tcPr>
          <w:p w14:paraId="213C854C">
            <w:pPr>
              <w:pStyle w:val="179"/>
            </w:pPr>
            <w:r>
              <w:t>2.2</w:t>
            </w:r>
          </w:p>
        </w:tc>
      </w:tr>
      <w:tr w14:paraId="1FAF114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69781ACE">
            <w:pPr>
              <w:pStyle w:val="179"/>
            </w:pPr>
            <w:r>
              <w:t>舞鹤草</w:t>
            </w:r>
          </w:p>
        </w:tc>
        <w:tc>
          <w:tcPr>
            <w:tcW w:w="2703" w:type="pct"/>
            <w:vAlign w:val="center"/>
          </w:tcPr>
          <w:p w14:paraId="04367667">
            <w:pPr>
              <w:pStyle w:val="179"/>
            </w:pPr>
            <w:r>
              <w:t>1.1</w:t>
            </w:r>
          </w:p>
        </w:tc>
      </w:tr>
      <w:tr w14:paraId="13F05F7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1F90E732">
            <w:pPr>
              <w:pStyle w:val="179"/>
            </w:pPr>
            <w:r>
              <w:t>广布野豌豆</w:t>
            </w:r>
          </w:p>
        </w:tc>
        <w:tc>
          <w:tcPr>
            <w:tcW w:w="2703" w:type="pct"/>
            <w:vAlign w:val="center"/>
          </w:tcPr>
          <w:p w14:paraId="0BAA0ADE">
            <w:pPr>
              <w:pStyle w:val="179"/>
            </w:pPr>
            <w:r>
              <w:t>1.2</w:t>
            </w:r>
          </w:p>
        </w:tc>
      </w:tr>
    </w:tbl>
    <w:p w14:paraId="1105C947">
      <w:pPr>
        <w:pStyle w:val="178"/>
      </w:pPr>
      <w:r>
        <w:t>表</w:t>
      </w:r>
      <w:r>
        <w:rPr>
          <w:rFonts w:hint="eastAsia"/>
        </w:rPr>
        <w:t xml:space="preserve">1-9  </w:t>
      </w:r>
      <w:r>
        <w:t>落叶松林样方表（4）</w:t>
      </w:r>
    </w:p>
    <w:tbl>
      <w:tblPr>
        <w:tblStyle w:val="36"/>
        <w:tblW w:w="4996"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3913"/>
        <w:gridCol w:w="4608"/>
      </w:tblGrid>
      <w:tr w14:paraId="629899A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2C9FE737">
            <w:pPr>
              <w:pStyle w:val="179"/>
            </w:pPr>
            <w:r>
              <w:t>地点</w:t>
            </w:r>
          </w:p>
        </w:tc>
        <w:tc>
          <w:tcPr>
            <w:tcW w:w="2703" w:type="pct"/>
            <w:vAlign w:val="center"/>
          </w:tcPr>
          <w:p w14:paraId="66C123B2">
            <w:pPr>
              <w:pStyle w:val="179"/>
            </w:pPr>
            <w:r>
              <w:t>嫩江市塔溪乡马厂河</w:t>
            </w:r>
          </w:p>
        </w:tc>
      </w:tr>
      <w:tr w14:paraId="47A8BFB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5D4E39F7">
            <w:pPr>
              <w:pStyle w:val="179"/>
            </w:pPr>
            <w:r>
              <w:t>样地面积（m</w:t>
            </w:r>
            <w:r>
              <w:rPr>
                <w:vertAlign w:val="superscript"/>
              </w:rPr>
              <w:t>2</w:t>
            </w:r>
            <w:r>
              <w:t>）</w:t>
            </w:r>
          </w:p>
        </w:tc>
        <w:tc>
          <w:tcPr>
            <w:tcW w:w="2703" w:type="pct"/>
            <w:vAlign w:val="center"/>
          </w:tcPr>
          <w:p w14:paraId="5BD089F0">
            <w:pPr>
              <w:pStyle w:val="179"/>
            </w:pPr>
            <w:r>
              <w:t>400</w:t>
            </w:r>
          </w:p>
        </w:tc>
      </w:tr>
      <w:tr w14:paraId="09D7B87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56649923">
            <w:pPr>
              <w:pStyle w:val="179"/>
            </w:pPr>
            <w:r>
              <w:t>经纬度</w:t>
            </w:r>
          </w:p>
        </w:tc>
        <w:tc>
          <w:tcPr>
            <w:tcW w:w="2703" w:type="pct"/>
            <w:vAlign w:val="center"/>
          </w:tcPr>
          <w:p w14:paraId="6C28BD16">
            <w:pPr>
              <w:pStyle w:val="179"/>
            </w:pPr>
            <w:r>
              <w:t>126°18′55.8036″E，49°26′30.5916″N</w:t>
            </w:r>
          </w:p>
        </w:tc>
      </w:tr>
      <w:tr w14:paraId="57F9950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04DB261C">
            <w:pPr>
              <w:pStyle w:val="179"/>
            </w:pPr>
            <w:r>
              <w:t>海拔（m）</w:t>
            </w:r>
          </w:p>
        </w:tc>
        <w:tc>
          <w:tcPr>
            <w:tcW w:w="2703" w:type="pct"/>
            <w:vAlign w:val="center"/>
          </w:tcPr>
          <w:p w14:paraId="5465C05E">
            <w:pPr>
              <w:pStyle w:val="179"/>
            </w:pPr>
            <w:r>
              <w:t>418</w:t>
            </w:r>
          </w:p>
        </w:tc>
      </w:tr>
      <w:tr w14:paraId="6D2A79E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0115CA90">
            <w:pPr>
              <w:pStyle w:val="179"/>
            </w:pPr>
            <w:r>
              <w:t>坡向</w:t>
            </w:r>
          </w:p>
        </w:tc>
        <w:tc>
          <w:tcPr>
            <w:tcW w:w="2703" w:type="pct"/>
            <w:vAlign w:val="center"/>
          </w:tcPr>
          <w:p w14:paraId="23560B86">
            <w:pPr>
              <w:pStyle w:val="179"/>
            </w:pPr>
            <w:r>
              <w:t>-</w:t>
            </w:r>
          </w:p>
        </w:tc>
      </w:tr>
      <w:tr w14:paraId="67C60AB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08ED8930">
            <w:pPr>
              <w:pStyle w:val="179"/>
            </w:pPr>
            <w:r>
              <w:t>坡度（°）</w:t>
            </w:r>
          </w:p>
        </w:tc>
        <w:tc>
          <w:tcPr>
            <w:tcW w:w="2703" w:type="pct"/>
            <w:vAlign w:val="center"/>
          </w:tcPr>
          <w:p w14:paraId="78BBE139">
            <w:pPr>
              <w:pStyle w:val="179"/>
            </w:pPr>
            <w:r>
              <w:t>-</w:t>
            </w:r>
          </w:p>
        </w:tc>
      </w:tr>
      <w:tr w14:paraId="1183E37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1D9C987C">
            <w:pPr>
              <w:pStyle w:val="179"/>
            </w:pPr>
            <w:r>
              <w:t>总盖度（%）</w:t>
            </w:r>
          </w:p>
        </w:tc>
        <w:tc>
          <w:tcPr>
            <w:tcW w:w="2703" w:type="pct"/>
            <w:vAlign w:val="center"/>
          </w:tcPr>
          <w:p w14:paraId="7B0299F0">
            <w:pPr>
              <w:pStyle w:val="179"/>
            </w:pPr>
            <w:r>
              <w:rPr>
                <w:rFonts w:hint="eastAsia"/>
              </w:rPr>
              <w:t>63</w:t>
            </w:r>
          </w:p>
        </w:tc>
      </w:tr>
      <w:tr w14:paraId="7B6CC4C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1187C9F5">
            <w:pPr>
              <w:pStyle w:val="179"/>
            </w:pPr>
            <w:r>
              <w:t>乔木层平均高度（m）</w:t>
            </w:r>
          </w:p>
        </w:tc>
        <w:tc>
          <w:tcPr>
            <w:tcW w:w="2703" w:type="pct"/>
            <w:vAlign w:val="center"/>
          </w:tcPr>
          <w:p w14:paraId="2EB43DBD">
            <w:pPr>
              <w:pStyle w:val="179"/>
            </w:pPr>
            <w:r>
              <w:rPr>
                <w:rFonts w:hint="eastAsia"/>
              </w:rPr>
              <w:t>18</w:t>
            </w:r>
          </w:p>
        </w:tc>
      </w:tr>
      <w:tr w14:paraId="2A36D47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14DC83E8">
            <w:pPr>
              <w:pStyle w:val="179"/>
            </w:pPr>
            <w:r>
              <w:t>乔木层盖度（%）</w:t>
            </w:r>
          </w:p>
        </w:tc>
        <w:tc>
          <w:tcPr>
            <w:tcW w:w="2703" w:type="pct"/>
            <w:vAlign w:val="center"/>
          </w:tcPr>
          <w:p w14:paraId="316EC7A5">
            <w:pPr>
              <w:pStyle w:val="179"/>
            </w:pPr>
            <w:r>
              <w:rPr>
                <w:rFonts w:hint="eastAsia"/>
              </w:rPr>
              <w:t>52</w:t>
            </w:r>
          </w:p>
        </w:tc>
      </w:tr>
      <w:tr w14:paraId="1372183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6344AD79">
            <w:pPr>
              <w:pStyle w:val="179"/>
            </w:pPr>
            <w:r>
              <w:t>灌木层高度（m）</w:t>
            </w:r>
          </w:p>
        </w:tc>
        <w:tc>
          <w:tcPr>
            <w:tcW w:w="2703" w:type="pct"/>
            <w:vAlign w:val="center"/>
          </w:tcPr>
          <w:p w14:paraId="6E14E312">
            <w:pPr>
              <w:pStyle w:val="179"/>
            </w:pPr>
            <w:r>
              <w:rPr>
                <w:rFonts w:hint="eastAsia"/>
              </w:rPr>
              <w:t>1.1</w:t>
            </w:r>
          </w:p>
        </w:tc>
      </w:tr>
      <w:tr w14:paraId="6181413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577FD152">
            <w:pPr>
              <w:pStyle w:val="179"/>
            </w:pPr>
            <w:r>
              <w:t>灌木层盖度（%）</w:t>
            </w:r>
          </w:p>
        </w:tc>
        <w:tc>
          <w:tcPr>
            <w:tcW w:w="2703" w:type="pct"/>
            <w:vAlign w:val="center"/>
          </w:tcPr>
          <w:p w14:paraId="314E90C6">
            <w:pPr>
              <w:pStyle w:val="179"/>
            </w:pPr>
            <w:r>
              <w:rPr>
                <w:rFonts w:hint="eastAsia"/>
              </w:rPr>
              <w:t>38</w:t>
            </w:r>
          </w:p>
        </w:tc>
      </w:tr>
      <w:tr w14:paraId="2879DAF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55815E85">
            <w:pPr>
              <w:pStyle w:val="179"/>
            </w:pPr>
            <w:r>
              <w:t>草本层高度（cm）</w:t>
            </w:r>
          </w:p>
        </w:tc>
        <w:tc>
          <w:tcPr>
            <w:tcW w:w="2703" w:type="pct"/>
            <w:vAlign w:val="center"/>
          </w:tcPr>
          <w:p w14:paraId="1ABF90AA">
            <w:pPr>
              <w:pStyle w:val="179"/>
            </w:pPr>
            <w:r>
              <w:rPr>
                <w:rFonts w:hint="eastAsia"/>
              </w:rPr>
              <w:t>19</w:t>
            </w:r>
          </w:p>
        </w:tc>
      </w:tr>
      <w:tr w14:paraId="13CB8D6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52D97CA0">
            <w:pPr>
              <w:pStyle w:val="179"/>
            </w:pPr>
            <w:r>
              <w:t>草本层盖度（%）</w:t>
            </w:r>
          </w:p>
        </w:tc>
        <w:tc>
          <w:tcPr>
            <w:tcW w:w="2703" w:type="pct"/>
            <w:vAlign w:val="center"/>
          </w:tcPr>
          <w:p w14:paraId="6F73DAE8">
            <w:pPr>
              <w:pStyle w:val="179"/>
            </w:pPr>
            <w:r>
              <w:rPr>
                <w:rFonts w:hint="eastAsia"/>
              </w:rPr>
              <w:t>42</w:t>
            </w:r>
          </w:p>
        </w:tc>
      </w:tr>
      <w:tr w14:paraId="33BC04B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6EA7EBB8">
            <w:pPr>
              <w:pStyle w:val="179"/>
            </w:pPr>
            <w:r>
              <w:t>乔木层</w:t>
            </w:r>
          </w:p>
        </w:tc>
        <w:tc>
          <w:tcPr>
            <w:tcW w:w="2703" w:type="pct"/>
            <w:vAlign w:val="center"/>
          </w:tcPr>
          <w:p w14:paraId="628C95E6">
            <w:pPr>
              <w:pStyle w:val="179"/>
            </w:pPr>
            <w:r>
              <w:t>多优度-群聚度</w:t>
            </w:r>
          </w:p>
        </w:tc>
      </w:tr>
      <w:tr w14:paraId="0BF041F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246A70EB">
            <w:pPr>
              <w:pStyle w:val="179"/>
            </w:pPr>
            <w:r>
              <w:t>落叶松</w:t>
            </w:r>
          </w:p>
        </w:tc>
        <w:tc>
          <w:tcPr>
            <w:tcW w:w="2703" w:type="pct"/>
            <w:vAlign w:val="center"/>
          </w:tcPr>
          <w:p w14:paraId="417C3928">
            <w:pPr>
              <w:pStyle w:val="179"/>
            </w:pPr>
            <w:r>
              <w:t>4.2</w:t>
            </w:r>
          </w:p>
        </w:tc>
      </w:tr>
      <w:tr w14:paraId="6CB1B0B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724C7C70">
            <w:pPr>
              <w:pStyle w:val="179"/>
            </w:pPr>
            <w:r>
              <w:t>-</w:t>
            </w:r>
          </w:p>
        </w:tc>
        <w:tc>
          <w:tcPr>
            <w:tcW w:w="2703" w:type="pct"/>
            <w:vAlign w:val="center"/>
          </w:tcPr>
          <w:p w14:paraId="57C345A7">
            <w:pPr>
              <w:pStyle w:val="179"/>
            </w:pPr>
            <w:r>
              <w:t>-</w:t>
            </w:r>
          </w:p>
        </w:tc>
      </w:tr>
      <w:tr w14:paraId="14B071A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72DC3B59">
            <w:pPr>
              <w:pStyle w:val="179"/>
            </w:pPr>
            <w:r>
              <w:t>灌木层</w:t>
            </w:r>
          </w:p>
        </w:tc>
        <w:tc>
          <w:tcPr>
            <w:tcW w:w="2703" w:type="pct"/>
            <w:vAlign w:val="center"/>
          </w:tcPr>
          <w:p w14:paraId="4D588BF2">
            <w:pPr>
              <w:pStyle w:val="179"/>
            </w:pPr>
            <w:r>
              <w:t>多优度-群聚度</w:t>
            </w:r>
          </w:p>
        </w:tc>
      </w:tr>
      <w:tr w14:paraId="1559E49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25FC4246">
            <w:pPr>
              <w:pStyle w:val="179"/>
            </w:pPr>
            <w:r>
              <w:t>胡枝子</w:t>
            </w:r>
          </w:p>
        </w:tc>
        <w:tc>
          <w:tcPr>
            <w:tcW w:w="2703" w:type="pct"/>
            <w:vAlign w:val="center"/>
          </w:tcPr>
          <w:p w14:paraId="14967CA1">
            <w:pPr>
              <w:pStyle w:val="179"/>
            </w:pPr>
            <w:r>
              <w:t>1.2</w:t>
            </w:r>
          </w:p>
        </w:tc>
      </w:tr>
      <w:tr w14:paraId="26BD2FB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7476CCE2">
            <w:pPr>
              <w:pStyle w:val="179"/>
            </w:pPr>
            <w:r>
              <w:t>榛</w:t>
            </w:r>
          </w:p>
        </w:tc>
        <w:tc>
          <w:tcPr>
            <w:tcW w:w="2703" w:type="pct"/>
            <w:vAlign w:val="center"/>
          </w:tcPr>
          <w:p w14:paraId="09443C37">
            <w:pPr>
              <w:pStyle w:val="179"/>
            </w:pPr>
            <w:r>
              <w:t>1.1</w:t>
            </w:r>
          </w:p>
        </w:tc>
      </w:tr>
      <w:tr w14:paraId="4799403B">
        <w:tblPrEx>
          <w:tblCellMar>
            <w:top w:w="0" w:type="dxa"/>
            <w:left w:w="108" w:type="dxa"/>
            <w:bottom w:w="0" w:type="dxa"/>
            <w:right w:w="108" w:type="dxa"/>
          </w:tblCellMar>
        </w:tblPrEx>
        <w:trPr>
          <w:trHeight w:val="340" w:hRule="atLeast"/>
          <w:jc w:val="center"/>
        </w:trPr>
        <w:tc>
          <w:tcPr>
            <w:tcW w:w="2296" w:type="pct"/>
            <w:vAlign w:val="center"/>
          </w:tcPr>
          <w:p w14:paraId="4AA562C4">
            <w:pPr>
              <w:pStyle w:val="179"/>
            </w:pPr>
            <w:r>
              <w:t>-</w:t>
            </w:r>
          </w:p>
        </w:tc>
        <w:tc>
          <w:tcPr>
            <w:tcW w:w="2703" w:type="pct"/>
            <w:vAlign w:val="center"/>
          </w:tcPr>
          <w:p w14:paraId="5B273508">
            <w:pPr>
              <w:pStyle w:val="179"/>
            </w:pPr>
            <w:r>
              <w:t>-</w:t>
            </w:r>
          </w:p>
        </w:tc>
      </w:tr>
      <w:tr w14:paraId="22227A1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4F033240">
            <w:pPr>
              <w:pStyle w:val="179"/>
            </w:pPr>
            <w:r>
              <w:t>草本层</w:t>
            </w:r>
          </w:p>
        </w:tc>
        <w:tc>
          <w:tcPr>
            <w:tcW w:w="2703" w:type="pct"/>
            <w:vAlign w:val="center"/>
          </w:tcPr>
          <w:p w14:paraId="7AB81ADE">
            <w:pPr>
              <w:pStyle w:val="179"/>
            </w:pPr>
            <w:r>
              <w:t>多优度-群聚度</w:t>
            </w:r>
          </w:p>
        </w:tc>
      </w:tr>
      <w:tr w14:paraId="1481677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2A68B071">
            <w:pPr>
              <w:pStyle w:val="179"/>
            </w:pPr>
            <w:r>
              <w:t>林地早熟禾</w:t>
            </w:r>
          </w:p>
        </w:tc>
        <w:tc>
          <w:tcPr>
            <w:tcW w:w="2703" w:type="pct"/>
            <w:vAlign w:val="center"/>
          </w:tcPr>
          <w:p w14:paraId="209D5DB4">
            <w:pPr>
              <w:pStyle w:val="179"/>
            </w:pPr>
            <w:r>
              <w:t>1.2</w:t>
            </w:r>
          </w:p>
        </w:tc>
      </w:tr>
      <w:tr w14:paraId="5F71FB1B">
        <w:tblPrEx>
          <w:tblCellMar>
            <w:top w:w="0" w:type="dxa"/>
            <w:left w:w="108" w:type="dxa"/>
            <w:bottom w:w="0" w:type="dxa"/>
            <w:right w:w="108" w:type="dxa"/>
          </w:tblCellMar>
        </w:tblPrEx>
        <w:trPr>
          <w:trHeight w:val="340" w:hRule="atLeast"/>
          <w:jc w:val="center"/>
        </w:trPr>
        <w:tc>
          <w:tcPr>
            <w:tcW w:w="2296" w:type="pct"/>
            <w:vAlign w:val="center"/>
          </w:tcPr>
          <w:p w14:paraId="098002D1">
            <w:pPr>
              <w:pStyle w:val="179"/>
            </w:pPr>
            <w:r>
              <w:t>小白花地榆</w:t>
            </w:r>
          </w:p>
        </w:tc>
        <w:tc>
          <w:tcPr>
            <w:tcW w:w="2703" w:type="pct"/>
            <w:vAlign w:val="center"/>
          </w:tcPr>
          <w:p w14:paraId="581C864E">
            <w:pPr>
              <w:pStyle w:val="179"/>
            </w:pPr>
            <w:r>
              <w:t>2.1</w:t>
            </w:r>
          </w:p>
        </w:tc>
      </w:tr>
      <w:tr w14:paraId="1FAEB2E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67955FD1">
            <w:pPr>
              <w:pStyle w:val="179"/>
            </w:pPr>
            <w:r>
              <w:t>老鹳草</w:t>
            </w:r>
          </w:p>
        </w:tc>
        <w:tc>
          <w:tcPr>
            <w:tcW w:w="2703" w:type="pct"/>
            <w:vAlign w:val="center"/>
          </w:tcPr>
          <w:p w14:paraId="00E49BD8">
            <w:pPr>
              <w:pStyle w:val="179"/>
            </w:pPr>
            <w:r>
              <w:t>2.2</w:t>
            </w:r>
          </w:p>
        </w:tc>
      </w:tr>
      <w:tr w14:paraId="2C01641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585DCE29">
            <w:pPr>
              <w:pStyle w:val="179"/>
            </w:pPr>
            <w:r>
              <w:t>舞鹤草</w:t>
            </w:r>
          </w:p>
        </w:tc>
        <w:tc>
          <w:tcPr>
            <w:tcW w:w="2703" w:type="pct"/>
            <w:vAlign w:val="center"/>
          </w:tcPr>
          <w:p w14:paraId="173E5810">
            <w:pPr>
              <w:pStyle w:val="179"/>
            </w:pPr>
            <w:r>
              <w:t>1.1</w:t>
            </w:r>
          </w:p>
        </w:tc>
      </w:tr>
      <w:tr w14:paraId="774CCF1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79B622B8">
            <w:pPr>
              <w:pStyle w:val="179"/>
            </w:pPr>
            <w:r>
              <w:t>广布野豌豆</w:t>
            </w:r>
          </w:p>
        </w:tc>
        <w:tc>
          <w:tcPr>
            <w:tcW w:w="2703" w:type="pct"/>
            <w:vAlign w:val="center"/>
          </w:tcPr>
          <w:p w14:paraId="470ECCD3">
            <w:pPr>
              <w:pStyle w:val="179"/>
            </w:pPr>
            <w:r>
              <w:t>1.2</w:t>
            </w:r>
          </w:p>
        </w:tc>
      </w:tr>
      <w:tr w14:paraId="1242B02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0CD01671">
            <w:pPr>
              <w:pStyle w:val="179"/>
            </w:pPr>
            <w:r>
              <w:t>山尖子</w:t>
            </w:r>
          </w:p>
        </w:tc>
        <w:tc>
          <w:tcPr>
            <w:tcW w:w="2703" w:type="pct"/>
            <w:vAlign w:val="center"/>
          </w:tcPr>
          <w:p w14:paraId="4DEA4D8E">
            <w:pPr>
              <w:pStyle w:val="179"/>
            </w:pPr>
            <w:r>
              <w:t>1.1</w:t>
            </w:r>
          </w:p>
        </w:tc>
      </w:tr>
    </w:tbl>
    <w:p w14:paraId="2F236C4A">
      <w:pPr>
        <w:pStyle w:val="178"/>
      </w:pPr>
      <w:r>
        <w:t>表</w:t>
      </w:r>
      <w:r>
        <w:rPr>
          <w:rFonts w:hint="eastAsia"/>
        </w:rPr>
        <w:t xml:space="preserve">1-10  </w:t>
      </w:r>
      <w:r>
        <w:t>落叶松林样方表（5）</w:t>
      </w:r>
    </w:p>
    <w:tbl>
      <w:tblPr>
        <w:tblStyle w:val="36"/>
        <w:tblW w:w="4996"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3913"/>
        <w:gridCol w:w="4608"/>
      </w:tblGrid>
      <w:tr w14:paraId="293875D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6A485F59">
            <w:pPr>
              <w:pStyle w:val="179"/>
            </w:pPr>
            <w:r>
              <w:t>地点</w:t>
            </w:r>
          </w:p>
        </w:tc>
        <w:tc>
          <w:tcPr>
            <w:tcW w:w="2703" w:type="pct"/>
            <w:vAlign w:val="center"/>
          </w:tcPr>
          <w:p w14:paraId="210A7E20">
            <w:pPr>
              <w:pStyle w:val="179"/>
            </w:pPr>
            <w:r>
              <w:t>嫩江市塔溪乡马厂河</w:t>
            </w:r>
          </w:p>
        </w:tc>
      </w:tr>
      <w:tr w14:paraId="63366A6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5201E501">
            <w:pPr>
              <w:pStyle w:val="179"/>
            </w:pPr>
            <w:r>
              <w:t>样地面积（m</w:t>
            </w:r>
            <w:r>
              <w:rPr>
                <w:vertAlign w:val="superscript"/>
              </w:rPr>
              <w:t>2</w:t>
            </w:r>
            <w:r>
              <w:t>）</w:t>
            </w:r>
          </w:p>
        </w:tc>
        <w:tc>
          <w:tcPr>
            <w:tcW w:w="2703" w:type="pct"/>
            <w:vAlign w:val="center"/>
          </w:tcPr>
          <w:p w14:paraId="0299834C">
            <w:pPr>
              <w:pStyle w:val="179"/>
            </w:pPr>
            <w:r>
              <w:t>400</w:t>
            </w:r>
          </w:p>
        </w:tc>
      </w:tr>
      <w:tr w14:paraId="52733B8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5E386BE2">
            <w:pPr>
              <w:pStyle w:val="179"/>
            </w:pPr>
            <w:r>
              <w:t>经纬度</w:t>
            </w:r>
          </w:p>
        </w:tc>
        <w:tc>
          <w:tcPr>
            <w:tcW w:w="2703" w:type="pct"/>
            <w:vAlign w:val="center"/>
          </w:tcPr>
          <w:p w14:paraId="4D0A8166">
            <w:pPr>
              <w:pStyle w:val="179"/>
            </w:pPr>
            <w:r>
              <w:t>126°18′51.9164″E，49°26′59.9748″N</w:t>
            </w:r>
          </w:p>
        </w:tc>
      </w:tr>
      <w:tr w14:paraId="720DCBF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3DCEA2A5">
            <w:pPr>
              <w:pStyle w:val="179"/>
            </w:pPr>
            <w:r>
              <w:t>海拔（m）</w:t>
            </w:r>
          </w:p>
        </w:tc>
        <w:tc>
          <w:tcPr>
            <w:tcW w:w="2703" w:type="pct"/>
            <w:vAlign w:val="center"/>
          </w:tcPr>
          <w:p w14:paraId="640949FD">
            <w:pPr>
              <w:pStyle w:val="179"/>
            </w:pPr>
            <w:r>
              <w:t>418</w:t>
            </w:r>
          </w:p>
        </w:tc>
      </w:tr>
      <w:tr w14:paraId="6E4EECF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53564604">
            <w:pPr>
              <w:pStyle w:val="179"/>
            </w:pPr>
            <w:r>
              <w:t>坡向</w:t>
            </w:r>
          </w:p>
        </w:tc>
        <w:tc>
          <w:tcPr>
            <w:tcW w:w="2703" w:type="pct"/>
            <w:vAlign w:val="center"/>
          </w:tcPr>
          <w:p w14:paraId="0B6E0FC0">
            <w:pPr>
              <w:pStyle w:val="179"/>
            </w:pPr>
            <w:r>
              <w:t>-</w:t>
            </w:r>
          </w:p>
        </w:tc>
      </w:tr>
      <w:tr w14:paraId="070C2F8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22AEDDF4">
            <w:pPr>
              <w:pStyle w:val="179"/>
            </w:pPr>
            <w:r>
              <w:t>坡度（°）</w:t>
            </w:r>
          </w:p>
        </w:tc>
        <w:tc>
          <w:tcPr>
            <w:tcW w:w="2703" w:type="pct"/>
            <w:vAlign w:val="center"/>
          </w:tcPr>
          <w:p w14:paraId="6761C6E5">
            <w:pPr>
              <w:pStyle w:val="179"/>
            </w:pPr>
            <w:r>
              <w:t>-</w:t>
            </w:r>
          </w:p>
        </w:tc>
      </w:tr>
      <w:tr w14:paraId="1A94393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5354F6B4">
            <w:pPr>
              <w:pStyle w:val="179"/>
            </w:pPr>
            <w:r>
              <w:t>总盖度（%）</w:t>
            </w:r>
          </w:p>
        </w:tc>
        <w:tc>
          <w:tcPr>
            <w:tcW w:w="2703" w:type="pct"/>
            <w:vAlign w:val="center"/>
          </w:tcPr>
          <w:p w14:paraId="0232332B">
            <w:pPr>
              <w:pStyle w:val="179"/>
            </w:pPr>
            <w:r>
              <w:rPr>
                <w:rFonts w:hint="eastAsia"/>
              </w:rPr>
              <w:t>57</w:t>
            </w:r>
          </w:p>
        </w:tc>
      </w:tr>
      <w:tr w14:paraId="439DB7F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0A32398D">
            <w:pPr>
              <w:pStyle w:val="179"/>
            </w:pPr>
            <w:r>
              <w:t>乔木层平均高度（m）</w:t>
            </w:r>
          </w:p>
        </w:tc>
        <w:tc>
          <w:tcPr>
            <w:tcW w:w="2703" w:type="pct"/>
            <w:vAlign w:val="center"/>
          </w:tcPr>
          <w:p w14:paraId="64D6DB7F">
            <w:pPr>
              <w:pStyle w:val="179"/>
            </w:pPr>
            <w:r>
              <w:rPr>
                <w:rFonts w:hint="eastAsia"/>
              </w:rPr>
              <w:t>17</w:t>
            </w:r>
          </w:p>
        </w:tc>
      </w:tr>
      <w:tr w14:paraId="2638D93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2F33DC6B">
            <w:pPr>
              <w:pStyle w:val="179"/>
            </w:pPr>
            <w:r>
              <w:t>乔木层盖度（%）</w:t>
            </w:r>
          </w:p>
        </w:tc>
        <w:tc>
          <w:tcPr>
            <w:tcW w:w="2703" w:type="pct"/>
            <w:vAlign w:val="center"/>
          </w:tcPr>
          <w:p w14:paraId="790CC96D">
            <w:pPr>
              <w:pStyle w:val="179"/>
            </w:pPr>
            <w:r>
              <w:rPr>
                <w:rFonts w:hint="eastAsia"/>
              </w:rPr>
              <w:t>45</w:t>
            </w:r>
          </w:p>
        </w:tc>
      </w:tr>
      <w:tr w14:paraId="2FAEAC3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2CFF876A">
            <w:pPr>
              <w:pStyle w:val="179"/>
            </w:pPr>
            <w:r>
              <w:t>灌木层高度（m）</w:t>
            </w:r>
          </w:p>
        </w:tc>
        <w:tc>
          <w:tcPr>
            <w:tcW w:w="2703" w:type="pct"/>
            <w:vAlign w:val="center"/>
          </w:tcPr>
          <w:p w14:paraId="6D4D23F1">
            <w:pPr>
              <w:pStyle w:val="179"/>
            </w:pPr>
            <w:r>
              <w:rPr>
                <w:rFonts w:hint="eastAsia"/>
              </w:rPr>
              <w:t>1.4</w:t>
            </w:r>
          </w:p>
        </w:tc>
      </w:tr>
      <w:tr w14:paraId="5443D7E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01C1DE32">
            <w:pPr>
              <w:pStyle w:val="179"/>
            </w:pPr>
            <w:r>
              <w:t>灌木层盖度（%）</w:t>
            </w:r>
          </w:p>
        </w:tc>
        <w:tc>
          <w:tcPr>
            <w:tcW w:w="2703" w:type="pct"/>
            <w:vAlign w:val="center"/>
          </w:tcPr>
          <w:p w14:paraId="5B883C26">
            <w:pPr>
              <w:pStyle w:val="179"/>
            </w:pPr>
            <w:r>
              <w:rPr>
                <w:rFonts w:hint="eastAsia"/>
              </w:rPr>
              <w:t>42</w:t>
            </w:r>
          </w:p>
        </w:tc>
      </w:tr>
      <w:tr w14:paraId="3AAAC07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3B825E70">
            <w:pPr>
              <w:pStyle w:val="179"/>
            </w:pPr>
            <w:r>
              <w:t>草本层高度（cm）</w:t>
            </w:r>
          </w:p>
        </w:tc>
        <w:tc>
          <w:tcPr>
            <w:tcW w:w="2703" w:type="pct"/>
            <w:vAlign w:val="center"/>
          </w:tcPr>
          <w:p w14:paraId="501765FE">
            <w:pPr>
              <w:pStyle w:val="179"/>
            </w:pPr>
            <w:r>
              <w:rPr>
                <w:rFonts w:hint="eastAsia"/>
              </w:rPr>
              <w:t>20</w:t>
            </w:r>
          </w:p>
        </w:tc>
      </w:tr>
      <w:tr w14:paraId="63FC389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3C4C2D74">
            <w:pPr>
              <w:pStyle w:val="179"/>
            </w:pPr>
            <w:r>
              <w:t>草本层盖度（%）</w:t>
            </w:r>
          </w:p>
        </w:tc>
        <w:tc>
          <w:tcPr>
            <w:tcW w:w="2703" w:type="pct"/>
            <w:vAlign w:val="center"/>
          </w:tcPr>
          <w:p w14:paraId="6EE0B370">
            <w:pPr>
              <w:pStyle w:val="179"/>
            </w:pPr>
            <w:r>
              <w:rPr>
                <w:rFonts w:hint="eastAsia"/>
              </w:rPr>
              <w:t>35</w:t>
            </w:r>
          </w:p>
        </w:tc>
      </w:tr>
      <w:tr w14:paraId="6AD98D8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1693AFFA">
            <w:pPr>
              <w:pStyle w:val="179"/>
            </w:pPr>
            <w:r>
              <w:t>乔木层</w:t>
            </w:r>
          </w:p>
        </w:tc>
        <w:tc>
          <w:tcPr>
            <w:tcW w:w="2703" w:type="pct"/>
            <w:vAlign w:val="center"/>
          </w:tcPr>
          <w:p w14:paraId="707AE22A">
            <w:pPr>
              <w:pStyle w:val="179"/>
            </w:pPr>
            <w:r>
              <w:t>多优度-群聚度</w:t>
            </w:r>
          </w:p>
        </w:tc>
      </w:tr>
      <w:tr w14:paraId="656DF12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6A870C74">
            <w:pPr>
              <w:pStyle w:val="179"/>
            </w:pPr>
            <w:r>
              <w:t>落叶松</w:t>
            </w:r>
          </w:p>
        </w:tc>
        <w:tc>
          <w:tcPr>
            <w:tcW w:w="2703" w:type="pct"/>
            <w:vAlign w:val="center"/>
          </w:tcPr>
          <w:p w14:paraId="610633EC">
            <w:pPr>
              <w:pStyle w:val="179"/>
            </w:pPr>
            <w:r>
              <w:t>4.0</w:t>
            </w:r>
          </w:p>
        </w:tc>
      </w:tr>
      <w:tr w14:paraId="1DE0C69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5A97F5D6">
            <w:pPr>
              <w:pStyle w:val="179"/>
            </w:pPr>
            <w:r>
              <w:t>-</w:t>
            </w:r>
          </w:p>
        </w:tc>
        <w:tc>
          <w:tcPr>
            <w:tcW w:w="2703" w:type="pct"/>
            <w:vAlign w:val="center"/>
          </w:tcPr>
          <w:p w14:paraId="4D94C690">
            <w:pPr>
              <w:pStyle w:val="179"/>
            </w:pPr>
            <w:r>
              <w:t>-</w:t>
            </w:r>
          </w:p>
        </w:tc>
      </w:tr>
      <w:tr w14:paraId="458EA6E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3C51D8F2">
            <w:pPr>
              <w:pStyle w:val="179"/>
            </w:pPr>
            <w:r>
              <w:t>灌木层</w:t>
            </w:r>
          </w:p>
        </w:tc>
        <w:tc>
          <w:tcPr>
            <w:tcW w:w="2703" w:type="pct"/>
            <w:vAlign w:val="center"/>
          </w:tcPr>
          <w:p w14:paraId="29DEEBDA">
            <w:pPr>
              <w:pStyle w:val="179"/>
            </w:pPr>
            <w:r>
              <w:t>多优度-群聚度</w:t>
            </w:r>
          </w:p>
        </w:tc>
      </w:tr>
      <w:tr w14:paraId="2581F51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5E8C75FE">
            <w:pPr>
              <w:pStyle w:val="179"/>
            </w:pPr>
            <w:r>
              <w:t>胡枝子</w:t>
            </w:r>
          </w:p>
        </w:tc>
        <w:tc>
          <w:tcPr>
            <w:tcW w:w="2703" w:type="pct"/>
            <w:vAlign w:val="center"/>
          </w:tcPr>
          <w:p w14:paraId="216615DB">
            <w:pPr>
              <w:pStyle w:val="179"/>
            </w:pPr>
            <w:r>
              <w:t>2.1</w:t>
            </w:r>
          </w:p>
        </w:tc>
      </w:tr>
      <w:tr w14:paraId="73A95EF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0FF8EB0E">
            <w:pPr>
              <w:pStyle w:val="179"/>
            </w:pPr>
            <w:r>
              <w:t>榛</w:t>
            </w:r>
          </w:p>
        </w:tc>
        <w:tc>
          <w:tcPr>
            <w:tcW w:w="2703" w:type="pct"/>
            <w:vAlign w:val="center"/>
          </w:tcPr>
          <w:p w14:paraId="770A914F">
            <w:pPr>
              <w:pStyle w:val="179"/>
            </w:pPr>
            <w:r>
              <w:t>2.1</w:t>
            </w:r>
          </w:p>
        </w:tc>
      </w:tr>
      <w:tr w14:paraId="4872082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587E6833">
            <w:pPr>
              <w:pStyle w:val="179"/>
            </w:pPr>
            <w:r>
              <w:t>榆树</w:t>
            </w:r>
          </w:p>
        </w:tc>
        <w:tc>
          <w:tcPr>
            <w:tcW w:w="2703" w:type="pct"/>
            <w:vAlign w:val="center"/>
          </w:tcPr>
          <w:p w14:paraId="1D64B66E">
            <w:pPr>
              <w:pStyle w:val="179"/>
            </w:pPr>
            <w:r>
              <w:t>1.1</w:t>
            </w:r>
          </w:p>
        </w:tc>
      </w:tr>
      <w:tr w14:paraId="5578401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1C1F6D6C">
            <w:pPr>
              <w:pStyle w:val="179"/>
            </w:pPr>
            <w:r>
              <w:t>-</w:t>
            </w:r>
          </w:p>
        </w:tc>
        <w:tc>
          <w:tcPr>
            <w:tcW w:w="2703" w:type="pct"/>
            <w:vAlign w:val="center"/>
          </w:tcPr>
          <w:p w14:paraId="7AA59F20">
            <w:pPr>
              <w:pStyle w:val="179"/>
            </w:pPr>
            <w:r>
              <w:t>-</w:t>
            </w:r>
          </w:p>
        </w:tc>
      </w:tr>
      <w:tr w14:paraId="7B7A93D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2916AAB5">
            <w:pPr>
              <w:pStyle w:val="179"/>
            </w:pPr>
            <w:r>
              <w:t>草本层</w:t>
            </w:r>
          </w:p>
        </w:tc>
        <w:tc>
          <w:tcPr>
            <w:tcW w:w="2703" w:type="pct"/>
            <w:vAlign w:val="center"/>
          </w:tcPr>
          <w:p w14:paraId="67AA8D71">
            <w:pPr>
              <w:pStyle w:val="179"/>
            </w:pPr>
            <w:r>
              <w:t>多优度-群聚度</w:t>
            </w:r>
          </w:p>
        </w:tc>
      </w:tr>
      <w:tr w14:paraId="3122C04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4E911E94">
            <w:pPr>
              <w:pStyle w:val="179"/>
            </w:pPr>
            <w:r>
              <w:t>红花鹿蹄草</w:t>
            </w:r>
          </w:p>
        </w:tc>
        <w:tc>
          <w:tcPr>
            <w:tcW w:w="2703" w:type="pct"/>
            <w:vAlign w:val="center"/>
          </w:tcPr>
          <w:p w14:paraId="198FA16D">
            <w:pPr>
              <w:pStyle w:val="179"/>
            </w:pPr>
            <w:r>
              <w:t>1.2</w:t>
            </w:r>
          </w:p>
        </w:tc>
      </w:tr>
      <w:tr w14:paraId="1F03877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37D8FAC9">
            <w:pPr>
              <w:pStyle w:val="179"/>
            </w:pPr>
            <w:r>
              <w:t>轮叶沙参</w:t>
            </w:r>
          </w:p>
        </w:tc>
        <w:tc>
          <w:tcPr>
            <w:tcW w:w="2703" w:type="pct"/>
            <w:vAlign w:val="center"/>
          </w:tcPr>
          <w:p w14:paraId="66BF01B8">
            <w:pPr>
              <w:pStyle w:val="179"/>
            </w:pPr>
            <w:r>
              <w:t>1.1</w:t>
            </w:r>
          </w:p>
        </w:tc>
      </w:tr>
      <w:tr w14:paraId="57F2264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75A6B7D2">
            <w:pPr>
              <w:pStyle w:val="179"/>
            </w:pPr>
            <w:r>
              <w:t>蚊子草</w:t>
            </w:r>
          </w:p>
        </w:tc>
        <w:tc>
          <w:tcPr>
            <w:tcW w:w="2703" w:type="pct"/>
            <w:vAlign w:val="center"/>
          </w:tcPr>
          <w:p w14:paraId="65345D5E">
            <w:pPr>
              <w:pStyle w:val="179"/>
            </w:pPr>
            <w:r>
              <w:t>2.3</w:t>
            </w:r>
          </w:p>
        </w:tc>
      </w:tr>
      <w:tr w14:paraId="3C4214E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7CB06DA3">
            <w:pPr>
              <w:pStyle w:val="179"/>
            </w:pPr>
            <w:r>
              <w:t>老鹳草</w:t>
            </w:r>
          </w:p>
        </w:tc>
        <w:tc>
          <w:tcPr>
            <w:tcW w:w="2703" w:type="pct"/>
            <w:vAlign w:val="center"/>
          </w:tcPr>
          <w:p w14:paraId="66BEF1D5">
            <w:pPr>
              <w:pStyle w:val="179"/>
            </w:pPr>
            <w:r>
              <w:t>1.2</w:t>
            </w:r>
          </w:p>
        </w:tc>
      </w:tr>
      <w:tr w14:paraId="63B4A9A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55CC4B71">
            <w:pPr>
              <w:pStyle w:val="179"/>
            </w:pPr>
            <w:r>
              <w:t>耧斗菜</w:t>
            </w:r>
          </w:p>
        </w:tc>
        <w:tc>
          <w:tcPr>
            <w:tcW w:w="2703" w:type="pct"/>
            <w:vAlign w:val="center"/>
          </w:tcPr>
          <w:p w14:paraId="07DC3AFD">
            <w:pPr>
              <w:pStyle w:val="179"/>
            </w:pPr>
            <w:r>
              <w:t>1.1</w:t>
            </w:r>
          </w:p>
        </w:tc>
      </w:tr>
      <w:tr w14:paraId="1E4B8DD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1272C97B">
            <w:pPr>
              <w:pStyle w:val="179"/>
            </w:pPr>
            <w:r>
              <w:t>广布野豌豆</w:t>
            </w:r>
          </w:p>
        </w:tc>
        <w:tc>
          <w:tcPr>
            <w:tcW w:w="2703" w:type="pct"/>
            <w:vAlign w:val="center"/>
          </w:tcPr>
          <w:p w14:paraId="78BF5578">
            <w:pPr>
              <w:pStyle w:val="179"/>
            </w:pPr>
            <w:r>
              <w:t>1.1</w:t>
            </w:r>
          </w:p>
        </w:tc>
      </w:tr>
    </w:tbl>
    <w:p w14:paraId="19FD4027">
      <w:pPr>
        <w:pStyle w:val="178"/>
      </w:pPr>
      <w:r>
        <w:t>表</w:t>
      </w:r>
      <w:r>
        <w:rPr>
          <w:rFonts w:hint="eastAsia"/>
        </w:rPr>
        <w:t xml:space="preserve">1-11  </w:t>
      </w:r>
      <w:r>
        <w:t>杂草草丛样方表（1）</w:t>
      </w:r>
    </w:p>
    <w:tbl>
      <w:tblPr>
        <w:tblStyle w:val="36"/>
        <w:tblW w:w="4996"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3913"/>
        <w:gridCol w:w="4608"/>
      </w:tblGrid>
      <w:tr w14:paraId="01E7993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5412BFA9">
            <w:pPr>
              <w:pStyle w:val="179"/>
            </w:pPr>
            <w:r>
              <w:t>地点</w:t>
            </w:r>
          </w:p>
        </w:tc>
        <w:tc>
          <w:tcPr>
            <w:tcW w:w="2703" w:type="pct"/>
            <w:vAlign w:val="center"/>
          </w:tcPr>
          <w:p w14:paraId="2FF8C816">
            <w:pPr>
              <w:pStyle w:val="179"/>
            </w:pPr>
            <w:r>
              <w:t>嫩江市塔溪乡马厂河</w:t>
            </w:r>
          </w:p>
        </w:tc>
      </w:tr>
      <w:tr w14:paraId="6FE7792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13A1B076">
            <w:pPr>
              <w:pStyle w:val="179"/>
            </w:pPr>
            <w:r>
              <w:t>样地面积（m</w:t>
            </w:r>
            <w:r>
              <w:rPr>
                <w:vertAlign w:val="superscript"/>
              </w:rPr>
              <w:t>2</w:t>
            </w:r>
            <w:r>
              <w:t>）</w:t>
            </w:r>
          </w:p>
        </w:tc>
        <w:tc>
          <w:tcPr>
            <w:tcW w:w="2703" w:type="pct"/>
            <w:vAlign w:val="center"/>
          </w:tcPr>
          <w:p w14:paraId="7A6BF2CB">
            <w:pPr>
              <w:pStyle w:val="179"/>
            </w:pPr>
            <w:r>
              <w:t>1</w:t>
            </w:r>
          </w:p>
        </w:tc>
      </w:tr>
      <w:tr w14:paraId="0349297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11203935">
            <w:pPr>
              <w:pStyle w:val="179"/>
            </w:pPr>
            <w:r>
              <w:t>经纬度</w:t>
            </w:r>
          </w:p>
        </w:tc>
        <w:tc>
          <w:tcPr>
            <w:tcW w:w="2703" w:type="pct"/>
            <w:vAlign w:val="center"/>
          </w:tcPr>
          <w:p w14:paraId="0ED7F5E1">
            <w:pPr>
              <w:pStyle w:val="179"/>
            </w:pPr>
            <w:r>
              <w:t>126°17'24.8064"E，49°27'5.6988"N</w:t>
            </w:r>
          </w:p>
        </w:tc>
      </w:tr>
      <w:tr w14:paraId="4A4E446A">
        <w:tblPrEx>
          <w:tblCellMar>
            <w:top w:w="0" w:type="dxa"/>
            <w:left w:w="108" w:type="dxa"/>
            <w:bottom w:w="0" w:type="dxa"/>
            <w:right w:w="108" w:type="dxa"/>
          </w:tblCellMar>
        </w:tblPrEx>
        <w:trPr>
          <w:trHeight w:val="340" w:hRule="exact"/>
          <w:jc w:val="center"/>
        </w:trPr>
        <w:tc>
          <w:tcPr>
            <w:tcW w:w="2296" w:type="pct"/>
            <w:vAlign w:val="center"/>
          </w:tcPr>
          <w:p w14:paraId="4FD307EC">
            <w:pPr>
              <w:pStyle w:val="179"/>
            </w:pPr>
            <w:r>
              <w:t>海拔（m）</w:t>
            </w:r>
          </w:p>
        </w:tc>
        <w:tc>
          <w:tcPr>
            <w:tcW w:w="2703" w:type="pct"/>
            <w:vAlign w:val="center"/>
          </w:tcPr>
          <w:p w14:paraId="07652886">
            <w:pPr>
              <w:pStyle w:val="179"/>
            </w:pPr>
            <w:r>
              <w:t>418</w:t>
            </w:r>
          </w:p>
        </w:tc>
      </w:tr>
      <w:tr w14:paraId="06B5920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30C0D199">
            <w:pPr>
              <w:pStyle w:val="179"/>
            </w:pPr>
            <w:r>
              <w:t>坡向</w:t>
            </w:r>
          </w:p>
        </w:tc>
        <w:tc>
          <w:tcPr>
            <w:tcW w:w="2703" w:type="pct"/>
            <w:vAlign w:val="center"/>
          </w:tcPr>
          <w:p w14:paraId="4D40CD50">
            <w:pPr>
              <w:pStyle w:val="179"/>
            </w:pPr>
            <w:r>
              <w:t>-</w:t>
            </w:r>
          </w:p>
        </w:tc>
      </w:tr>
      <w:tr w14:paraId="444AAEA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160207A0">
            <w:pPr>
              <w:pStyle w:val="179"/>
            </w:pPr>
            <w:r>
              <w:t>坡度（°）</w:t>
            </w:r>
          </w:p>
        </w:tc>
        <w:tc>
          <w:tcPr>
            <w:tcW w:w="2703" w:type="pct"/>
            <w:vAlign w:val="center"/>
          </w:tcPr>
          <w:p w14:paraId="2B9362A4">
            <w:pPr>
              <w:pStyle w:val="179"/>
            </w:pPr>
            <w:r>
              <w:t>-</w:t>
            </w:r>
          </w:p>
        </w:tc>
      </w:tr>
      <w:tr w14:paraId="011572D6">
        <w:tblPrEx>
          <w:tblCellMar>
            <w:top w:w="0" w:type="dxa"/>
            <w:left w:w="108" w:type="dxa"/>
            <w:bottom w:w="0" w:type="dxa"/>
            <w:right w:w="108" w:type="dxa"/>
          </w:tblCellMar>
        </w:tblPrEx>
        <w:trPr>
          <w:trHeight w:val="340" w:hRule="exact"/>
          <w:jc w:val="center"/>
        </w:trPr>
        <w:tc>
          <w:tcPr>
            <w:tcW w:w="2296" w:type="pct"/>
            <w:vAlign w:val="center"/>
          </w:tcPr>
          <w:p w14:paraId="25756200">
            <w:pPr>
              <w:pStyle w:val="179"/>
            </w:pPr>
            <w:r>
              <w:t>总盖度（%）</w:t>
            </w:r>
          </w:p>
        </w:tc>
        <w:tc>
          <w:tcPr>
            <w:tcW w:w="2703" w:type="pct"/>
            <w:vAlign w:val="center"/>
          </w:tcPr>
          <w:p w14:paraId="6BA327EF">
            <w:pPr>
              <w:pStyle w:val="179"/>
            </w:pPr>
            <w:r>
              <w:t>50</w:t>
            </w:r>
          </w:p>
        </w:tc>
      </w:tr>
      <w:tr w14:paraId="3C2B301C">
        <w:tblPrEx>
          <w:tblCellMar>
            <w:top w:w="0" w:type="dxa"/>
            <w:left w:w="108" w:type="dxa"/>
            <w:bottom w:w="0" w:type="dxa"/>
            <w:right w:w="108" w:type="dxa"/>
          </w:tblCellMar>
        </w:tblPrEx>
        <w:trPr>
          <w:trHeight w:val="340" w:hRule="exact"/>
          <w:jc w:val="center"/>
        </w:trPr>
        <w:tc>
          <w:tcPr>
            <w:tcW w:w="2296" w:type="pct"/>
            <w:vAlign w:val="center"/>
          </w:tcPr>
          <w:p w14:paraId="5FF0DD81">
            <w:pPr>
              <w:pStyle w:val="179"/>
            </w:pPr>
            <w:r>
              <w:t>乔木层平均高度（m）</w:t>
            </w:r>
          </w:p>
        </w:tc>
        <w:tc>
          <w:tcPr>
            <w:tcW w:w="2703" w:type="pct"/>
            <w:vAlign w:val="center"/>
          </w:tcPr>
          <w:p w14:paraId="2ABF5D65">
            <w:pPr>
              <w:pStyle w:val="179"/>
            </w:pPr>
            <w:r>
              <w:t>-</w:t>
            </w:r>
          </w:p>
        </w:tc>
      </w:tr>
      <w:tr w14:paraId="2A3D80C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1DAB520A">
            <w:pPr>
              <w:pStyle w:val="179"/>
            </w:pPr>
            <w:r>
              <w:t>乔木层盖度（%）</w:t>
            </w:r>
          </w:p>
        </w:tc>
        <w:tc>
          <w:tcPr>
            <w:tcW w:w="2703" w:type="pct"/>
            <w:vAlign w:val="center"/>
          </w:tcPr>
          <w:p w14:paraId="7150E6E3">
            <w:pPr>
              <w:pStyle w:val="179"/>
            </w:pPr>
            <w:r>
              <w:t>-</w:t>
            </w:r>
          </w:p>
        </w:tc>
      </w:tr>
      <w:tr w14:paraId="04824DDA">
        <w:tblPrEx>
          <w:tblCellMar>
            <w:top w:w="0" w:type="dxa"/>
            <w:left w:w="108" w:type="dxa"/>
            <w:bottom w:w="0" w:type="dxa"/>
            <w:right w:w="108" w:type="dxa"/>
          </w:tblCellMar>
        </w:tblPrEx>
        <w:trPr>
          <w:trHeight w:val="340" w:hRule="exact"/>
          <w:jc w:val="center"/>
        </w:trPr>
        <w:tc>
          <w:tcPr>
            <w:tcW w:w="2296" w:type="pct"/>
            <w:vAlign w:val="center"/>
          </w:tcPr>
          <w:p w14:paraId="03BA9B69">
            <w:pPr>
              <w:pStyle w:val="179"/>
            </w:pPr>
            <w:r>
              <w:t>灌木层高度（m）</w:t>
            </w:r>
          </w:p>
        </w:tc>
        <w:tc>
          <w:tcPr>
            <w:tcW w:w="2703" w:type="pct"/>
            <w:vAlign w:val="center"/>
          </w:tcPr>
          <w:p w14:paraId="0C39BB7F">
            <w:pPr>
              <w:pStyle w:val="179"/>
            </w:pPr>
            <w:r>
              <w:t>-</w:t>
            </w:r>
          </w:p>
        </w:tc>
      </w:tr>
      <w:tr w14:paraId="3469DA59">
        <w:tblPrEx>
          <w:tblCellMar>
            <w:top w:w="0" w:type="dxa"/>
            <w:left w:w="108" w:type="dxa"/>
            <w:bottom w:w="0" w:type="dxa"/>
            <w:right w:w="108" w:type="dxa"/>
          </w:tblCellMar>
        </w:tblPrEx>
        <w:trPr>
          <w:trHeight w:val="340" w:hRule="exact"/>
          <w:jc w:val="center"/>
        </w:trPr>
        <w:tc>
          <w:tcPr>
            <w:tcW w:w="2296" w:type="pct"/>
            <w:vAlign w:val="center"/>
          </w:tcPr>
          <w:p w14:paraId="1A4EDD01">
            <w:pPr>
              <w:pStyle w:val="179"/>
            </w:pPr>
            <w:r>
              <w:t>灌木层盖度（%）</w:t>
            </w:r>
          </w:p>
        </w:tc>
        <w:tc>
          <w:tcPr>
            <w:tcW w:w="2703" w:type="pct"/>
            <w:vAlign w:val="center"/>
          </w:tcPr>
          <w:p w14:paraId="7D129BAF">
            <w:pPr>
              <w:pStyle w:val="179"/>
            </w:pPr>
            <w:r>
              <w:t>-</w:t>
            </w:r>
          </w:p>
        </w:tc>
      </w:tr>
      <w:tr w14:paraId="4271B0B5">
        <w:tblPrEx>
          <w:tblCellMar>
            <w:top w:w="0" w:type="dxa"/>
            <w:left w:w="108" w:type="dxa"/>
            <w:bottom w:w="0" w:type="dxa"/>
            <w:right w:w="108" w:type="dxa"/>
          </w:tblCellMar>
        </w:tblPrEx>
        <w:trPr>
          <w:trHeight w:val="340" w:hRule="exact"/>
          <w:jc w:val="center"/>
        </w:trPr>
        <w:tc>
          <w:tcPr>
            <w:tcW w:w="2296" w:type="pct"/>
            <w:vAlign w:val="center"/>
          </w:tcPr>
          <w:p w14:paraId="058FE487">
            <w:pPr>
              <w:pStyle w:val="179"/>
            </w:pPr>
            <w:r>
              <w:t>草本层高度（cm）</w:t>
            </w:r>
          </w:p>
        </w:tc>
        <w:tc>
          <w:tcPr>
            <w:tcW w:w="2703" w:type="pct"/>
            <w:vAlign w:val="center"/>
          </w:tcPr>
          <w:p w14:paraId="13DBA34D">
            <w:pPr>
              <w:pStyle w:val="179"/>
            </w:pPr>
            <w:r>
              <w:t>25</w:t>
            </w:r>
          </w:p>
        </w:tc>
      </w:tr>
      <w:tr w14:paraId="4333EE9A">
        <w:tblPrEx>
          <w:tblCellMar>
            <w:top w:w="0" w:type="dxa"/>
            <w:left w:w="108" w:type="dxa"/>
            <w:bottom w:w="0" w:type="dxa"/>
            <w:right w:w="108" w:type="dxa"/>
          </w:tblCellMar>
        </w:tblPrEx>
        <w:trPr>
          <w:trHeight w:val="340" w:hRule="exact"/>
          <w:jc w:val="center"/>
        </w:trPr>
        <w:tc>
          <w:tcPr>
            <w:tcW w:w="2296" w:type="pct"/>
            <w:vAlign w:val="center"/>
          </w:tcPr>
          <w:p w14:paraId="24C9D12B">
            <w:pPr>
              <w:pStyle w:val="179"/>
            </w:pPr>
            <w:r>
              <w:t>草本层盖度（%）</w:t>
            </w:r>
          </w:p>
        </w:tc>
        <w:tc>
          <w:tcPr>
            <w:tcW w:w="2703" w:type="pct"/>
            <w:vAlign w:val="center"/>
          </w:tcPr>
          <w:p w14:paraId="034DD5FC">
            <w:pPr>
              <w:pStyle w:val="179"/>
            </w:pPr>
            <w:r>
              <w:t>50</w:t>
            </w:r>
          </w:p>
        </w:tc>
      </w:tr>
      <w:tr w14:paraId="42C50621">
        <w:tblPrEx>
          <w:tblCellMar>
            <w:top w:w="0" w:type="dxa"/>
            <w:left w:w="108" w:type="dxa"/>
            <w:bottom w:w="0" w:type="dxa"/>
            <w:right w:w="108" w:type="dxa"/>
          </w:tblCellMar>
        </w:tblPrEx>
        <w:trPr>
          <w:trHeight w:val="340" w:hRule="exact"/>
          <w:jc w:val="center"/>
        </w:trPr>
        <w:tc>
          <w:tcPr>
            <w:tcW w:w="2296" w:type="pct"/>
            <w:vAlign w:val="center"/>
          </w:tcPr>
          <w:p w14:paraId="3149E72D">
            <w:pPr>
              <w:pStyle w:val="179"/>
            </w:pPr>
            <w:r>
              <w:t>乔木层</w:t>
            </w:r>
          </w:p>
        </w:tc>
        <w:tc>
          <w:tcPr>
            <w:tcW w:w="2703" w:type="pct"/>
            <w:vAlign w:val="center"/>
          </w:tcPr>
          <w:p w14:paraId="3774A64B">
            <w:pPr>
              <w:pStyle w:val="179"/>
            </w:pPr>
            <w:r>
              <w:t>多优度-群聚度</w:t>
            </w:r>
          </w:p>
        </w:tc>
      </w:tr>
      <w:tr w14:paraId="55DA8C71">
        <w:tblPrEx>
          <w:tblCellMar>
            <w:top w:w="0" w:type="dxa"/>
            <w:left w:w="108" w:type="dxa"/>
            <w:bottom w:w="0" w:type="dxa"/>
            <w:right w:w="108" w:type="dxa"/>
          </w:tblCellMar>
        </w:tblPrEx>
        <w:trPr>
          <w:trHeight w:val="340" w:hRule="exact"/>
          <w:jc w:val="center"/>
        </w:trPr>
        <w:tc>
          <w:tcPr>
            <w:tcW w:w="2296" w:type="pct"/>
            <w:vAlign w:val="center"/>
          </w:tcPr>
          <w:p w14:paraId="779C4A19">
            <w:pPr>
              <w:pStyle w:val="179"/>
            </w:pPr>
            <w:r>
              <w:t>-</w:t>
            </w:r>
          </w:p>
        </w:tc>
        <w:tc>
          <w:tcPr>
            <w:tcW w:w="2703" w:type="pct"/>
            <w:vAlign w:val="center"/>
          </w:tcPr>
          <w:p w14:paraId="6FC2F82B">
            <w:pPr>
              <w:pStyle w:val="179"/>
            </w:pPr>
            <w:r>
              <w:t>-</w:t>
            </w:r>
          </w:p>
        </w:tc>
      </w:tr>
      <w:tr w14:paraId="0077B63B">
        <w:tblPrEx>
          <w:tblCellMar>
            <w:top w:w="0" w:type="dxa"/>
            <w:left w:w="108" w:type="dxa"/>
            <w:bottom w:w="0" w:type="dxa"/>
            <w:right w:w="108" w:type="dxa"/>
          </w:tblCellMar>
        </w:tblPrEx>
        <w:trPr>
          <w:trHeight w:val="340" w:hRule="exact"/>
          <w:jc w:val="center"/>
        </w:trPr>
        <w:tc>
          <w:tcPr>
            <w:tcW w:w="2296" w:type="pct"/>
            <w:vAlign w:val="center"/>
          </w:tcPr>
          <w:p w14:paraId="1AC68051">
            <w:pPr>
              <w:pStyle w:val="179"/>
            </w:pPr>
            <w:r>
              <w:t>灌木层</w:t>
            </w:r>
          </w:p>
        </w:tc>
        <w:tc>
          <w:tcPr>
            <w:tcW w:w="2703" w:type="pct"/>
            <w:vAlign w:val="center"/>
          </w:tcPr>
          <w:p w14:paraId="036BD6A4">
            <w:pPr>
              <w:pStyle w:val="179"/>
            </w:pPr>
            <w:r>
              <w:t>多优度-群聚度</w:t>
            </w:r>
          </w:p>
        </w:tc>
      </w:tr>
      <w:tr w14:paraId="4C198C4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5DB6C007">
            <w:pPr>
              <w:pStyle w:val="179"/>
            </w:pPr>
            <w:r>
              <w:t>-</w:t>
            </w:r>
          </w:p>
        </w:tc>
        <w:tc>
          <w:tcPr>
            <w:tcW w:w="2703" w:type="pct"/>
            <w:vAlign w:val="center"/>
          </w:tcPr>
          <w:p w14:paraId="2607EEFA">
            <w:pPr>
              <w:pStyle w:val="179"/>
            </w:pPr>
            <w:r>
              <w:t>-</w:t>
            </w:r>
          </w:p>
        </w:tc>
      </w:tr>
      <w:tr w14:paraId="662A96C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1E8338C3">
            <w:pPr>
              <w:pStyle w:val="179"/>
            </w:pPr>
            <w:r>
              <w:t>草本层</w:t>
            </w:r>
          </w:p>
        </w:tc>
        <w:tc>
          <w:tcPr>
            <w:tcW w:w="2703" w:type="pct"/>
            <w:vAlign w:val="center"/>
          </w:tcPr>
          <w:p w14:paraId="4D52B9FE">
            <w:pPr>
              <w:pStyle w:val="179"/>
            </w:pPr>
            <w:r>
              <w:t>多优度-群聚度</w:t>
            </w:r>
          </w:p>
        </w:tc>
      </w:tr>
      <w:tr w14:paraId="5E40368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78B3CBC0">
            <w:pPr>
              <w:pStyle w:val="179"/>
            </w:pPr>
            <w:r>
              <w:t>蒌蒿</w:t>
            </w:r>
          </w:p>
        </w:tc>
        <w:tc>
          <w:tcPr>
            <w:tcW w:w="2703" w:type="pct"/>
            <w:vAlign w:val="center"/>
          </w:tcPr>
          <w:p w14:paraId="66AFA88C">
            <w:pPr>
              <w:pStyle w:val="179"/>
            </w:pPr>
            <w:r>
              <w:t>2.3</w:t>
            </w:r>
          </w:p>
        </w:tc>
      </w:tr>
      <w:tr w14:paraId="01B775FF">
        <w:tblPrEx>
          <w:tblCellMar>
            <w:top w:w="0" w:type="dxa"/>
            <w:left w:w="108" w:type="dxa"/>
            <w:bottom w:w="0" w:type="dxa"/>
            <w:right w:w="108" w:type="dxa"/>
          </w:tblCellMar>
        </w:tblPrEx>
        <w:trPr>
          <w:trHeight w:val="340" w:hRule="atLeast"/>
          <w:jc w:val="center"/>
        </w:trPr>
        <w:tc>
          <w:tcPr>
            <w:tcW w:w="2296" w:type="pct"/>
            <w:vAlign w:val="center"/>
          </w:tcPr>
          <w:p w14:paraId="683E6A09">
            <w:pPr>
              <w:pStyle w:val="179"/>
            </w:pPr>
            <w:r>
              <w:t>狗尾草</w:t>
            </w:r>
          </w:p>
        </w:tc>
        <w:tc>
          <w:tcPr>
            <w:tcW w:w="2703" w:type="pct"/>
            <w:vAlign w:val="center"/>
          </w:tcPr>
          <w:p w14:paraId="7E52CA51">
            <w:pPr>
              <w:pStyle w:val="179"/>
            </w:pPr>
            <w:r>
              <w:t>2.1</w:t>
            </w:r>
          </w:p>
        </w:tc>
      </w:tr>
      <w:tr w14:paraId="4F1F65C5">
        <w:tblPrEx>
          <w:tblCellMar>
            <w:top w:w="0" w:type="dxa"/>
            <w:left w:w="108" w:type="dxa"/>
            <w:bottom w:w="0" w:type="dxa"/>
            <w:right w:w="108" w:type="dxa"/>
          </w:tblCellMar>
        </w:tblPrEx>
        <w:trPr>
          <w:trHeight w:val="340" w:hRule="atLeast"/>
          <w:jc w:val="center"/>
        </w:trPr>
        <w:tc>
          <w:tcPr>
            <w:tcW w:w="2296" w:type="pct"/>
            <w:vAlign w:val="center"/>
          </w:tcPr>
          <w:p w14:paraId="2E16BD58">
            <w:pPr>
              <w:pStyle w:val="179"/>
            </w:pPr>
            <w:r>
              <w:t>老鹳草</w:t>
            </w:r>
          </w:p>
        </w:tc>
        <w:tc>
          <w:tcPr>
            <w:tcW w:w="2703" w:type="pct"/>
            <w:vAlign w:val="center"/>
          </w:tcPr>
          <w:p w14:paraId="6B499AE8">
            <w:pPr>
              <w:pStyle w:val="179"/>
            </w:pPr>
            <w:r>
              <w:t>1.2</w:t>
            </w:r>
          </w:p>
        </w:tc>
      </w:tr>
      <w:tr w14:paraId="6442D89C">
        <w:tblPrEx>
          <w:tblCellMar>
            <w:top w:w="0" w:type="dxa"/>
            <w:left w:w="108" w:type="dxa"/>
            <w:bottom w:w="0" w:type="dxa"/>
            <w:right w:w="108" w:type="dxa"/>
          </w:tblCellMar>
        </w:tblPrEx>
        <w:trPr>
          <w:trHeight w:val="340" w:hRule="atLeast"/>
          <w:jc w:val="center"/>
        </w:trPr>
        <w:tc>
          <w:tcPr>
            <w:tcW w:w="2296" w:type="pct"/>
            <w:vAlign w:val="center"/>
          </w:tcPr>
          <w:p w14:paraId="7F0C7D65">
            <w:pPr>
              <w:pStyle w:val="179"/>
            </w:pPr>
            <w:r>
              <w:t>平车前</w:t>
            </w:r>
          </w:p>
        </w:tc>
        <w:tc>
          <w:tcPr>
            <w:tcW w:w="2703" w:type="pct"/>
            <w:vAlign w:val="center"/>
          </w:tcPr>
          <w:p w14:paraId="7BEF383F">
            <w:pPr>
              <w:pStyle w:val="179"/>
            </w:pPr>
            <w:r>
              <w:t>1.2</w:t>
            </w:r>
          </w:p>
        </w:tc>
      </w:tr>
      <w:tr w14:paraId="52BB581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3F6A6D20">
            <w:pPr>
              <w:pStyle w:val="179"/>
            </w:pPr>
            <w:r>
              <w:t>小白花地榆</w:t>
            </w:r>
          </w:p>
        </w:tc>
        <w:tc>
          <w:tcPr>
            <w:tcW w:w="2703" w:type="pct"/>
            <w:vAlign w:val="center"/>
          </w:tcPr>
          <w:p w14:paraId="0C03F6C9">
            <w:pPr>
              <w:pStyle w:val="179"/>
            </w:pPr>
            <w:r>
              <w:t>1.1</w:t>
            </w:r>
          </w:p>
        </w:tc>
      </w:tr>
      <w:tr w14:paraId="63C3339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96" w:type="pct"/>
            <w:vAlign w:val="center"/>
          </w:tcPr>
          <w:p w14:paraId="2F085772">
            <w:pPr>
              <w:pStyle w:val="179"/>
            </w:pPr>
            <w:r>
              <w:t>野艾蒿</w:t>
            </w:r>
          </w:p>
        </w:tc>
        <w:tc>
          <w:tcPr>
            <w:tcW w:w="2703" w:type="pct"/>
            <w:vAlign w:val="center"/>
          </w:tcPr>
          <w:p w14:paraId="29336E23">
            <w:pPr>
              <w:pStyle w:val="179"/>
            </w:pPr>
            <w:r>
              <w:t>1.1</w:t>
            </w:r>
          </w:p>
        </w:tc>
      </w:tr>
    </w:tbl>
    <w:p w14:paraId="26BCC2AC">
      <w:pPr>
        <w:pStyle w:val="178"/>
      </w:pPr>
      <w:r>
        <w:t>表</w:t>
      </w:r>
      <w:r>
        <w:rPr>
          <w:rFonts w:hint="eastAsia"/>
        </w:rPr>
        <w:t xml:space="preserve">1-12  </w:t>
      </w:r>
      <w:r>
        <w:t>杂草草丛样方表（2）</w:t>
      </w:r>
    </w:p>
    <w:tbl>
      <w:tblPr>
        <w:tblStyle w:val="36"/>
        <w:tblW w:w="4996"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3913"/>
        <w:gridCol w:w="4608"/>
      </w:tblGrid>
      <w:tr w14:paraId="799B150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43EB5672">
            <w:pPr>
              <w:pStyle w:val="179"/>
            </w:pPr>
            <w:r>
              <w:t>地点</w:t>
            </w:r>
          </w:p>
        </w:tc>
        <w:tc>
          <w:tcPr>
            <w:tcW w:w="2703" w:type="pct"/>
            <w:vAlign w:val="center"/>
          </w:tcPr>
          <w:p w14:paraId="1FB51640">
            <w:pPr>
              <w:pStyle w:val="179"/>
            </w:pPr>
            <w:r>
              <w:t>嫩江市塔溪乡马厂河</w:t>
            </w:r>
          </w:p>
        </w:tc>
      </w:tr>
      <w:tr w14:paraId="4630A20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545FD996">
            <w:pPr>
              <w:pStyle w:val="179"/>
            </w:pPr>
            <w:r>
              <w:t>样地面积（m</w:t>
            </w:r>
            <w:r>
              <w:rPr>
                <w:vertAlign w:val="superscript"/>
              </w:rPr>
              <w:t>2</w:t>
            </w:r>
            <w:r>
              <w:t>）</w:t>
            </w:r>
          </w:p>
        </w:tc>
        <w:tc>
          <w:tcPr>
            <w:tcW w:w="2703" w:type="pct"/>
            <w:vAlign w:val="center"/>
          </w:tcPr>
          <w:p w14:paraId="4AABA924">
            <w:pPr>
              <w:pStyle w:val="179"/>
            </w:pPr>
            <w:r>
              <w:t>1</w:t>
            </w:r>
          </w:p>
        </w:tc>
      </w:tr>
      <w:tr w14:paraId="69298F7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0C7A295D">
            <w:pPr>
              <w:pStyle w:val="179"/>
            </w:pPr>
            <w:r>
              <w:t>经纬度</w:t>
            </w:r>
          </w:p>
        </w:tc>
        <w:tc>
          <w:tcPr>
            <w:tcW w:w="2703" w:type="pct"/>
            <w:vAlign w:val="center"/>
          </w:tcPr>
          <w:p w14:paraId="2FB35CCB">
            <w:pPr>
              <w:pStyle w:val="179"/>
            </w:pPr>
            <w:r>
              <w:t>126°17′27.2760″E，49°26′51.7632″N</w:t>
            </w:r>
          </w:p>
        </w:tc>
      </w:tr>
      <w:tr w14:paraId="47F7F23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54CA10F9">
            <w:pPr>
              <w:pStyle w:val="179"/>
            </w:pPr>
            <w:r>
              <w:t>海拔（m）</w:t>
            </w:r>
          </w:p>
        </w:tc>
        <w:tc>
          <w:tcPr>
            <w:tcW w:w="2703" w:type="pct"/>
            <w:vAlign w:val="center"/>
          </w:tcPr>
          <w:p w14:paraId="3CA1BFB7">
            <w:pPr>
              <w:pStyle w:val="179"/>
            </w:pPr>
            <w:r>
              <w:t>418</w:t>
            </w:r>
          </w:p>
        </w:tc>
      </w:tr>
      <w:tr w14:paraId="0F8E417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225B0793">
            <w:pPr>
              <w:pStyle w:val="179"/>
            </w:pPr>
            <w:r>
              <w:t>坡向</w:t>
            </w:r>
          </w:p>
        </w:tc>
        <w:tc>
          <w:tcPr>
            <w:tcW w:w="2703" w:type="pct"/>
            <w:vAlign w:val="center"/>
          </w:tcPr>
          <w:p w14:paraId="1AD9F528">
            <w:pPr>
              <w:pStyle w:val="179"/>
            </w:pPr>
            <w:r>
              <w:t>-</w:t>
            </w:r>
          </w:p>
        </w:tc>
      </w:tr>
      <w:tr w14:paraId="459CF5A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123679F2">
            <w:pPr>
              <w:pStyle w:val="179"/>
            </w:pPr>
            <w:r>
              <w:t>坡度（°）</w:t>
            </w:r>
          </w:p>
        </w:tc>
        <w:tc>
          <w:tcPr>
            <w:tcW w:w="2703" w:type="pct"/>
            <w:vAlign w:val="center"/>
          </w:tcPr>
          <w:p w14:paraId="73AC3AFD">
            <w:pPr>
              <w:pStyle w:val="179"/>
            </w:pPr>
            <w:r>
              <w:t>-</w:t>
            </w:r>
          </w:p>
        </w:tc>
      </w:tr>
      <w:tr w14:paraId="48E79448">
        <w:tblPrEx>
          <w:tblCellMar>
            <w:top w:w="0" w:type="dxa"/>
            <w:left w:w="108" w:type="dxa"/>
            <w:bottom w:w="0" w:type="dxa"/>
            <w:right w:w="108" w:type="dxa"/>
          </w:tblCellMar>
        </w:tblPrEx>
        <w:trPr>
          <w:trHeight w:val="340" w:hRule="exact"/>
          <w:jc w:val="center"/>
        </w:trPr>
        <w:tc>
          <w:tcPr>
            <w:tcW w:w="2296" w:type="pct"/>
            <w:vAlign w:val="center"/>
          </w:tcPr>
          <w:p w14:paraId="566D0262">
            <w:pPr>
              <w:pStyle w:val="179"/>
            </w:pPr>
            <w:r>
              <w:t>总盖度（%）</w:t>
            </w:r>
          </w:p>
        </w:tc>
        <w:tc>
          <w:tcPr>
            <w:tcW w:w="2703" w:type="pct"/>
            <w:vAlign w:val="center"/>
          </w:tcPr>
          <w:p w14:paraId="52A2F96A">
            <w:pPr>
              <w:pStyle w:val="179"/>
            </w:pPr>
            <w:r>
              <w:t>60</w:t>
            </w:r>
          </w:p>
        </w:tc>
      </w:tr>
      <w:tr w14:paraId="55488A0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57D43667">
            <w:pPr>
              <w:pStyle w:val="179"/>
            </w:pPr>
            <w:r>
              <w:t>乔木层平均高度（m）</w:t>
            </w:r>
          </w:p>
        </w:tc>
        <w:tc>
          <w:tcPr>
            <w:tcW w:w="2703" w:type="pct"/>
            <w:vAlign w:val="center"/>
          </w:tcPr>
          <w:p w14:paraId="7FA6CE17">
            <w:pPr>
              <w:pStyle w:val="179"/>
            </w:pPr>
            <w:r>
              <w:t>-</w:t>
            </w:r>
          </w:p>
        </w:tc>
      </w:tr>
      <w:tr w14:paraId="707FBFB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0D027ACC">
            <w:pPr>
              <w:pStyle w:val="179"/>
            </w:pPr>
            <w:r>
              <w:t>乔木层盖度（%）</w:t>
            </w:r>
          </w:p>
        </w:tc>
        <w:tc>
          <w:tcPr>
            <w:tcW w:w="2703" w:type="pct"/>
            <w:vAlign w:val="center"/>
          </w:tcPr>
          <w:p w14:paraId="17E003EC">
            <w:pPr>
              <w:pStyle w:val="179"/>
            </w:pPr>
            <w:r>
              <w:t>-</w:t>
            </w:r>
          </w:p>
        </w:tc>
      </w:tr>
      <w:tr w14:paraId="27AF4A5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750BB413">
            <w:pPr>
              <w:pStyle w:val="179"/>
            </w:pPr>
            <w:r>
              <w:t>灌木层高度（m）</w:t>
            </w:r>
          </w:p>
        </w:tc>
        <w:tc>
          <w:tcPr>
            <w:tcW w:w="2703" w:type="pct"/>
            <w:vAlign w:val="center"/>
          </w:tcPr>
          <w:p w14:paraId="7AE34097">
            <w:pPr>
              <w:pStyle w:val="179"/>
            </w:pPr>
            <w:r>
              <w:t>-</w:t>
            </w:r>
          </w:p>
        </w:tc>
      </w:tr>
      <w:tr w14:paraId="7EC1360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18C5580C">
            <w:pPr>
              <w:pStyle w:val="179"/>
            </w:pPr>
            <w:r>
              <w:t>灌木层盖度（%）</w:t>
            </w:r>
          </w:p>
        </w:tc>
        <w:tc>
          <w:tcPr>
            <w:tcW w:w="2703" w:type="pct"/>
            <w:vAlign w:val="center"/>
          </w:tcPr>
          <w:p w14:paraId="61E3AE33">
            <w:pPr>
              <w:pStyle w:val="179"/>
            </w:pPr>
            <w:r>
              <w:t>-</w:t>
            </w:r>
          </w:p>
        </w:tc>
      </w:tr>
      <w:tr w14:paraId="58D2E4A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119ABE1F">
            <w:pPr>
              <w:pStyle w:val="179"/>
            </w:pPr>
            <w:r>
              <w:t>草本层高度（cm）</w:t>
            </w:r>
          </w:p>
        </w:tc>
        <w:tc>
          <w:tcPr>
            <w:tcW w:w="2703" w:type="pct"/>
            <w:vAlign w:val="center"/>
          </w:tcPr>
          <w:p w14:paraId="02A056F7">
            <w:pPr>
              <w:pStyle w:val="179"/>
            </w:pPr>
            <w:r>
              <w:t>35</w:t>
            </w:r>
          </w:p>
        </w:tc>
      </w:tr>
      <w:tr w14:paraId="441D51F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3592ABC4">
            <w:pPr>
              <w:pStyle w:val="179"/>
            </w:pPr>
            <w:r>
              <w:t>草本层盖度（%）</w:t>
            </w:r>
          </w:p>
        </w:tc>
        <w:tc>
          <w:tcPr>
            <w:tcW w:w="2703" w:type="pct"/>
            <w:vAlign w:val="center"/>
          </w:tcPr>
          <w:p w14:paraId="2308C009">
            <w:pPr>
              <w:pStyle w:val="179"/>
            </w:pPr>
            <w:r>
              <w:t>60</w:t>
            </w:r>
          </w:p>
        </w:tc>
      </w:tr>
      <w:tr w14:paraId="2F8096F0">
        <w:tblPrEx>
          <w:tblCellMar>
            <w:top w:w="0" w:type="dxa"/>
            <w:left w:w="108" w:type="dxa"/>
            <w:bottom w:w="0" w:type="dxa"/>
            <w:right w:w="108" w:type="dxa"/>
          </w:tblCellMar>
        </w:tblPrEx>
        <w:trPr>
          <w:trHeight w:val="340" w:hRule="exact"/>
          <w:jc w:val="center"/>
        </w:trPr>
        <w:tc>
          <w:tcPr>
            <w:tcW w:w="2296" w:type="pct"/>
            <w:vAlign w:val="center"/>
          </w:tcPr>
          <w:p w14:paraId="247EEAE9">
            <w:pPr>
              <w:pStyle w:val="179"/>
            </w:pPr>
            <w:r>
              <w:t>乔木层</w:t>
            </w:r>
          </w:p>
        </w:tc>
        <w:tc>
          <w:tcPr>
            <w:tcW w:w="2703" w:type="pct"/>
            <w:vAlign w:val="center"/>
          </w:tcPr>
          <w:p w14:paraId="07CD6521">
            <w:pPr>
              <w:pStyle w:val="179"/>
            </w:pPr>
            <w:r>
              <w:t>多优度-群聚度</w:t>
            </w:r>
          </w:p>
        </w:tc>
      </w:tr>
      <w:tr w14:paraId="6E3FBF8C">
        <w:tblPrEx>
          <w:tblCellMar>
            <w:top w:w="0" w:type="dxa"/>
            <w:left w:w="108" w:type="dxa"/>
            <w:bottom w:w="0" w:type="dxa"/>
            <w:right w:w="108" w:type="dxa"/>
          </w:tblCellMar>
        </w:tblPrEx>
        <w:trPr>
          <w:trHeight w:val="340" w:hRule="exact"/>
          <w:jc w:val="center"/>
        </w:trPr>
        <w:tc>
          <w:tcPr>
            <w:tcW w:w="2296" w:type="pct"/>
            <w:vAlign w:val="center"/>
          </w:tcPr>
          <w:p w14:paraId="12DBC6F5">
            <w:pPr>
              <w:pStyle w:val="179"/>
            </w:pPr>
            <w:r>
              <w:t>-</w:t>
            </w:r>
          </w:p>
        </w:tc>
        <w:tc>
          <w:tcPr>
            <w:tcW w:w="2703" w:type="pct"/>
            <w:vAlign w:val="center"/>
          </w:tcPr>
          <w:p w14:paraId="72FAC50B">
            <w:pPr>
              <w:pStyle w:val="179"/>
            </w:pPr>
            <w:r>
              <w:t>-</w:t>
            </w:r>
          </w:p>
        </w:tc>
      </w:tr>
      <w:tr w14:paraId="66A48E8E">
        <w:tblPrEx>
          <w:tblCellMar>
            <w:top w:w="0" w:type="dxa"/>
            <w:left w:w="108" w:type="dxa"/>
            <w:bottom w:w="0" w:type="dxa"/>
            <w:right w:w="108" w:type="dxa"/>
          </w:tblCellMar>
        </w:tblPrEx>
        <w:trPr>
          <w:trHeight w:val="340" w:hRule="exact"/>
          <w:jc w:val="center"/>
        </w:trPr>
        <w:tc>
          <w:tcPr>
            <w:tcW w:w="2296" w:type="pct"/>
            <w:vAlign w:val="center"/>
          </w:tcPr>
          <w:p w14:paraId="54934CDC">
            <w:pPr>
              <w:pStyle w:val="179"/>
            </w:pPr>
            <w:r>
              <w:t>灌木层</w:t>
            </w:r>
          </w:p>
        </w:tc>
        <w:tc>
          <w:tcPr>
            <w:tcW w:w="2703" w:type="pct"/>
            <w:vAlign w:val="center"/>
          </w:tcPr>
          <w:p w14:paraId="19D6FE83">
            <w:pPr>
              <w:pStyle w:val="179"/>
            </w:pPr>
            <w:r>
              <w:t>多优度-群聚度</w:t>
            </w:r>
          </w:p>
        </w:tc>
      </w:tr>
      <w:tr w14:paraId="3A43FD2A">
        <w:tblPrEx>
          <w:tblCellMar>
            <w:top w:w="0" w:type="dxa"/>
            <w:left w:w="108" w:type="dxa"/>
            <w:bottom w:w="0" w:type="dxa"/>
            <w:right w:w="108" w:type="dxa"/>
          </w:tblCellMar>
        </w:tblPrEx>
        <w:trPr>
          <w:trHeight w:val="340" w:hRule="exact"/>
          <w:jc w:val="center"/>
        </w:trPr>
        <w:tc>
          <w:tcPr>
            <w:tcW w:w="2296" w:type="pct"/>
            <w:vAlign w:val="center"/>
          </w:tcPr>
          <w:p w14:paraId="20674E98">
            <w:pPr>
              <w:pStyle w:val="179"/>
            </w:pPr>
            <w:r>
              <w:t>-</w:t>
            </w:r>
          </w:p>
        </w:tc>
        <w:tc>
          <w:tcPr>
            <w:tcW w:w="2703" w:type="pct"/>
            <w:vAlign w:val="center"/>
          </w:tcPr>
          <w:p w14:paraId="4ED3C184">
            <w:pPr>
              <w:pStyle w:val="179"/>
            </w:pPr>
            <w:r>
              <w:t>-</w:t>
            </w:r>
          </w:p>
        </w:tc>
      </w:tr>
      <w:tr w14:paraId="13EF105E">
        <w:tblPrEx>
          <w:tblCellMar>
            <w:top w:w="0" w:type="dxa"/>
            <w:left w:w="108" w:type="dxa"/>
            <w:bottom w:w="0" w:type="dxa"/>
            <w:right w:w="108" w:type="dxa"/>
          </w:tblCellMar>
        </w:tblPrEx>
        <w:trPr>
          <w:trHeight w:val="340" w:hRule="exact"/>
          <w:jc w:val="center"/>
        </w:trPr>
        <w:tc>
          <w:tcPr>
            <w:tcW w:w="2296" w:type="pct"/>
            <w:vAlign w:val="center"/>
          </w:tcPr>
          <w:p w14:paraId="18540FD3">
            <w:pPr>
              <w:pStyle w:val="179"/>
            </w:pPr>
            <w:r>
              <w:t>草本层</w:t>
            </w:r>
          </w:p>
        </w:tc>
        <w:tc>
          <w:tcPr>
            <w:tcW w:w="2703" w:type="pct"/>
            <w:vAlign w:val="center"/>
          </w:tcPr>
          <w:p w14:paraId="5CAC3B8D">
            <w:pPr>
              <w:pStyle w:val="179"/>
            </w:pPr>
            <w:r>
              <w:t>多优度-群聚度</w:t>
            </w:r>
          </w:p>
        </w:tc>
      </w:tr>
      <w:tr w14:paraId="31EEB8EF">
        <w:tblPrEx>
          <w:tblCellMar>
            <w:top w:w="0" w:type="dxa"/>
            <w:left w:w="108" w:type="dxa"/>
            <w:bottom w:w="0" w:type="dxa"/>
            <w:right w:w="108" w:type="dxa"/>
          </w:tblCellMar>
        </w:tblPrEx>
        <w:trPr>
          <w:trHeight w:val="340" w:hRule="exact"/>
          <w:jc w:val="center"/>
        </w:trPr>
        <w:tc>
          <w:tcPr>
            <w:tcW w:w="2296" w:type="pct"/>
            <w:vAlign w:val="center"/>
          </w:tcPr>
          <w:p w14:paraId="66EFF044">
            <w:pPr>
              <w:pStyle w:val="179"/>
            </w:pPr>
            <w:r>
              <w:t>蒌蒿</w:t>
            </w:r>
          </w:p>
        </w:tc>
        <w:tc>
          <w:tcPr>
            <w:tcW w:w="2703" w:type="pct"/>
            <w:vAlign w:val="center"/>
          </w:tcPr>
          <w:p w14:paraId="022D9A5F">
            <w:pPr>
              <w:pStyle w:val="179"/>
            </w:pPr>
            <w:r>
              <w:t>2.3</w:t>
            </w:r>
          </w:p>
        </w:tc>
      </w:tr>
      <w:tr w14:paraId="720BEF2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7C1DC3F6">
            <w:pPr>
              <w:pStyle w:val="179"/>
            </w:pPr>
            <w:r>
              <w:t>藜</w:t>
            </w:r>
          </w:p>
        </w:tc>
        <w:tc>
          <w:tcPr>
            <w:tcW w:w="2703" w:type="pct"/>
            <w:vAlign w:val="center"/>
          </w:tcPr>
          <w:p w14:paraId="5B9544D4">
            <w:pPr>
              <w:pStyle w:val="179"/>
            </w:pPr>
            <w:r>
              <w:t>2.3</w:t>
            </w:r>
          </w:p>
        </w:tc>
      </w:tr>
      <w:tr w14:paraId="0C04D84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3D5C68DB">
            <w:pPr>
              <w:pStyle w:val="179"/>
            </w:pPr>
            <w:r>
              <w:t>繁缕</w:t>
            </w:r>
          </w:p>
        </w:tc>
        <w:tc>
          <w:tcPr>
            <w:tcW w:w="2703" w:type="pct"/>
            <w:vAlign w:val="center"/>
          </w:tcPr>
          <w:p w14:paraId="4B62497D">
            <w:pPr>
              <w:pStyle w:val="179"/>
            </w:pPr>
            <w:r>
              <w:t>1.2</w:t>
            </w:r>
          </w:p>
        </w:tc>
      </w:tr>
      <w:tr w14:paraId="555CBBA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1AAEEF4E">
            <w:pPr>
              <w:pStyle w:val="179"/>
            </w:pPr>
            <w:r>
              <w:t>平车前</w:t>
            </w:r>
          </w:p>
        </w:tc>
        <w:tc>
          <w:tcPr>
            <w:tcW w:w="2703" w:type="pct"/>
            <w:vAlign w:val="center"/>
          </w:tcPr>
          <w:p w14:paraId="63BE86B1">
            <w:pPr>
              <w:pStyle w:val="179"/>
            </w:pPr>
            <w:r>
              <w:t>1.2</w:t>
            </w:r>
          </w:p>
        </w:tc>
      </w:tr>
      <w:tr w14:paraId="6478FEBF">
        <w:tblPrEx>
          <w:tblCellMar>
            <w:top w:w="0" w:type="dxa"/>
            <w:left w:w="108" w:type="dxa"/>
            <w:bottom w:w="0" w:type="dxa"/>
            <w:right w:w="108" w:type="dxa"/>
          </w:tblCellMar>
        </w:tblPrEx>
        <w:trPr>
          <w:trHeight w:val="340" w:hRule="exact"/>
          <w:jc w:val="center"/>
        </w:trPr>
        <w:tc>
          <w:tcPr>
            <w:tcW w:w="2296" w:type="pct"/>
            <w:vAlign w:val="center"/>
          </w:tcPr>
          <w:p w14:paraId="2B65E723">
            <w:pPr>
              <w:pStyle w:val="179"/>
            </w:pPr>
            <w:r>
              <w:t>狭叶荨麻</w:t>
            </w:r>
          </w:p>
        </w:tc>
        <w:tc>
          <w:tcPr>
            <w:tcW w:w="2703" w:type="pct"/>
            <w:vAlign w:val="center"/>
          </w:tcPr>
          <w:p w14:paraId="2D206C21">
            <w:pPr>
              <w:pStyle w:val="179"/>
            </w:pPr>
            <w:r>
              <w:t>1.1</w:t>
            </w:r>
          </w:p>
        </w:tc>
      </w:tr>
      <w:tr w14:paraId="49563FC5">
        <w:tblPrEx>
          <w:tblCellMar>
            <w:top w:w="0" w:type="dxa"/>
            <w:left w:w="108" w:type="dxa"/>
            <w:bottom w:w="0" w:type="dxa"/>
            <w:right w:w="108" w:type="dxa"/>
          </w:tblCellMar>
        </w:tblPrEx>
        <w:trPr>
          <w:trHeight w:val="340" w:hRule="exact"/>
          <w:jc w:val="center"/>
        </w:trPr>
        <w:tc>
          <w:tcPr>
            <w:tcW w:w="2296" w:type="pct"/>
            <w:vAlign w:val="center"/>
          </w:tcPr>
          <w:p w14:paraId="323533E4">
            <w:pPr>
              <w:pStyle w:val="179"/>
            </w:pPr>
            <w:r>
              <w:t>老鹳草</w:t>
            </w:r>
          </w:p>
        </w:tc>
        <w:tc>
          <w:tcPr>
            <w:tcW w:w="2703" w:type="pct"/>
            <w:vAlign w:val="center"/>
          </w:tcPr>
          <w:p w14:paraId="58893852">
            <w:pPr>
              <w:pStyle w:val="179"/>
            </w:pPr>
            <w:r>
              <w:t>1.1</w:t>
            </w:r>
          </w:p>
        </w:tc>
      </w:tr>
      <w:tr w14:paraId="4CCB6464">
        <w:tblPrEx>
          <w:tblCellMar>
            <w:top w:w="0" w:type="dxa"/>
            <w:left w:w="108" w:type="dxa"/>
            <w:bottom w:w="0" w:type="dxa"/>
            <w:right w:w="108" w:type="dxa"/>
          </w:tblCellMar>
        </w:tblPrEx>
        <w:trPr>
          <w:trHeight w:val="340" w:hRule="exact"/>
          <w:jc w:val="center"/>
        </w:trPr>
        <w:tc>
          <w:tcPr>
            <w:tcW w:w="2296" w:type="pct"/>
            <w:vAlign w:val="center"/>
          </w:tcPr>
          <w:p w14:paraId="143DA47F">
            <w:pPr>
              <w:pStyle w:val="179"/>
            </w:pPr>
            <w:r>
              <w:t>广布野豌豆</w:t>
            </w:r>
          </w:p>
        </w:tc>
        <w:tc>
          <w:tcPr>
            <w:tcW w:w="2703" w:type="pct"/>
            <w:vAlign w:val="center"/>
          </w:tcPr>
          <w:p w14:paraId="303962CD">
            <w:pPr>
              <w:pStyle w:val="179"/>
            </w:pPr>
            <w:r>
              <w:t>1.1</w:t>
            </w:r>
          </w:p>
        </w:tc>
      </w:tr>
      <w:tr w14:paraId="4106376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3F5F70C1">
            <w:pPr>
              <w:pStyle w:val="179"/>
            </w:pPr>
            <w:r>
              <w:t>小白花地榆</w:t>
            </w:r>
          </w:p>
        </w:tc>
        <w:tc>
          <w:tcPr>
            <w:tcW w:w="2703" w:type="pct"/>
            <w:vAlign w:val="center"/>
          </w:tcPr>
          <w:p w14:paraId="1D22F01D">
            <w:pPr>
              <w:pStyle w:val="179"/>
            </w:pPr>
            <w:r>
              <w:t>1.2</w:t>
            </w:r>
          </w:p>
        </w:tc>
      </w:tr>
    </w:tbl>
    <w:p w14:paraId="1089B40E">
      <w:pPr>
        <w:pStyle w:val="178"/>
      </w:pPr>
      <w:r>
        <w:t>表</w:t>
      </w:r>
      <w:r>
        <w:rPr>
          <w:rFonts w:hint="eastAsia"/>
        </w:rPr>
        <w:t xml:space="preserve">1-13  </w:t>
      </w:r>
      <w:r>
        <w:t>杂草草丛样方表（3）</w:t>
      </w:r>
    </w:p>
    <w:tbl>
      <w:tblPr>
        <w:tblStyle w:val="36"/>
        <w:tblW w:w="4996"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3913"/>
        <w:gridCol w:w="4608"/>
      </w:tblGrid>
      <w:tr w14:paraId="6041337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exact"/>
          <w:jc w:val="center"/>
        </w:trPr>
        <w:tc>
          <w:tcPr>
            <w:tcW w:w="2296" w:type="pct"/>
            <w:vAlign w:val="center"/>
          </w:tcPr>
          <w:p w14:paraId="3C74A52A">
            <w:pPr>
              <w:pStyle w:val="179"/>
            </w:pPr>
            <w:r>
              <w:t>地点</w:t>
            </w:r>
          </w:p>
        </w:tc>
        <w:tc>
          <w:tcPr>
            <w:tcW w:w="2703" w:type="pct"/>
            <w:vAlign w:val="center"/>
          </w:tcPr>
          <w:p w14:paraId="7401DE05">
            <w:pPr>
              <w:pStyle w:val="179"/>
            </w:pPr>
            <w:r>
              <w:t>嫩江市塔溪乡马厂河</w:t>
            </w:r>
          </w:p>
        </w:tc>
      </w:tr>
      <w:tr w14:paraId="6CB3827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595C6F6A">
            <w:pPr>
              <w:pStyle w:val="179"/>
            </w:pPr>
            <w:r>
              <w:t>样地面积（m</w:t>
            </w:r>
            <w:r>
              <w:rPr>
                <w:vertAlign w:val="superscript"/>
              </w:rPr>
              <w:t>2</w:t>
            </w:r>
            <w:r>
              <w:t>）</w:t>
            </w:r>
          </w:p>
        </w:tc>
        <w:tc>
          <w:tcPr>
            <w:tcW w:w="2703" w:type="pct"/>
            <w:vAlign w:val="center"/>
          </w:tcPr>
          <w:p w14:paraId="42D7B1ED">
            <w:pPr>
              <w:pStyle w:val="179"/>
            </w:pPr>
            <w:r>
              <w:t>1</w:t>
            </w:r>
          </w:p>
        </w:tc>
      </w:tr>
      <w:tr w14:paraId="0B93D83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1BD784A8">
            <w:pPr>
              <w:pStyle w:val="179"/>
            </w:pPr>
            <w:r>
              <w:t>经纬度</w:t>
            </w:r>
          </w:p>
        </w:tc>
        <w:tc>
          <w:tcPr>
            <w:tcW w:w="2703" w:type="pct"/>
            <w:vAlign w:val="center"/>
          </w:tcPr>
          <w:p w14:paraId="414BEBD5">
            <w:pPr>
              <w:pStyle w:val="179"/>
            </w:pPr>
            <w:r>
              <w:t>126°18′21.4272″E，49°26′35.7144″N</w:t>
            </w:r>
          </w:p>
        </w:tc>
      </w:tr>
      <w:tr w14:paraId="7E98547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36500624">
            <w:pPr>
              <w:pStyle w:val="179"/>
            </w:pPr>
            <w:r>
              <w:t>海拔（m）</w:t>
            </w:r>
          </w:p>
        </w:tc>
        <w:tc>
          <w:tcPr>
            <w:tcW w:w="2703" w:type="pct"/>
            <w:vAlign w:val="center"/>
          </w:tcPr>
          <w:p w14:paraId="1A23DD38">
            <w:pPr>
              <w:pStyle w:val="179"/>
            </w:pPr>
            <w:r>
              <w:t>418</w:t>
            </w:r>
          </w:p>
        </w:tc>
      </w:tr>
      <w:tr w14:paraId="2FDC10D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1F897D3A">
            <w:pPr>
              <w:pStyle w:val="179"/>
            </w:pPr>
            <w:r>
              <w:t>坡向</w:t>
            </w:r>
          </w:p>
        </w:tc>
        <w:tc>
          <w:tcPr>
            <w:tcW w:w="2703" w:type="pct"/>
            <w:vAlign w:val="center"/>
          </w:tcPr>
          <w:p w14:paraId="605A3A2A">
            <w:pPr>
              <w:pStyle w:val="179"/>
            </w:pPr>
            <w:r>
              <w:t>-</w:t>
            </w:r>
          </w:p>
        </w:tc>
      </w:tr>
      <w:tr w14:paraId="6823F4F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68896C77">
            <w:pPr>
              <w:pStyle w:val="179"/>
            </w:pPr>
            <w:r>
              <w:t>坡度（°）</w:t>
            </w:r>
          </w:p>
        </w:tc>
        <w:tc>
          <w:tcPr>
            <w:tcW w:w="2703" w:type="pct"/>
            <w:vAlign w:val="center"/>
          </w:tcPr>
          <w:p w14:paraId="64ADA240">
            <w:pPr>
              <w:pStyle w:val="179"/>
            </w:pPr>
            <w:r>
              <w:t>-</w:t>
            </w:r>
          </w:p>
        </w:tc>
      </w:tr>
      <w:tr w14:paraId="7A5AAEC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7B62BE7C">
            <w:pPr>
              <w:pStyle w:val="179"/>
            </w:pPr>
            <w:r>
              <w:t>总盖度（%）</w:t>
            </w:r>
          </w:p>
        </w:tc>
        <w:tc>
          <w:tcPr>
            <w:tcW w:w="2703" w:type="pct"/>
            <w:vAlign w:val="center"/>
          </w:tcPr>
          <w:p w14:paraId="27555A99">
            <w:pPr>
              <w:pStyle w:val="179"/>
            </w:pPr>
            <w:r>
              <w:t>58</w:t>
            </w:r>
          </w:p>
        </w:tc>
      </w:tr>
      <w:tr w14:paraId="220F105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57B9CD2A">
            <w:pPr>
              <w:pStyle w:val="179"/>
            </w:pPr>
            <w:r>
              <w:t>乔木层平均高度（m）</w:t>
            </w:r>
          </w:p>
        </w:tc>
        <w:tc>
          <w:tcPr>
            <w:tcW w:w="2703" w:type="pct"/>
            <w:vAlign w:val="center"/>
          </w:tcPr>
          <w:p w14:paraId="6D39DA12">
            <w:pPr>
              <w:pStyle w:val="179"/>
            </w:pPr>
            <w:r>
              <w:t>-</w:t>
            </w:r>
          </w:p>
        </w:tc>
      </w:tr>
      <w:tr w14:paraId="1604512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15AF230B">
            <w:pPr>
              <w:pStyle w:val="179"/>
            </w:pPr>
            <w:r>
              <w:t>乔木层盖度（%）</w:t>
            </w:r>
          </w:p>
        </w:tc>
        <w:tc>
          <w:tcPr>
            <w:tcW w:w="2703" w:type="pct"/>
            <w:vAlign w:val="center"/>
          </w:tcPr>
          <w:p w14:paraId="382E0DB1">
            <w:pPr>
              <w:pStyle w:val="179"/>
            </w:pPr>
            <w:r>
              <w:t>-</w:t>
            </w:r>
          </w:p>
        </w:tc>
      </w:tr>
      <w:tr w14:paraId="373694C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067C29E0">
            <w:pPr>
              <w:pStyle w:val="179"/>
            </w:pPr>
            <w:r>
              <w:t>灌木层高度（m）</w:t>
            </w:r>
          </w:p>
        </w:tc>
        <w:tc>
          <w:tcPr>
            <w:tcW w:w="2703" w:type="pct"/>
            <w:vAlign w:val="center"/>
          </w:tcPr>
          <w:p w14:paraId="049EC300">
            <w:pPr>
              <w:pStyle w:val="179"/>
            </w:pPr>
            <w:r>
              <w:t>-</w:t>
            </w:r>
          </w:p>
        </w:tc>
      </w:tr>
      <w:tr w14:paraId="63D3B62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4F1DB8E6">
            <w:pPr>
              <w:pStyle w:val="179"/>
            </w:pPr>
            <w:r>
              <w:t>灌木层盖度（%）</w:t>
            </w:r>
          </w:p>
        </w:tc>
        <w:tc>
          <w:tcPr>
            <w:tcW w:w="2703" w:type="pct"/>
            <w:vAlign w:val="center"/>
          </w:tcPr>
          <w:p w14:paraId="7BD5F846">
            <w:pPr>
              <w:pStyle w:val="179"/>
            </w:pPr>
            <w:r>
              <w:t>-</w:t>
            </w:r>
          </w:p>
        </w:tc>
      </w:tr>
      <w:tr w14:paraId="34CFCF7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7C7B504B">
            <w:pPr>
              <w:pStyle w:val="179"/>
            </w:pPr>
            <w:r>
              <w:t>草本层高度（cm）</w:t>
            </w:r>
          </w:p>
        </w:tc>
        <w:tc>
          <w:tcPr>
            <w:tcW w:w="2703" w:type="pct"/>
            <w:vAlign w:val="center"/>
          </w:tcPr>
          <w:p w14:paraId="009B6F10">
            <w:pPr>
              <w:pStyle w:val="179"/>
            </w:pPr>
            <w:r>
              <w:t>28</w:t>
            </w:r>
          </w:p>
        </w:tc>
      </w:tr>
      <w:tr w14:paraId="1962508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479296C7">
            <w:pPr>
              <w:pStyle w:val="179"/>
            </w:pPr>
            <w:r>
              <w:t>草本层盖度（%）</w:t>
            </w:r>
          </w:p>
        </w:tc>
        <w:tc>
          <w:tcPr>
            <w:tcW w:w="2703" w:type="pct"/>
            <w:vAlign w:val="center"/>
          </w:tcPr>
          <w:p w14:paraId="6EB99DF4">
            <w:pPr>
              <w:pStyle w:val="179"/>
            </w:pPr>
            <w:r>
              <w:t>58</w:t>
            </w:r>
          </w:p>
        </w:tc>
      </w:tr>
      <w:tr w14:paraId="3ED3A19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5C8066B3">
            <w:pPr>
              <w:pStyle w:val="179"/>
            </w:pPr>
            <w:r>
              <w:t>乔木层</w:t>
            </w:r>
          </w:p>
        </w:tc>
        <w:tc>
          <w:tcPr>
            <w:tcW w:w="2703" w:type="pct"/>
            <w:vAlign w:val="center"/>
          </w:tcPr>
          <w:p w14:paraId="372DB568">
            <w:pPr>
              <w:pStyle w:val="179"/>
            </w:pPr>
            <w:r>
              <w:t>多优度-群聚度</w:t>
            </w:r>
          </w:p>
        </w:tc>
      </w:tr>
      <w:tr w14:paraId="094D4ED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504613FF">
            <w:pPr>
              <w:pStyle w:val="179"/>
            </w:pPr>
            <w:r>
              <w:t>-</w:t>
            </w:r>
          </w:p>
        </w:tc>
        <w:tc>
          <w:tcPr>
            <w:tcW w:w="2703" w:type="pct"/>
            <w:vAlign w:val="center"/>
          </w:tcPr>
          <w:p w14:paraId="032795F5">
            <w:pPr>
              <w:pStyle w:val="179"/>
            </w:pPr>
            <w:r>
              <w:t>-</w:t>
            </w:r>
          </w:p>
        </w:tc>
      </w:tr>
      <w:tr w14:paraId="4BBE327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66748115">
            <w:pPr>
              <w:pStyle w:val="179"/>
            </w:pPr>
            <w:r>
              <w:t>灌木层</w:t>
            </w:r>
          </w:p>
        </w:tc>
        <w:tc>
          <w:tcPr>
            <w:tcW w:w="2703" w:type="pct"/>
            <w:vAlign w:val="center"/>
          </w:tcPr>
          <w:p w14:paraId="36E0848B">
            <w:pPr>
              <w:pStyle w:val="179"/>
            </w:pPr>
            <w:r>
              <w:t>多优度-群聚度</w:t>
            </w:r>
          </w:p>
        </w:tc>
      </w:tr>
      <w:tr w14:paraId="3A3E9A8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5315A44F">
            <w:pPr>
              <w:pStyle w:val="179"/>
            </w:pPr>
            <w:r>
              <w:t>-</w:t>
            </w:r>
          </w:p>
        </w:tc>
        <w:tc>
          <w:tcPr>
            <w:tcW w:w="2703" w:type="pct"/>
            <w:vAlign w:val="center"/>
          </w:tcPr>
          <w:p w14:paraId="760A6C3C">
            <w:pPr>
              <w:pStyle w:val="179"/>
            </w:pPr>
            <w:r>
              <w:t>-</w:t>
            </w:r>
          </w:p>
        </w:tc>
      </w:tr>
      <w:tr w14:paraId="5EC80B8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5DCF66F7">
            <w:pPr>
              <w:pStyle w:val="179"/>
            </w:pPr>
            <w:r>
              <w:t>草本层</w:t>
            </w:r>
          </w:p>
        </w:tc>
        <w:tc>
          <w:tcPr>
            <w:tcW w:w="2703" w:type="pct"/>
            <w:vAlign w:val="center"/>
          </w:tcPr>
          <w:p w14:paraId="6BA4B51C">
            <w:pPr>
              <w:pStyle w:val="179"/>
            </w:pPr>
            <w:r>
              <w:t>多优度-群聚度</w:t>
            </w:r>
          </w:p>
        </w:tc>
      </w:tr>
      <w:tr w14:paraId="722A829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36413157">
            <w:pPr>
              <w:pStyle w:val="179"/>
            </w:pPr>
            <w:r>
              <w:t>红花鹿蹄草</w:t>
            </w:r>
          </w:p>
        </w:tc>
        <w:tc>
          <w:tcPr>
            <w:tcW w:w="2703" w:type="pct"/>
            <w:vAlign w:val="center"/>
          </w:tcPr>
          <w:p w14:paraId="1C5C5367">
            <w:pPr>
              <w:pStyle w:val="179"/>
            </w:pPr>
            <w:r>
              <w:t>1.2</w:t>
            </w:r>
          </w:p>
        </w:tc>
      </w:tr>
      <w:tr w14:paraId="275FE23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79610845">
            <w:pPr>
              <w:pStyle w:val="179"/>
            </w:pPr>
            <w:r>
              <w:t>蚊子草</w:t>
            </w:r>
          </w:p>
        </w:tc>
        <w:tc>
          <w:tcPr>
            <w:tcW w:w="2703" w:type="pct"/>
            <w:vAlign w:val="center"/>
          </w:tcPr>
          <w:p w14:paraId="176984A0">
            <w:pPr>
              <w:pStyle w:val="179"/>
            </w:pPr>
            <w:r>
              <w:t>2.1</w:t>
            </w:r>
          </w:p>
        </w:tc>
      </w:tr>
      <w:tr w14:paraId="3AD9C7F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5" w:hRule="exact"/>
          <w:jc w:val="center"/>
        </w:trPr>
        <w:tc>
          <w:tcPr>
            <w:tcW w:w="2296" w:type="pct"/>
            <w:vAlign w:val="center"/>
          </w:tcPr>
          <w:p w14:paraId="5D9898A6">
            <w:pPr>
              <w:pStyle w:val="179"/>
            </w:pPr>
            <w:r>
              <w:t>北方拉拉藤</w:t>
            </w:r>
          </w:p>
        </w:tc>
        <w:tc>
          <w:tcPr>
            <w:tcW w:w="2703" w:type="pct"/>
            <w:vAlign w:val="center"/>
          </w:tcPr>
          <w:p w14:paraId="5FC65A95">
            <w:pPr>
              <w:pStyle w:val="179"/>
            </w:pPr>
            <w:r>
              <w:t>1.2</w:t>
            </w:r>
          </w:p>
        </w:tc>
      </w:tr>
      <w:tr w14:paraId="2CCA482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355B842C">
            <w:pPr>
              <w:pStyle w:val="179"/>
            </w:pPr>
            <w:r>
              <w:t>蒲公英</w:t>
            </w:r>
          </w:p>
        </w:tc>
        <w:tc>
          <w:tcPr>
            <w:tcW w:w="2703" w:type="pct"/>
            <w:vAlign w:val="center"/>
          </w:tcPr>
          <w:p w14:paraId="430CB94E">
            <w:pPr>
              <w:pStyle w:val="179"/>
            </w:pPr>
            <w:r>
              <w:t>1..2</w:t>
            </w:r>
          </w:p>
        </w:tc>
      </w:tr>
      <w:tr w14:paraId="7A38A00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2579D886">
            <w:pPr>
              <w:pStyle w:val="179"/>
            </w:pPr>
            <w:r>
              <w:t>平车前</w:t>
            </w:r>
          </w:p>
        </w:tc>
        <w:tc>
          <w:tcPr>
            <w:tcW w:w="2703" w:type="pct"/>
            <w:vAlign w:val="center"/>
          </w:tcPr>
          <w:p w14:paraId="64BCBD55">
            <w:pPr>
              <w:pStyle w:val="179"/>
            </w:pPr>
            <w:r>
              <w:t>1.2</w:t>
            </w:r>
          </w:p>
        </w:tc>
      </w:tr>
    </w:tbl>
    <w:p w14:paraId="6317A816">
      <w:pPr>
        <w:pStyle w:val="178"/>
      </w:pPr>
      <w:r>
        <w:t>表</w:t>
      </w:r>
      <w:r>
        <w:rPr>
          <w:rFonts w:hint="eastAsia"/>
        </w:rPr>
        <w:t xml:space="preserve">1-14  </w:t>
      </w:r>
      <w:r>
        <w:t>杂草草丛样方表（4）</w:t>
      </w:r>
    </w:p>
    <w:tbl>
      <w:tblPr>
        <w:tblStyle w:val="36"/>
        <w:tblW w:w="4996"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3913"/>
        <w:gridCol w:w="4608"/>
      </w:tblGrid>
      <w:tr w14:paraId="3BDF1FC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7E6EEB76">
            <w:pPr>
              <w:pStyle w:val="179"/>
            </w:pPr>
            <w:r>
              <w:t>地点</w:t>
            </w:r>
          </w:p>
        </w:tc>
        <w:tc>
          <w:tcPr>
            <w:tcW w:w="2703" w:type="pct"/>
            <w:vAlign w:val="center"/>
          </w:tcPr>
          <w:p w14:paraId="0EA71E1C">
            <w:pPr>
              <w:pStyle w:val="179"/>
            </w:pPr>
            <w:r>
              <w:t>嫩江市塔溪乡马厂河</w:t>
            </w:r>
          </w:p>
        </w:tc>
      </w:tr>
      <w:tr w14:paraId="7EE1CA4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462AEC1B">
            <w:pPr>
              <w:pStyle w:val="179"/>
            </w:pPr>
            <w:r>
              <w:t>样地面积（m</w:t>
            </w:r>
            <w:r>
              <w:rPr>
                <w:vertAlign w:val="superscript"/>
              </w:rPr>
              <w:t>2</w:t>
            </w:r>
            <w:r>
              <w:t>）</w:t>
            </w:r>
          </w:p>
        </w:tc>
        <w:tc>
          <w:tcPr>
            <w:tcW w:w="2703" w:type="pct"/>
            <w:vAlign w:val="center"/>
          </w:tcPr>
          <w:p w14:paraId="1641C117">
            <w:pPr>
              <w:pStyle w:val="179"/>
            </w:pPr>
            <w:r>
              <w:t>1</w:t>
            </w:r>
          </w:p>
        </w:tc>
      </w:tr>
      <w:tr w14:paraId="57C2B1D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13F06806">
            <w:pPr>
              <w:pStyle w:val="179"/>
            </w:pPr>
            <w:r>
              <w:t>经纬度</w:t>
            </w:r>
          </w:p>
        </w:tc>
        <w:tc>
          <w:tcPr>
            <w:tcW w:w="2703" w:type="pct"/>
            <w:vAlign w:val="center"/>
          </w:tcPr>
          <w:p w14:paraId="2CC2947E">
            <w:pPr>
              <w:pStyle w:val="179"/>
            </w:pPr>
            <w:r>
              <w:t>126°18′28.3032″E，49°26′11.5296″N</w:t>
            </w:r>
          </w:p>
        </w:tc>
      </w:tr>
      <w:tr w14:paraId="42F1797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23E80293">
            <w:pPr>
              <w:pStyle w:val="179"/>
            </w:pPr>
            <w:r>
              <w:t>海拔（m）</w:t>
            </w:r>
          </w:p>
        </w:tc>
        <w:tc>
          <w:tcPr>
            <w:tcW w:w="2703" w:type="pct"/>
            <w:vAlign w:val="center"/>
          </w:tcPr>
          <w:p w14:paraId="6E23483A">
            <w:pPr>
              <w:pStyle w:val="179"/>
            </w:pPr>
            <w:r>
              <w:t>418</w:t>
            </w:r>
          </w:p>
        </w:tc>
      </w:tr>
      <w:tr w14:paraId="21BB5FF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54718C27">
            <w:pPr>
              <w:pStyle w:val="179"/>
            </w:pPr>
            <w:r>
              <w:t>坡向</w:t>
            </w:r>
          </w:p>
        </w:tc>
        <w:tc>
          <w:tcPr>
            <w:tcW w:w="2703" w:type="pct"/>
            <w:vAlign w:val="center"/>
          </w:tcPr>
          <w:p w14:paraId="3B7C8B5F">
            <w:pPr>
              <w:pStyle w:val="179"/>
            </w:pPr>
            <w:r>
              <w:t>-</w:t>
            </w:r>
          </w:p>
        </w:tc>
      </w:tr>
      <w:tr w14:paraId="20A7879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03CBFC57">
            <w:pPr>
              <w:pStyle w:val="179"/>
            </w:pPr>
            <w:r>
              <w:t>坡度（°）</w:t>
            </w:r>
          </w:p>
        </w:tc>
        <w:tc>
          <w:tcPr>
            <w:tcW w:w="2703" w:type="pct"/>
            <w:vAlign w:val="center"/>
          </w:tcPr>
          <w:p w14:paraId="695C9A1B">
            <w:pPr>
              <w:pStyle w:val="179"/>
            </w:pPr>
            <w:r>
              <w:t>-</w:t>
            </w:r>
          </w:p>
        </w:tc>
      </w:tr>
      <w:tr w14:paraId="3305EEC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72C7A9A8">
            <w:pPr>
              <w:pStyle w:val="179"/>
            </w:pPr>
            <w:r>
              <w:t>总盖度（%）</w:t>
            </w:r>
          </w:p>
        </w:tc>
        <w:tc>
          <w:tcPr>
            <w:tcW w:w="2703" w:type="pct"/>
            <w:vAlign w:val="center"/>
          </w:tcPr>
          <w:p w14:paraId="7BB31D5F">
            <w:pPr>
              <w:pStyle w:val="179"/>
            </w:pPr>
            <w:r>
              <w:t>65</w:t>
            </w:r>
          </w:p>
        </w:tc>
      </w:tr>
      <w:tr w14:paraId="284D5AE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1D49E64B">
            <w:pPr>
              <w:pStyle w:val="179"/>
            </w:pPr>
            <w:r>
              <w:t>乔木层平均高度（m）</w:t>
            </w:r>
          </w:p>
        </w:tc>
        <w:tc>
          <w:tcPr>
            <w:tcW w:w="2703" w:type="pct"/>
            <w:vAlign w:val="center"/>
          </w:tcPr>
          <w:p w14:paraId="0BCC8C7C">
            <w:pPr>
              <w:pStyle w:val="179"/>
            </w:pPr>
            <w:r>
              <w:t>-</w:t>
            </w:r>
          </w:p>
        </w:tc>
      </w:tr>
      <w:tr w14:paraId="50DA701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174BB80D">
            <w:pPr>
              <w:pStyle w:val="179"/>
            </w:pPr>
            <w:r>
              <w:t>乔木层盖度（%）</w:t>
            </w:r>
          </w:p>
        </w:tc>
        <w:tc>
          <w:tcPr>
            <w:tcW w:w="2703" w:type="pct"/>
            <w:vAlign w:val="center"/>
          </w:tcPr>
          <w:p w14:paraId="7746C9DF">
            <w:pPr>
              <w:pStyle w:val="179"/>
            </w:pPr>
            <w:r>
              <w:t>-</w:t>
            </w:r>
          </w:p>
        </w:tc>
      </w:tr>
      <w:tr w14:paraId="1598CB2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2E1C6874">
            <w:pPr>
              <w:pStyle w:val="179"/>
            </w:pPr>
            <w:r>
              <w:t>灌木层高度（m）</w:t>
            </w:r>
          </w:p>
        </w:tc>
        <w:tc>
          <w:tcPr>
            <w:tcW w:w="2703" w:type="pct"/>
            <w:vAlign w:val="center"/>
          </w:tcPr>
          <w:p w14:paraId="466960DB">
            <w:pPr>
              <w:pStyle w:val="179"/>
            </w:pPr>
            <w:r>
              <w:t>-</w:t>
            </w:r>
          </w:p>
        </w:tc>
      </w:tr>
      <w:tr w14:paraId="7ED3C68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0E0E641D">
            <w:pPr>
              <w:pStyle w:val="179"/>
            </w:pPr>
            <w:r>
              <w:t>灌木层盖度（%）</w:t>
            </w:r>
          </w:p>
        </w:tc>
        <w:tc>
          <w:tcPr>
            <w:tcW w:w="2703" w:type="pct"/>
            <w:vAlign w:val="center"/>
          </w:tcPr>
          <w:p w14:paraId="65B4A34F">
            <w:pPr>
              <w:pStyle w:val="179"/>
            </w:pPr>
            <w:r>
              <w:t>-</w:t>
            </w:r>
          </w:p>
        </w:tc>
      </w:tr>
      <w:tr w14:paraId="605C59C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5BEFFFAC">
            <w:pPr>
              <w:pStyle w:val="179"/>
            </w:pPr>
            <w:r>
              <w:t>草本层高度（cm）</w:t>
            </w:r>
          </w:p>
        </w:tc>
        <w:tc>
          <w:tcPr>
            <w:tcW w:w="2703" w:type="pct"/>
            <w:vAlign w:val="center"/>
          </w:tcPr>
          <w:p w14:paraId="644DF8AB">
            <w:pPr>
              <w:pStyle w:val="179"/>
            </w:pPr>
            <w:r>
              <w:t>60</w:t>
            </w:r>
          </w:p>
        </w:tc>
      </w:tr>
      <w:tr w14:paraId="211017F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64135C0A">
            <w:pPr>
              <w:pStyle w:val="179"/>
            </w:pPr>
            <w:r>
              <w:t>草本层盖度（%）</w:t>
            </w:r>
          </w:p>
        </w:tc>
        <w:tc>
          <w:tcPr>
            <w:tcW w:w="2703" w:type="pct"/>
            <w:vAlign w:val="center"/>
          </w:tcPr>
          <w:p w14:paraId="13B54BBA">
            <w:pPr>
              <w:pStyle w:val="179"/>
            </w:pPr>
            <w:r>
              <w:t>65</w:t>
            </w:r>
          </w:p>
        </w:tc>
      </w:tr>
      <w:tr w14:paraId="7A6FCB3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01A44564">
            <w:pPr>
              <w:pStyle w:val="179"/>
            </w:pPr>
            <w:r>
              <w:t>乔木层</w:t>
            </w:r>
          </w:p>
        </w:tc>
        <w:tc>
          <w:tcPr>
            <w:tcW w:w="2703" w:type="pct"/>
            <w:vAlign w:val="center"/>
          </w:tcPr>
          <w:p w14:paraId="31A50A94">
            <w:pPr>
              <w:pStyle w:val="179"/>
            </w:pPr>
            <w:r>
              <w:t>多优度-群聚度</w:t>
            </w:r>
          </w:p>
        </w:tc>
      </w:tr>
      <w:tr w14:paraId="485F6C5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62714CCB">
            <w:pPr>
              <w:pStyle w:val="179"/>
            </w:pPr>
            <w:r>
              <w:t>-</w:t>
            </w:r>
          </w:p>
        </w:tc>
        <w:tc>
          <w:tcPr>
            <w:tcW w:w="2703" w:type="pct"/>
            <w:vAlign w:val="center"/>
          </w:tcPr>
          <w:p w14:paraId="03E9D3EA">
            <w:pPr>
              <w:pStyle w:val="179"/>
            </w:pPr>
            <w:r>
              <w:t>-</w:t>
            </w:r>
          </w:p>
        </w:tc>
      </w:tr>
      <w:tr w14:paraId="1003FA4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19E8D88B">
            <w:pPr>
              <w:pStyle w:val="179"/>
            </w:pPr>
            <w:r>
              <w:t>灌木层</w:t>
            </w:r>
          </w:p>
        </w:tc>
        <w:tc>
          <w:tcPr>
            <w:tcW w:w="2703" w:type="pct"/>
            <w:vAlign w:val="center"/>
          </w:tcPr>
          <w:p w14:paraId="652E959F">
            <w:pPr>
              <w:pStyle w:val="179"/>
            </w:pPr>
            <w:r>
              <w:t>多优度-群聚度</w:t>
            </w:r>
          </w:p>
        </w:tc>
      </w:tr>
      <w:tr w14:paraId="063D21B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7DBECC3B">
            <w:pPr>
              <w:pStyle w:val="179"/>
            </w:pPr>
            <w:r>
              <w:t>-</w:t>
            </w:r>
          </w:p>
        </w:tc>
        <w:tc>
          <w:tcPr>
            <w:tcW w:w="2703" w:type="pct"/>
            <w:vAlign w:val="center"/>
          </w:tcPr>
          <w:p w14:paraId="0121CA5D">
            <w:pPr>
              <w:pStyle w:val="179"/>
            </w:pPr>
            <w:r>
              <w:t>-</w:t>
            </w:r>
          </w:p>
        </w:tc>
      </w:tr>
      <w:tr w14:paraId="3F0F4AE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80" w:hRule="exact"/>
          <w:jc w:val="center"/>
        </w:trPr>
        <w:tc>
          <w:tcPr>
            <w:tcW w:w="2296" w:type="pct"/>
            <w:vAlign w:val="center"/>
          </w:tcPr>
          <w:p w14:paraId="2FD8F21F">
            <w:pPr>
              <w:pStyle w:val="179"/>
            </w:pPr>
            <w:r>
              <w:t>草本层</w:t>
            </w:r>
          </w:p>
        </w:tc>
        <w:tc>
          <w:tcPr>
            <w:tcW w:w="2703" w:type="pct"/>
            <w:vAlign w:val="center"/>
          </w:tcPr>
          <w:p w14:paraId="30DEF92B">
            <w:pPr>
              <w:pStyle w:val="179"/>
            </w:pPr>
            <w:r>
              <w:t>多优度-群聚度</w:t>
            </w:r>
          </w:p>
        </w:tc>
      </w:tr>
      <w:tr w14:paraId="7FF59BD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4176D8A6">
            <w:pPr>
              <w:pStyle w:val="179"/>
            </w:pPr>
            <w:r>
              <w:t>蒌蒿</w:t>
            </w:r>
          </w:p>
        </w:tc>
        <w:tc>
          <w:tcPr>
            <w:tcW w:w="2703" w:type="pct"/>
            <w:vAlign w:val="center"/>
          </w:tcPr>
          <w:p w14:paraId="7C95779F">
            <w:pPr>
              <w:pStyle w:val="179"/>
            </w:pPr>
            <w:r>
              <w:t>3.1</w:t>
            </w:r>
          </w:p>
        </w:tc>
      </w:tr>
      <w:tr w14:paraId="2296095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2544CB15">
            <w:pPr>
              <w:pStyle w:val="179"/>
            </w:pPr>
            <w:r>
              <w:t>委陵菜</w:t>
            </w:r>
          </w:p>
        </w:tc>
        <w:tc>
          <w:tcPr>
            <w:tcW w:w="2703" w:type="pct"/>
            <w:vAlign w:val="center"/>
          </w:tcPr>
          <w:p w14:paraId="72D7A88E">
            <w:pPr>
              <w:pStyle w:val="179"/>
            </w:pPr>
            <w:r>
              <w:t>1.2</w:t>
            </w:r>
          </w:p>
        </w:tc>
      </w:tr>
      <w:tr w14:paraId="4CA5501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5" w:hRule="exact"/>
          <w:jc w:val="center"/>
        </w:trPr>
        <w:tc>
          <w:tcPr>
            <w:tcW w:w="2296" w:type="pct"/>
            <w:vAlign w:val="center"/>
          </w:tcPr>
          <w:p w14:paraId="2E42B12C">
            <w:pPr>
              <w:pStyle w:val="179"/>
            </w:pPr>
            <w:r>
              <w:t>藜</w:t>
            </w:r>
          </w:p>
        </w:tc>
        <w:tc>
          <w:tcPr>
            <w:tcW w:w="2703" w:type="pct"/>
            <w:vAlign w:val="center"/>
          </w:tcPr>
          <w:p w14:paraId="101E55F1">
            <w:pPr>
              <w:pStyle w:val="179"/>
            </w:pPr>
            <w:r>
              <w:t>2.3</w:t>
            </w:r>
          </w:p>
        </w:tc>
      </w:tr>
      <w:tr w14:paraId="3991E06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09C4D8C3">
            <w:pPr>
              <w:pStyle w:val="179"/>
            </w:pPr>
            <w:r>
              <w:t>苔草</w:t>
            </w:r>
          </w:p>
        </w:tc>
        <w:tc>
          <w:tcPr>
            <w:tcW w:w="2703" w:type="pct"/>
            <w:vAlign w:val="center"/>
          </w:tcPr>
          <w:p w14:paraId="4CFC4719">
            <w:pPr>
              <w:pStyle w:val="179"/>
            </w:pPr>
            <w:r>
              <w:t>1..2</w:t>
            </w:r>
          </w:p>
        </w:tc>
      </w:tr>
      <w:tr w14:paraId="416BA9F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4A25CD45">
            <w:pPr>
              <w:pStyle w:val="179"/>
            </w:pPr>
            <w:r>
              <w:t>蒲公英</w:t>
            </w:r>
          </w:p>
        </w:tc>
        <w:tc>
          <w:tcPr>
            <w:tcW w:w="2703" w:type="pct"/>
            <w:vAlign w:val="center"/>
          </w:tcPr>
          <w:p w14:paraId="32B41B10">
            <w:pPr>
              <w:pStyle w:val="179"/>
            </w:pPr>
            <w:r>
              <w:t>1.2</w:t>
            </w:r>
          </w:p>
        </w:tc>
      </w:tr>
      <w:tr w14:paraId="2D80B70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1294577A">
            <w:pPr>
              <w:pStyle w:val="179"/>
            </w:pPr>
            <w:r>
              <w:t>平车前</w:t>
            </w:r>
          </w:p>
        </w:tc>
        <w:tc>
          <w:tcPr>
            <w:tcW w:w="2703" w:type="pct"/>
            <w:vAlign w:val="center"/>
          </w:tcPr>
          <w:p w14:paraId="3CD3D9C5">
            <w:pPr>
              <w:pStyle w:val="179"/>
            </w:pPr>
            <w:r>
              <w:t>1.1</w:t>
            </w:r>
          </w:p>
        </w:tc>
      </w:tr>
      <w:tr w14:paraId="631A3DC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15FC7E6A">
            <w:pPr>
              <w:pStyle w:val="179"/>
            </w:pPr>
            <w:r>
              <w:t>长萼鸡眼草</w:t>
            </w:r>
          </w:p>
        </w:tc>
        <w:tc>
          <w:tcPr>
            <w:tcW w:w="2703" w:type="pct"/>
            <w:vAlign w:val="center"/>
          </w:tcPr>
          <w:p w14:paraId="37960B06">
            <w:pPr>
              <w:pStyle w:val="179"/>
            </w:pPr>
            <w:r>
              <w:t>1.2</w:t>
            </w:r>
          </w:p>
        </w:tc>
      </w:tr>
    </w:tbl>
    <w:p w14:paraId="5711D3BD">
      <w:pPr>
        <w:pStyle w:val="178"/>
      </w:pPr>
      <w:r>
        <w:t>表</w:t>
      </w:r>
      <w:r>
        <w:rPr>
          <w:rFonts w:hint="eastAsia"/>
        </w:rPr>
        <w:t xml:space="preserve">1-15  </w:t>
      </w:r>
      <w:r>
        <w:t>杂草草丛样方表（5）</w:t>
      </w:r>
    </w:p>
    <w:tbl>
      <w:tblPr>
        <w:tblStyle w:val="36"/>
        <w:tblW w:w="4996"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3913"/>
        <w:gridCol w:w="4608"/>
      </w:tblGrid>
      <w:tr w14:paraId="6DAFDD0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4DDCB63D">
            <w:pPr>
              <w:pStyle w:val="179"/>
            </w:pPr>
            <w:r>
              <w:t>地点</w:t>
            </w:r>
          </w:p>
        </w:tc>
        <w:tc>
          <w:tcPr>
            <w:tcW w:w="2703" w:type="pct"/>
            <w:vAlign w:val="center"/>
          </w:tcPr>
          <w:p w14:paraId="101D0EDB">
            <w:pPr>
              <w:pStyle w:val="179"/>
            </w:pPr>
            <w:r>
              <w:t>嫩江市塔溪乡马厂河</w:t>
            </w:r>
          </w:p>
        </w:tc>
      </w:tr>
      <w:tr w14:paraId="7865155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5E53A6D3">
            <w:pPr>
              <w:pStyle w:val="179"/>
            </w:pPr>
            <w:r>
              <w:t>样地面积（m</w:t>
            </w:r>
            <w:r>
              <w:rPr>
                <w:vertAlign w:val="superscript"/>
              </w:rPr>
              <w:t>2</w:t>
            </w:r>
            <w:r>
              <w:t>）</w:t>
            </w:r>
          </w:p>
        </w:tc>
        <w:tc>
          <w:tcPr>
            <w:tcW w:w="2703" w:type="pct"/>
            <w:vAlign w:val="center"/>
          </w:tcPr>
          <w:p w14:paraId="3032D026">
            <w:pPr>
              <w:pStyle w:val="179"/>
            </w:pPr>
            <w:r>
              <w:t>1</w:t>
            </w:r>
          </w:p>
        </w:tc>
      </w:tr>
      <w:tr w14:paraId="3729728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6EA6F027">
            <w:pPr>
              <w:pStyle w:val="179"/>
            </w:pPr>
            <w:r>
              <w:t>经纬度</w:t>
            </w:r>
          </w:p>
        </w:tc>
        <w:tc>
          <w:tcPr>
            <w:tcW w:w="2703" w:type="pct"/>
            <w:vAlign w:val="center"/>
          </w:tcPr>
          <w:p w14:paraId="078AB05A">
            <w:pPr>
              <w:pStyle w:val="179"/>
            </w:pPr>
            <w:r>
              <w:t>126°18′43.6356″E，49°26′39.1812″N</w:t>
            </w:r>
          </w:p>
        </w:tc>
      </w:tr>
      <w:tr w14:paraId="1C5BC15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0C97F30A">
            <w:pPr>
              <w:pStyle w:val="179"/>
            </w:pPr>
            <w:r>
              <w:t>海拔（m）</w:t>
            </w:r>
          </w:p>
        </w:tc>
        <w:tc>
          <w:tcPr>
            <w:tcW w:w="2703" w:type="pct"/>
            <w:vAlign w:val="center"/>
          </w:tcPr>
          <w:p w14:paraId="48E29016">
            <w:pPr>
              <w:pStyle w:val="179"/>
            </w:pPr>
            <w:r>
              <w:t>418</w:t>
            </w:r>
          </w:p>
        </w:tc>
      </w:tr>
      <w:tr w14:paraId="37DC3E3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7AEF2461">
            <w:pPr>
              <w:pStyle w:val="179"/>
            </w:pPr>
            <w:r>
              <w:t>坡向</w:t>
            </w:r>
          </w:p>
        </w:tc>
        <w:tc>
          <w:tcPr>
            <w:tcW w:w="2703" w:type="pct"/>
            <w:vAlign w:val="center"/>
          </w:tcPr>
          <w:p w14:paraId="5333FAA9">
            <w:pPr>
              <w:pStyle w:val="179"/>
            </w:pPr>
            <w:r>
              <w:t>-</w:t>
            </w:r>
          </w:p>
        </w:tc>
      </w:tr>
      <w:tr w14:paraId="66F9CCE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202AA8D9">
            <w:pPr>
              <w:pStyle w:val="179"/>
            </w:pPr>
            <w:r>
              <w:t>坡度（°）</w:t>
            </w:r>
          </w:p>
        </w:tc>
        <w:tc>
          <w:tcPr>
            <w:tcW w:w="2703" w:type="pct"/>
            <w:vAlign w:val="center"/>
          </w:tcPr>
          <w:p w14:paraId="2C17BD37">
            <w:pPr>
              <w:pStyle w:val="179"/>
            </w:pPr>
            <w:r>
              <w:t>-</w:t>
            </w:r>
          </w:p>
        </w:tc>
      </w:tr>
      <w:tr w14:paraId="4CC83A1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35A2E967">
            <w:pPr>
              <w:pStyle w:val="179"/>
            </w:pPr>
            <w:r>
              <w:t>总盖度（%）</w:t>
            </w:r>
          </w:p>
        </w:tc>
        <w:tc>
          <w:tcPr>
            <w:tcW w:w="2703" w:type="pct"/>
            <w:vAlign w:val="center"/>
          </w:tcPr>
          <w:p w14:paraId="6C811272">
            <w:pPr>
              <w:pStyle w:val="179"/>
            </w:pPr>
            <w:r>
              <w:t>55</w:t>
            </w:r>
          </w:p>
        </w:tc>
      </w:tr>
      <w:tr w14:paraId="4842C82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3121B9FA">
            <w:pPr>
              <w:pStyle w:val="179"/>
            </w:pPr>
            <w:r>
              <w:t>乔木层平均高度（m）</w:t>
            </w:r>
          </w:p>
        </w:tc>
        <w:tc>
          <w:tcPr>
            <w:tcW w:w="2703" w:type="pct"/>
            <w:vAlign w:val="center"/>
          </w:tcPr>
          <w:p w14:paraId="3A9B13B2">
            <w:pPr>
              <w:pStyle w:val="179"/>
            </w:pPr>
            <w:r>
              <w:t>-</w:t>
            </w:r>
          </w:p>
        </w:tc>
      </w:tr>
      <w:tr w14:paraId="0B564D7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78C177F5">
            <w:pPr>
              <w:pStyle w:val="179"/>
            </w:pPr>
            <w:r>
              <w:t>乔木层盖度（%）</w:t>
            </w:r>
          </w:p>
        </w:tc>
        <w:tc>
          <w:tcPr>
            <w:tcW w:w="2703" w:type="pct"/>
            <w:vAlign w:val="center"/>
          </w:tcPr>
          <w:p w14:paraId="6A718D34">
            <w:pPr>
              <w:pStyle w:val="179"/>
            </w:pPr>
            <w:r>
              <w:t>-</w:t>
            </w:r>
          </w:p>
        </w:tc>
      </w:tr>
      <w:tr w14:paraId="5F656EA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52CB5580">
            <w:pPr>
              <w:pStyle w:val="179"/>
            </w:pPr>
            <w:r>
              <w:t>灌木层高度（m）</w:t>
            </w:r>
          </w:p>
        </w:tc>
        <w:tc>
          <w:tcPr>
            <w:tcW w:w="2703" w:type="pct"/>
            <w:vAlign w:val="center"/>
          </w:tcPr>
          <w:p w14:paraId="1D380BAE">
            <w:pPr>
              <w:pStyle w:val="179"/>
            </w:pPr>
            <w:r>
              <w:t>-</w:t>
            </w:r>
          </w:p>
        </w:tc>
      </w:tr>
      <w:tr w14:paraId="15585883">
        <w:tblPrEx>
          <w:tblCellMar>
            <w:top w:w="0" w:type="dxa"/>
            <w:left w:w="108" w:type="dxa"/>
            <w:bottom w:w="0" w:type="dxa"/>
            <w:right w:w="108" w:type="dxa"/>
          </w:tblCellMar>
        </w:tblPrEx>
        <w:trPr>
          <w:trHeight w:val="340" w:hRule="exact"/>
          <w:jc w:val="center"/>
        </w:trPr>
        <w:tc>
          <w:tcPr>
            <w:tcW w:w="2296" w:type="pct"/>
            <w:vAlign w:val="center"/>
          </w:tcPr>
          <w:p w14:paraId="39D7675A">
            <w:pPr>
              <w:pStyle w:val="179"/>
            </w:pPr>
            <w:r>
              <w:t>灌木层盖度（%）</w:t>
            </w:r>
          </w:p>
        </w:tc>
        <w:tc>
          <w:tcPr>
            <w:tcW w:w="2703" w:type="pct"/>
            <w:vAlign w:val="center"/>
          </w:tcPr>
          <w:p w14:paraId="7E4C8BF1">
            <w:pPr>
              <w:pStyle w:val="179"/>
            </w:pPr>
            <w:r>
              <w:t>-</w:t>
            </w:r>
          </w:p>
        </w:tc>
      </w:tr>
      <w:tr w14:paraId="069B2D3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30837089">
            <w:pPr>
              <w:pStyle w:val="179"/>
            </w:pPr>
            <w:r>
              <w:t>草本层高度（cm）</w:t>
            </w:r>
          </w:p>
        </w:tc>
        <w:tc>
          <w:tcPr>
            <w:tcW w:w="2703" w:type="pct"/>
            <w:vAlign w:val="center"/>
          </w:tcPr>
          <w:p w14:paraId="6D44209E">
            <w:pPr>
              <w:pStyle w:val="179"/>
            </w:pPr>
            <w:r>
              <w:t>45</w:t>
            </w:r>
          </w:p>
        </w:tc>
      </w:tr>
      <w:tr w14:paraId="5E84910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41E2F0EB">
            <w:pPr>
              <w:pStyle w:val="179"/>
            </w:pPr>
            <w:r>
              <w:t>草本层盖度（%）</w:t>
            </w:r>
          </w:p>
        </w:tc>
        <w:tc>
          <w:tcPr>
            <w:tcW w:w="2703" w:type="pct"/>
            <w:vAlign w:val="center"/>
          </w:tcPr>
          <w:p w14:paraId="512CF379">
            <w:pPr>
              <w:pStyle w:val="179"/>
            </w:pPr>
            <w:r>
              <w:t>55</w:t>
            </w:r>
          </w:p>
        </w:tc>
      </w:tr>
      <w:tr w14:paraId="16F7877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0A24B834">
            <w:pPr>
              <w:pStyle w:val="179"/>
            </w:pPr>
            <w:r>
              <w:t>乔木层</w:t>
            </w:r>
          </w:p>
        </w:tc>
        <w:tc>
          <w:tcPr>
            <w:tcW w:w="2703" w:type="pct"/>
            <w:vAlign w:val="center"/>
          </w:tcPr>
          <w:p w14:paraId="48724E37">
            <w:pPr>
              <w:pStyle w:val="179"/>
            </w:pPr>
            <w:r>
              <w:t>多优度-群聚度</w:t>
            </w:r>
          </w:p>
        </w:tc>
      </w:tr>
      <w:tr w14:paraId="39E2E93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179C46C3">
            <w:pPr>
              <w:pStyle w:val="179"/>
            </w:pPr>
            <w:r>
              <w:t>-</w:t>
            </w:r>
          </w:p>
        </w:tc>
        <w:tc>
          <w:tcPr>
            <w:tcW w:w="2703" w:type="pct"/>
            <w:vAlign w:val="center"/>
          </w:tcPr>
          <w:p w14:paraId="72F51D14">
            <w:pPr>
              <w:pStyle w:val="179"/>
            </w:pPr>
            <w:r>
              <w:t>-</w:t>
            </w:r>
          </w:p>
        </w:tc>
      </w:tr>
      <w:tr w14:paraId="6A58A3D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470AA06B">
            <w:pPr>
              <w:pStyle w:val="179"/>
            </w:pPr>
            <w:r>
              <w:t>灌木层</w:t>
            </w:r>
          </w:p>
        </w:tc>
        <w:tc>
          <w:tcPr>
            <w:tcW w:w="2703" w:type="pct"/>
            <w:vAlign w:val="center"/>
          </w:tcPr>
          <w:p w14:paraId="46996D42">
            <w:pPr>
              <w:pStyle w:val="179"/>
            </w:pPr>
            <w:r>
              <w:t>多优度-群聚度</w:t>
            </w:r>
          </w:p>
        </w:tc>
      </w:tr>
      <w:tr w14:paraId="5732ECE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50813A32">
            <w:pPr>
              <w:pStyle w:val="179"/>
            </w:pPr>
            <w:r>
              <w:t>-</w:t>
            </w:r>
          </w:p>
        </w:tc>
        <w:tc>
          <w:tcPr>
            <w:tcW w:w="2703" w:type="pct"/>
            <w:vAlign w:val="center"/>
          </w:tcPr>
          <w:p w14:paraId="058A2256">
            <w:pPr>
              <w:pStyle w:val="179"/>
            </w:pPr>
            <w:r>
              <w:t>-</w:t>
            </w:r>
          </w:p>
        </w:tc>
      </w:tr>
      <w:tr w14:paraId="222594C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80" w:hRule="exact"/>
          <w:jc w:val="center"/>
        </w:trPr>
        <w:tc>
          <w:tcPr>
            <w:tcW w:w="2296" w:type="pct"/>
            <w:vAlign w:val="center"/>
          </w:tcPr>
          <w:p w14:paraId="6A1580D5">
            <w:pPr>
              <w:pStyle w:val="179"/>
            </w:pPr>
            <w:r>
              <w:t>草本层</w:t>
            </w:r>
          </w:p>
        </w:tc>
        <w:tc>
          <w:tcPr>
            <w:tcW w:w="2703" w:type="pct"/>
            <w:vAlign w:val="center"/>
          </w:tcPr>
          <w:p w14:paraId="1BDBE311">
            <w:pPr>
              <w:pStyle w:val="179"/>
            </w:pPr>
            <w:r>
              <w:t>多优度-群聚度</w:t>
            </w:r>
          </w:p>
        </w:tc>
      </w:tr>
      <w:tr w14:paraId="6D39EC4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50E443AE">
            <w:pPr>
              <w:pStyle w:val="179"/>
            </w:pPr>
            <w:r>
              <w:t>蒌蒿</w:t>
            </w:r>
          </w:p>
        </w:tc>
        <w:tc>
          <w:tcPr>
            <w:tcW w:w="2703" w:type="pct"/>
            <w:vAlign w:val="center"/>
          </w:tcPr>
          <w:p w14:paraId="5855BF6D">
            <w:pPr>
              <w:pStyle w:val="179"/>
            </w:pPr>
            <w:r>
              <w:t>3.2</w:t>
            </w:r>
          </w:p>
        </w:tc>
      </w:tr>
      <w:tr w14:paraId="2833BCE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45D29FBB">
            <w:pPr>
              <w:pStyle w:val="179"/>
            </w:pPr>
            <w:r>
              <w:t>无芒稗</w:t>
            </w:r>
          </w:p>
        </w:tc>
        <w:tc>
          <w:tcPr>
            <w:tcW w:w="2703" w:type="pct"/>
            <w:vAlign w:val="center"/>
          </w:tcPr>
          <w:p w14:paraId="564D93EF">
            <w:pPr>
              <w:pStyle w:val="179"/>
            </w:pPr>
            <w:r>
              <w:t>1.2</w:t>
            </w:r>
          </w:p>
        </w:tc>
      </w:tr>
      <w:tr w14:paraId="7C832E5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5" w:hRule="exact"/>
          <w:jc w:val="center"/>
        </w:trPr>
        <w:tc>
          <w:tcPr>
            <w:tcW w:w="2296" w:type="pct"/>
            <w:vAlign w:val="center"/>
          </w:tcPr>
          <w:p w14:paraId="1762400D">
            <w:pPr>
              <w:pStyle w:val="179"/>
            </w:pPr>
            <w:r>
              <w:t>藜</w:t>
            </w:r>
          </w:p>
        </w:tc>
        <w:tc>
          <w:tcPr>
            <w:tcW w:w="2703" w:type="pct"/>
            <w:vAlign w:val="center"/>
          </w:tcPr>
          <w:p w14:paraId="6C7B556E">
            <w:pPr>
              <w:pStyle w:val="179"/>
            </w:pPr>
            <w:r>
              <w:t>2.3</w:t>
            </w:r>
          </w:p>
        </w:tc>
      </w:tr>
      <w:tr w14:paraId="1DBD220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1416C3FB">
            <w:pPr>
              <w:pStyle w:val="179"/>
            </w:pPr>
            <w:r>
              <w:t>龙芽草</w:t>
            </w:r>
          </w:p>
        </w:tc>
        <w:tc>
          <w:tcPr>
            <w:tcW w:w="2703" w:type="pct"/>
            <w:vAlign w:val="center"/>
          </w:tcPr>
          <w:p w14:paraId="2DFD5F0E">
            <w:pPr>
              <w:pStyle w:val="179"/>
            </w:pPr>
            <w:r>
              <w:t>1..2</w:t>
            </w:r>
          </w:p>
        </w:tc>
      </w:tr>
      <w:tr w14:paraId="371BBA3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11B286C5">
            <w:pPr>
              <w:pStyle w:val="179"/>
            </w:pPr>
            <w:r>
              <w:t>蒲公英</w:t>
            </w:r>
          </w:p>
        </w:tc>
        <w:tc>
          <w:tcPr>
            <w:tcW w:w="2703" w:type="pct"/>
            <w:vAlign w:val="center"/>
          </w:tcPr>
          <w:p w14:paraId="355560C3">
            <w:pPr>
              <w:pStyle w:val="179"/>
            </w:pPr>
            <w:r>
              <w:t>1.2</w:t>
            </w:r>
          </w:p>
        </w:tc>
      </w:tr>
      <w:tr w14:paraId="2B96D00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54B50CF2">
            <w:pPr>
              <w:pStyle w:val="179"/>
            </w:pPr>
            <w:r>
              <w:t>广布野豌豆</w:t>
            </w:r>
          </w:p>
        </w:tc>
        <w:tc>
          <w:tcPr>
            <w:tcW w:w="2703" w:type="pct"/>
            <w:vAlign w:val="center"/>
          </w:tcPr>
          <w:p w14:paraId="68A41BF4">
            <w:pPr>
              <w:pStyle w:val="179"/>
            </w:pPr>
            <w:r>
              <w:t>1.1</w:t>
            </w:r>
          </w:p>
        </w:tc>
      </w:tr>
      <w:tr w14:paraId="038DB67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7B38F0AA">
            <w:pPr>
              <w:pStyle w:val="179"/>
            </w:pPr>
            <w:r>
              <w:t>毛蕊鸡眼草</w:t>
            </w:r>
          </w:p>
        </w:tc>
        <w:tc>
          <w:tcPr>
            <w:tcW w:w="2703" w:type="pct"/>
            <w:vAlign w:val="center"/>
          </w:tcPr>
          <w:p w14:paraId="5DD873FC">
            <w:pPr>
              <w:pStyle w:val="179"/>
            </w:pPr>
            <w:r>
              <w:t>1.2</w:t>
            </w:r>
          </w:p>
        </w:tc>
      </w:tr>
      <w:tr w14:paraId="3D640E2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29C0172B">
            <w:pPr>
              <w:pStyle w:val="179"/>
            </w:pPr>
            <w:r>
              <w:t>北悬钩子</w:t>
            </w:r>
          </w:p>
        </w:tc>
        <w:tc>
          <w:tcPr>
            <w:tcW w:w="2703" w:type="pct"/>
            <w:vAlign w:val="center"/>
          </w:tcPr>
          <w:p w14:paraId="06CA321E">
            <w:pPr>
              <w:pStyle w:val="179"/>
            </w:pPr>
            <w:r>
              <w:t>1.1</w:t>
            </w:r>
          </w:p>
        </w:tc>
      </w:tr>
      <w:tr w14:paraId="52EF45C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296" w:type="pct"/>
            <w:vAlign w:val="center"/>
          </w:tcPr>
          <w:p w14:paraId="6B5A6B8B">
            <w:pPr>
              <w:pStyle w:val="179"/>
            </w:pPr>
            <w:r>
              <w:t>绵毛酸模叶蓼</w:t>
            </w:r>
          </w:p>
        </w:tc>
        <w:tc>
          <w:tcPr>
            <w:tcW w:w="2703" w:type="pct"/>
            <w:vAlign w:val="center"/>
          </w:tcPr>
          <w:p w14:paraId="29DDBAB5">
            <w:pPr>
              <w:pStyle w:val="179"/>
            </w:pPr>
            <w:r>
              <w:t>1.1</w:t>
            </w:r>
          </w:p>
        </w:tc>
      </w:tr>
    </w:tbl>
    <w:p w14:paraId="2F0DE461">
      <w:pPr>
        <w:ind w:firstLine="480"/>
      </w:pPr>
    </w:p>
    <w:p w14:paraId="16BBBB70">
      <w:pPr>
        <w:pStyle w:val="152"/>
        <w:ind w:firstLine="0" w:firstLineChars="0"/>
        <w:rPr>
          <w:rFonts w:cs="Times New Roman"/>
        </w:rPr>
      </w:pPr>
    </w:p>
    <w:p w14:paraId="245A01E5">
      <w:pPr>
        <w:widowControl/>
        <w:tabs>
          <w:tab w:val="clear" w:pos="0"/>
        </w:tabs>
        <w:spacing w:line="240" w:lineRule="auto"/>
        <w:ind w:firstLine="0" w:firstLineChars="0"/>
        <w:jc w:val="left"/>
        <w:rPr>
          <w:rFonts w:hAnsi="Times New Roman" w:eastAsia="宋体" w:cs="Times New Roman"/>
          <w:sz w:val="21"/>
        </w:rPr>
      </w:pPr>
      <w:r>
        <w:rPr>
          <w:rFonts w:hAnsi="Times New Roman" w:cs="Times New Roman"/>
        </w:rPr>
        <w:br w:type="page"/>
      </w:r>
    </w:p>
    <w:p w14:paraId="10C5CAE5">
      <w:pPr>
        <w:pStyle w:val="3"/>
        <w:numPr>
          <w:ilvl w:val="0"/>
          <w:numId w:val="0"/>
        </w:numPr>
        <w:spacing w:before="180" w:after="120" w:line="240" w:lineRule="auto"/>
        <w:ind w:left="142"/>
        <w:jc w:val="center"/>
        <w:rPr>
          <w:rFonts w:cs="Times New Roman"/>
          <w:sz w:val="24"/>
        </w:rPr>
      </w:pPr>
      <w:bookmarkStart w:id="866" w:name="_Toc11756"/>
      <w:bookmarkStart w:id="867" w:name="_Toc234927735"/>
      <w:r>
        <w:rPr>
          <w:rFonts w:cs="Times New Roman"/>
          <w:sz w:val="24"/>
        </w:rPr>
        <w:t>附表2 建设项目大气环境影响评价自查表</w:t>
      </w:r>
      <w:bookmarkEnd w:id="866"/>
      <w:bookmarkEnd w:id="867"/>
    </w:p>
    <w:tbl>
      <w:tblPr>
        <w:tblStyle w:val="36"/>
        <w:tblW w:w="4997"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
      <w:tblGrid>
        <w:gridCol w:w="766"/>
        <w:gridCol w:w="1428"/>
        <w:gridCol w:w="889"/>
        <w:gridCol w:w="101"/>
        <w:gridCol w:w="303"/>
        <w:gridCol w:w="367"/>
        <w:gridCol w:w="118"/>
        <w:gridCol w:w="62"/>
        <w:gridCol w:w="167"/>
        <w:gridCol w:w="69"/>
        <w:gridCol w:w="468"/>
        <w:gridCol w:w="123"/>
        <w:gridCol w:w="120"/>
        <w:gridCol w:w="37"/>
        <w:gridCol w:w="126"/>
        <w:gridCol w:w="103"/>
        <w:gridCol w:w="477"/>
        <w:gridCol w:w="27"/>
        <w:gridCol w:w="217"/>
        <w:gridCol w:w="273"/>
        <w:gridCol w:w="106"/>
        <w:gridCol w:w="128"/>
        <w:gridCol w:w="7"/>
        <w:gridCol w:w="158"/>
        <w:gridCol w:w="221"/>
        <w:gridCol w:w="379"/>
        <w:gridCol w:w="330"/>
        <w:gridCol w:w="851"/>
      </w:tblGrid>
      <w:tr w14:paraId="1EF47C0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1303" w:type="pct"/>
            <w:gridSpan w:val="2"/>
            <w:noWrap/>
            <w:vAlign w:val="center"/>
          </w:tcPr>
          <w:p w14:paraId="393A9A27">
            <w:pPr>
              <w:pStyle w:val="179"/>
              <w:rPr>
                <w:rFonts w:cs="Times New Roman"/>
                <w:b/>
                <w:kern w:val="0"/>
              </w:rPr>
            </w:pPr>
            <w:r>
              <w:rPr>
                <w:rFonts w:cs="Times New Roman"/>
                <w:b/>
                <w:kern w:val="0"/>
              </w:rPr>
              <w:t>工作内容</w:t>
            </w:r>
          </w:p>
        </w:tc>
        <w:tc>
          <w:tcPr>
            <w:tcW w:w="3697" w:type="pct"/>
            <w:gridSpan w:val="26"/>
            <w:noWrap/>
            <w:vAlign w:val="center"/>
          </w:tcPr>
          <w:p w14:paraId="69623792">
            <w:pPr>
              <w:pStyle w:val="179"/>
              <w:rPr>
                <w:rFonts w:cs="Times New Roman"/>
                <w:b/>
                <w:kern w:val="0"/>
              </w:rPr>
            </w:pPr>
            <w:r>
              <w:rPr>
                <w:rFonts w:cs="Times New Roman"/>
                <w:b/>
                <w:kern w:val="0"/>
              </w:rPr>
              <w:t>自查项目</w:t>
            </w:r>
          </w:p>
        </w:tc>
      </w:tr>
      <w:tr w14:paraId="06DFB8B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455" w:type="pct"/>
            <w:vMerge w:val="restart"/>
            <w:noWrap/>
            <w:vAlign w:val="center"/>
          </w:tcPr>
          <w:p w14:paraId="5830DA58">
            <w:pPr>
              <w:pStyle w:val="179"/>
              <w:rPr>
                <w:rFonts w:cs="Times New Roman"/>
                <w:kern w:val="0"/>
              </w:rPr>
            </w:pPr>
            <w:r>
              <w:rPr>
                <w:rFonts w:cs="Times New Roman"/>
                <w:kern w:val="0"/>
              </w:rPr>
              <w:t>评价等级与范围</w:t>
            </w:r>
          </w:p>
        </w:tc>
        <w:tc>
          <w:tcPr>
            <w:tcW w:w="848" w:type="pct"/>
            <w:noWrap/>
            <w:vAlign w:val="center"/>
          </w:tcPr>
          <w:p w14:paraId="668234AB">
            <w:pPr>
              <w:pStyle w:val="179"/>
              <w:rPr>
                <w:rFonts w:cs="Times New Roman"/>
                <w:kern w:val="0"/>
              </w:rPr>
            </w:pPr>
            <w:r>
              <w:rPr>
                <w:rFonts w:cs="Times New Roman"/>
                <w:kern w:val="0"/>
              </w:rPr>
              <w:t>评价等级</w:t>
            </w:r>
          </w:p>
        </w:tc>
        <w:tc>
          <w:tcPr>
            <w:tcW w:w="986" w:type="pct"/>
            <w:gridSpan w:val="4"/>
            <w:noWrap/>
            <w:vAlign w:val="center"/>
          </w:tcPr>
          <w:p w14:paraId="50E96A26">
            <w:pPr>
              <w:pStyle w:val="179"/>
              <w:rPr>
                <w:rFonts w:cs="Times New Roman"/>
                <w:kern w:val="0"/>
              </w:rPr>
            </w:pPr>
            <w:r>
              <w:rPr>
                <w:rFonts w:cs="Times New Roman"/>
                <w:kern w:val="0"/>
              </w:rPr>
              <w:t>一级□</w:t>
            </w:r>
          </w:p>
        </w:tc>
        <w:tc>
          <w:tcPr>
            <w:tcW w:w="1556" w:type="pct"/>
            <w:gridSpan w:val="16"/>
            <w:noWrap/>
            <w:vAlign w:val="center"/>
          </w:tcPr>
          <w:p w14:paraId="2588F39F">
            <w:pPr>
              <w:pStyle w:val="179"/>
              <w:rPr>
                <w:rFonts w:cs="Times New Roman"/>
                <w:kern w:val="0"/>
              </w:rPr>
            </w:pPr>
            <w:r>
              <w:rPr>
                <w:rFonts w:cs="Times New Roman"/>
                <w:kern w:val="0"/>
              </w:rPr>
              <w:t>二级</w:t>
            </w:r>
            <w:r>
              <w:rPr>
                <w:rFonts w:ascii="Wingdings 2" w:hAnsi="Wingdings 2" w:cs="Times New Roman"/>
                <w:kern w:val="0"/>
              </w:rPr>
              <w:t></w:t>
            </w:r>
          </w:p>
        </w:tc>
        <w:tc>
          <w:tcPr>
            <w:tcW w:w="1155" w:type="pct"/>
            <w:gridSpan w:val="6"/>
            <w:noWrap/>
            <w:vAlign w:val="center"/>
          </w:tcPr>
          <w:p w14:paraId="146B0206">
            <w:pPr>
              <w:pStyle w:val="179"/>
              <w:rPr>
                <w:rFonts w:cs="Times New Roman"/>
                <w:kern w:val="0"/>
              </w:rPr>
            </w:pPr>
            <w:r>
              <w:rPr>
                <w:rFonts w:cs="Times New Roman"/>
                <w:kern w:val="0"/>
              </w:rPr>
              <w:t>三级□</w:t>
            </w:r>
          </w:p>
        </w:tc>
      </w:tr>
      <w:tr w14:paraId="0E02C6D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455" w:type="pct"/>
            <w:vMerge w:val="continue"/>
            <w:noWrap/>
            <w:vAlign w:val="center"/>
          </w:tcPr>
          <w:p w14:paraId="52EE2C39">
            <w:pPr>
              <w:pStyle w:val="179"/>
              <w:rPr>
                <w:rFonts w:cs="Times New Roman"/>
                <w:kern w:val="0"/>
              </w:rPr>
            </w:pPr>
          </w:p>
        </w:tc>
        <w:tc>
          <w:tcPr>
            <w:tcW w:w="848" w:type="pct"/>
            <w:noWrap/>
            <w:vAlign w:val="center"/>
          </w:tcPr>
          <w:p w14:paraId="651DBADC">
            <w:pPr>
              <w:pStyle w:val="179"/>
              <w:rPr>
                <w:rFonts w:cs="Times New Roman"/>
                <w:kern w:val="0"/>
              </w:rPr>
            </w:pPr>
            <w:r>
              <w:rPr>
                <w:rFonts w:cs="Times New Roman"/>
                <w:kern w:val="0"/>
              </w:rPr>
              <w:t>评价范围</w:t>
            </w:r>
          </w:p>
        </w:tc>
        <w:tc>
          <w:tcPr>
            <w:tcW w:w="986" w:type="pct"/>
            <w:gridSpan w:val="4"/>
            <w:noWrap/>
            <w:vAlign w:val="center"/>
          </w:tcPr>
          <w:p w14:paraId="7665FB26">
            <w:pPr>
              <w:pStyle w:val="179"/>
              <w:rPr>
                <w:rFonts w:cs="Times New Roman"/>
                <w:kern w:val="0"/>
              </w:rPr>
            </w:pPr>
            <w:r>
              <w:rPr>
                <w:rFonts w:cs="Times New Roman"/>
                <w:kern w:val="0"/>
              </w:rPr>
              <w:t>边长=50km□</w:t>
            </w:r>
          </w:p>
        </w:tc>
        <w:tc>
          <w:tcPr>
            <w:tcW w:w="1556" w:type="pct"/>
            <w:gridSpan w:val="16"/>
            <w:noWrap/>
            <w:vAlign w:val="center"/>
          </w:tcPr>
          <w:p w14:paraId="6E6E86CD">
            <w:pPr>
              <w:pStyle w:val="179"/>
              <w:rPr>
                <w:rFonts w:cs="Times New Roman"/>
                <w:kern w:val="0"/>
              </w:rPr>
            </w:pPr>
            <w:r>
              <w:rPr>
                <w:rFonts w:cs="Times New Roman"/>
                <w:kern w:val="0"/>
              </w:rPr>
              <w:t>边长5～50km□</w:t>
            </w:r>
          </w:p>
        </w:tc>
        <w:tc>
          <w:tcPr>
            <w:tcW w:w="1155" w:type="pct"/>
            <w:gridSpan w:val="6"/>
            <w:noWrap/>
            <w:vAlign w:val="center"/>
          </w:tcPr>
          <w:p w14:paraId="381EFA89">
            <w:pPr>
              <w:pStyle w:val="179"/>
              <w:rPr>
                <w:rFonts w:cs="Times New Roman"/>
                <w:kern w:val="0"/>
              </w:rPr>
            </w:pPr>
            <w:r>
              <w:rPr>
                <w:rFonts w:cs="Times New Roman"/>
                <w:kern w:val="0"/>
              </w:rPr>
              <w:t>边长=5km</w:t>
            </w:r>
            <w:r>
              <w:rPr>
                <w:rFonts w:ascii="Wingdings 2" w:hAnsi="Wingdings 2" w:cs="Times New Roman"/>
                <w:kern w:val="0"/>
              </w:rPr>
              <w:t></w:t>
            </w:r>
          </w:p>
        </w:tc>
      </w:tr>
      <w:tr w14:paraId="339CDAE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455" w:type="pct"/>
            <w:vMerge w:val="restart"/>
            <w:noWrap/>
            <w:vAlign w:val="center"/>
          </w:tcPr>
          <w:p w14:paraId="17D6696D">
            <w:pPr>
              <w:pStyle w:val="179"/>
              <w:rPr>
                <w:rFonts w:cs="Times New Roman"/>
                <w:kern w:val="0"/>
              </w:rPr>
            </w:pPr>
            <w:r>
              <w:rPr>
                <w:rFonts w:cs="Times New Roman"/>
                <w:kern w:val="0"/>
              </w:rPr>
              <w:t>评价因子</w:t>
            </w:r>
          </w:p>
        </w:tc>
        <w:tc>
          <w:tcPr>
            <w:tcW w:w="848" w:type="pct"/>
            <w:noWrap/>
            <w:vAlign w:val="center"/>
          </w:tcPr>
          <w:p w14:paraId="4725D1EC">
            <w:pPr>
              <w:pStyle w:val="179"/>
              <w:rPr>
                <w:rFonts w:cs="Times New Roman"/>
                <w:kern w:val="0"/>
              </w:rPr>
            </w:pPr>
            <w:r>
              <w:rPr>
                <w:rFonts w:cs="Times New Roman"/>
                <w:kern w:val="0"/>
              </w:rPr>
              <w:t>SO</w:t>
            </w:r>
            <w:r>
              <w:rPr>
                <w:rFonts w:cs="Times New Roman"/>
                <w:kern w:val="0"/>
                <w:vertAlign w:val="subscript"/>
              </w:rPr>
              <w:t>2</w:t>
            </w:r>
            <w:r>
              <w:rPr>
                <w:rFonts w:cs="Times New Roman"/>
                <w:kern w:val="0"/>
              </w:rPr>
              <w:t>+NO</w:t>
            </w:r>
            <w:r>
              <w:rPr>
                <w:rFonts w:cs="Times New Roman"/>
                <w:kern w:val="0"/>
                <w:vertAlign w:val="subscript"/>
              </w:rPr>
              <w:t>X</w:t>
            </w:r>
            <w:r>
              <w:rPr>
                <w:rFonts w:cs="Times New Roman"/>
                <w:kern w:val="0"/>
              </w:rPr>
              <w:t>排放量</w:t>
            </w:r>
          </w:p>
        </w:tc>
        <w:tc>
          <w:tcPr>
            <w:tcW w:w="986" w:type="pct"/>
            <w:gridSpan w:val="4"/>
            <w:noWrap/>
            <w:vAlign w:val="center"/>
          </w:tcPr>
          <w:p w14:paraId="634EF02C">
            <w:pPr>
              <w:pStyle w:val="179"/>
              <w:rPr>
                <w:rFonts w:cs="Times New Roman"/>
                <w:kern w:val="0"/>
              </w:rPr>
            </w:pPr>
            <w:r>
              <w:rPr>
                <w:rFonts w:cs="Times New Roman"/>
                <w:kern w:val="0"/>
              </w:rPr>
              <w:t>≥2000 t/a□</w:t>
            </w:r>
          </w:p>
        </w:tc>
        <w:tc>
          <w:tcPr>
            <w:tcW w:w="1556" w:type="pct"/>
            <w:gridSpan w:val="16"/>
            <w:noWrap/>
            <w:vAlign w:val="center"/>
          </w:tcPr>
          <w:p w14:paraId="0264181D">
            <w:pPr>
              <w:pStyle w:val="179"/>
              <w:rPr>
                <w:rFonts w:cs="Times New Roman"/>
                <w:kern w:val="0"/>
              </w:rPr>
            </w:pPr>
            <w:r>
              <w:rPr>
                <w:rFonts w:cs="Times New Roman"/>
                <w:kern w:val="0"/>
              </w:rPr>
              <w:t>500～2000t/a□</w:t>
            </w:r>
          </w:p>
        </w:tc>
        <w:tc>
          <w:tcPr>
            <w:tcW w:w="1155" w:type="pct"/>
            <w:gridSpan w:val="6"/>
            <w:noWrap/>
            <w:vAlign w:val="center"/>
          </w:tcPr>
          <w:p w14:paraId="5A14837B">
            <w:pPr>
              <w:pStyle w:val="179"/>
              <w:rPr>
                <w:rFonts w:cs="Times New Roman"/>
                <w:kern w:val="0"/>
              </w:rPr>
            </w:pPr>
            <w:r>
              <w:rPr>
                <w:rFonts w:cs="Times New Roman"/>
                <w:kern w:val="0"/>
              </w:rPr>
              <w:t>＜500 t/a</w:t>
            </w:r>
            <w:r>
              <w:rPr>
                <w:rFonts w:ascii="Wingdings 2" w:hAnsi="Wingdings 2" w:cs="Times New Roman"/>
                <w:kern w:val="0"/>
              </w:rPr>
              <w:t></w:t>
            </w:r>
          </w:p>
        </w:tc>
      </w:tr>
      <w:tr w14:paraId="4C7A943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455" w:type="pct"/>
            <w:vMerge w:val="continue"/>
            <w:noWrap/>
            <w:vAlign w:val="center"/>
          </w:tcPr>
          <w:p w14:paraId="65A6E5AF">
            <w:pPr>
              <w:pStyle w:val="179"/>
              <w:rPr>
                <w:rFonts w:cs="Times New Roman"/>
                <w:kern w:val="0"/>
              </w:rPr>
            </w:pPr>
          </w:p>
        </w:tc>
        <w:tc>
          <w:tcPr>
            <w:tcW w:w="848" w:type="pct"/>
            <w:noWrap/>
            <w:vAlign w:val="center"/>
          </w:tcPr>
          <w:p w14:paraId="21099EEC">
            <w:pPr>
              <w:pStyle w:val="179"/>
              <w:rPr>
                <w:rFonts w:cs="Times New Roman"/>
                <w:kern w:val="0"/>
              </w:rPr>
            </w:pPr>
            <w:r>
              <w:rPr>
                <w:rFonts w:cs="Times New Roman"/>
                <w:kern w:val="0"/>
              </w:rPr>
              <w:t>评价因子</w:t>
            </w:r>
          </w:p>
        </w:tc>
        <w:tc>
          <w:tcPr>
            <w:tcW w:w="2542" w:type="pct"/>
            <w:gridSpan w:val="20"/>
            <w:noWrap/>
            <w:vAlign w:val="center"/>
          </w:tcPr>
          <w:p w14:paraId="723E390D">
            <w:pPr>
              <w:pStyle w:val="179"/>
              <w:rPr>
                <w:rFonts w:cs="Times New Roman"/>
                <w:kern w:val="0"/>
              </w:rPr>
            </w:pPr>
            <w:r>
              <w:rPr>
                <w:rFonts w:cs="Times New Roman"/>
                <w:kern w:val="0"/>
              </w:rPr>
              <w:t>基本污染物（</w:t>
            </w:r>
            <w:r>
              <w:rPr>
                <w:rFonts w:cs="Times New Roman"/>
                <w:spacing w:val="16"/>
                <w:kern w:val="0"/>
              </w:rPr>
              <w:t>）</w:t>
            </w:r>
          </w:p>
          <w:p w14:paraId="605A4B4E">
            <w:pPr>
              <w:pStyle w:val="179"/>
              <w:rPr>
                <w:rFonts w:cs="Times New Roman"/>
              </w:rPr>
            </w:pPr>
            <w:r>
              <w:rPr>
                <w:rFonts w:cs="Times New Roman"/>
              </w:rPr>
              <w:t>其他污染物（颗粒物）</w:t>
            </w:r>
          </w:p>
        </w:tc>
        <w:tc>
          <w:tcPr>
            <w:tcW w:w="1155" w:type="pct"/>
            <w:gridSpan w:val="6"/>
            <w:noWrap/>
            <w:vAlign w:val="center"/>
          </w:tcPr>
          <w:p w14:paraId="5C621DBD">
            <w:pPr>
              <w:pStyle w:val="179"/>
              <w:rPr>
                <w:rFonts w:cs="Times New Roman"/>
              </w:rPr>
            </w:pPr>
            <w:r>
              <w:rPr>
                <w:rFonts w:cs="Times New Roman"/>
              </w:rPr>
              <w:t>包括二次PM</w:t>
            </w:r>
            <w:r>
              <w:rPr>
                <w:rFonts w:cs="Times New Roman"/>
                <w:vertAlign w:val="subscript"/>
              </w:rPr>
              <w:t>2.5</w:t>
            </w:r>
            <w:r>
              <w:rPr>
                <w:rFonts w:cs="Times New Roman"/>
              </w:rPr>
              <w:t xml:space="preserve">□ </w:t>
            </w:r>
          </w:p>
          <w:p w14:paraId="5B449002">
            <w:pPr>
              <w:pStyle w:val="179"/>
              <w:rPr>
                <w:rFonts w:cs="Times New Roman"/>
              </w:rPr>
            </w:pPr>
            <w:r>
              <w:rPr>
                <w:rFonts w:cs="Times New Roman"/>
              </w:rPr>
              <w:t>不包括二次PM</w:t>
            </w:r>
            <w:r>
              <w:rPr>
                <w:rFonts w:cs="Times New Roman"/>
                <w:vertAlign w:val="subscript"/>
              </w:rPr>
              <w:t>2.5</w:t>
            </w:r>
            <w:r>
              <w:rPr>
                <w:rFonts w:ascii="Wingdings 2" w:hAnsi="Wingdings 2" w:cs="Times New Roman"/>
                <w:kern w:val="0"/>
              </w:rPr>
              <w:t></w:t>
            </w:r>
          </w:p>
        </w:tc>
      </w:tr>
      <w:tr w14:paraId="7D34945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455" w:type="pct"/>
            <w:noWrap/>
            <w:vAlign w:val="center"/>
          </w:tcPr>
          <w:p w14:paraId="130AFBBE">
            <w:pPr>
              <w:pStyle w:val="179"/>
              <w:rPr>
                <w:rFonts w:cs="Times New Roman"/>
                <w:kern w:val="0"/>
              </w:rPr>
            </w:pPr>
            <w:r>
              <w:rPr>
                <w:rFonts w:cs="Times New Roman"/>
                <w:kern w:val="0"/>
              </w:rPr>
              <w:t>评价标准</w:t>
            </w:r>
          </w:p>
        </w:tc>
        <w:tc>
          <w:tcPr>
            <w:tcW w:w="848" w:type="pct"/>
            <w:noWrap/>
            <w:vAlign w:val="center"/>
          </w:tcPr>
          <w:p w14:paraId="22B5D985">
            <w:pPr>
              <w:pStyle w:val="179"/>
              <w:rPr>
                <w:rFonts w:cs="Times New Roman"/>
                <w:kern w:val="0"/>
              </w:rPr>
            </w:pPr>
            <w:r>
              <w:rPr>
                <w:rFonts w:cs="Times New Roman"/>
                <w:kern w:val="0"/>
              </w:rPr>
              <w:t>评价标准</w:t>
            </w:r>
          </w:p>
        </w:tc>
        <w:tc>
          <w:tcPr>
            <w:tcW w:w="768" w:type="pct"/>
            <w:gridSpan w:val="3"/>
            <w:noWrap/>
            <w:vAlign w:val="center"/>
          </w:tcPr>
          <w:p w14:paraId="041BBA32">
            <w:pPr>
              <w:pStyle w:val="179"/>
              <w:rPr>
                <w:rFonts w:cs="Times New Roman"/>
                <w:kern w:val="0"/>
              </w:rPr>
            </w:pPr>
            <w:r>
              <w:rPr>
                <w:rFonts w:cs="Times New Roman"/>
                <w:kern w:val="0"/>
              </w:rPr>
              <w:t>国家标准</w:t>
            </w:r>
            <w:r>
              <w:rPr>
                <w:rFonts w:ascii="Wingdings 2" w:hAnsi="Wingdings 2" w:cs="Times New Roman"/>
                <w:kern w:val="0"/>
              </w:rPr>
              <w:t></w:t>
            </w:r>
          </w:p>
        </w:tc>
        <w:tc>
          <w:tcPr>
            <w:tcW w:w="984" w:type="pct"/>
            <w:gridSpan w:val="10"/>
            <w:noWrap/>
            <w:vAlign w:val="center"/>
          </w:tcPr>
          <w:p w14:paraId="55F520BA">
            <w:pPr>
              <w:pStyle w:val="179"/>
              <w:rPr>
                <w:rFonts w:ascii="宋体" w:hAnsi="宋体" w:cs="Times New Roman"/>
                <w:kern w:val="0"/>
              </w:rPr>
            </w:pPr>
            <w:r>
              <w:rPr>
                <w:rFonts w:ascii="宋体" w:hAnsi="宋体" w:cs="Times New Roman"/>
                <w:kern w:val="0"/>
              </w:rPr>
              <w:t>地方标准□</w:t>
            </w:r>
          </w:p>
        </w:tc>
        <w:tc>
          <w:tcPr>
            <w:tcW w:w="790" w:type="pct"/>
            <w:gridSpan w:val="7"/>
            <w:noWrap/>
            <w:vAlign w:val="center"/>
          </w:tcPr>
          <w:p w14:paraId="45B0A15C">
            <w:pPr>
              <w:pStyle w:val="179"/>
              <w:rPr>
                <w:rFonts w:ascii="宋体" w:hAnsi="宋体" w:cs="Times New Roman"/>
                <w:kern w:val="0"/>
              </w:rPr>
            </w:pPr>
            <w:r>
              <w:rPr>
                <w:rFonts w:ascii="宋体" w:hAnsi="宋体" w:cs="Times New Roman"/>
                <w:kern w:val="0"/>
              </w:rPr>
              <w:t>附录D□</w:t>
            </w:r>
          </w:p>
        </w:tc>
        <w:tc>
          <w:tcPr>
            <w:tcW w:w="1155" w:type="pct"/>
            <w:gridSpan w:val="6"/>
            <w:noWrap/>
            <w:vAlign w:val="center"/>
          </w:tcPr>
          <w:p w14:paraId="781F2A79">
            <w:pPr>
              <w:pStyle w:val="179"/>
              <w:rPr>
                <w:rFonts w:ascii="宋体" w:hAnsi="宋体" w:cs="Times New Roman"/>
                <w:kern w:val="0"/>
              </w:rPr>
            </w:pPr>
            <w:r>
              <w:rPr>
                <w:rFonts w:ascii="宋体" w:hAnsi="宋体" w:cs="Times New Roman"/>
                <w:kern w:val="0"/>
              </w:rPr>
              <w:t>其他标准□</w:t>
            </w:r>
          </w:p>
        </w:tc>
      </w:tr>
      <w:tr w14:paraId="350C7CA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455" w:type="pct"/>
            <w:vMerge w:val="restart"/>
            <w:noWrap/>
            <w:vAlign w:val="center"/>
          </w:tcPr>
          <w:p w14:paraId="1D8A5BC1">
            <w:pPr>
              <w:pStyle w:val="179"/>
              <w:rPr>
                <w:rFonts w:cs="Times New Roman"/>
                <w:kern w:val="0"/>
              </w:rPr>
            </w:pPr>
            <w:r>
              <w:rPr>
                <w:rFonts w:cs="Times New Roman"/>
                <w:kern w:val="0"/>
              </w:rPr>
              <w:t>现状评价</w:t>
            </w:r>
          </w:p>
        </w:tc>
        <w:tc>
          <w:tcPr>
            <w:tcW w:w="848" w:type="pct"/>
            <w:noWrap/>
            <w:vAlign w:val="center"/>
          </w:tcPr>
          <w:p w14:paraId="4C26F648">
            <w:pPr>
              <w:pStyle w:val="179"/>
              <w:rPr>
                <w:rFonts w:cs="Times New Roman"/>
                <w:kern w:val="0"/>
              </w:rPr>
            </w:pPr>
            <w:r>
              <w:rPr>
                <w:rFonts w:cs="Times New Roman"/>
                <w:kern w:val="0"/>
              </w:rPr>
              <w:t>环境功能区</w:t>
            </w:r>
          </w:p>
        </w:tc>
        <w:tc>
          <w:tcPr>
            <w:tcW w:w="1192" w:type="pct"/>
            <w:gridSpan w:val="7"/>
            <w:noWrap/>
            <w:vAlign w:val="center"/>
          </w:tcPr>
          <w:p w14:paraId="6588E6D7">
            <w:pPr>
              <w:pStyle w:val="179"/>
              <w:rPr>
                <w:rFonts w:ascii="宋体" w:hAnsi="宋体" w:cs="Times New Roman"/>
                <w:kern w:val="0"/>
              </w:rPr>
            </w:pPr>
            <w:r>
              <w:rPr>
                <w:rFonts w:ascii="宋体" w:hAnsi="宋体" w:cs="Times New Roman"/>
                <w:kern w:val="0"/>
              </w:rPr>
              <w:t>一类区□</w:t>
            </w:r>
          </w:p>
        </w:tc>
        <w:tc>
          <w:tcPr>
            <w:tcW w:w="1350" w:type="pct"/>
            <w:gridSpan w:val="13"/>
            <w:noWrap/>
            <w:vAlign w:val="center"/>
          </w:tcPr>
          <w:p w14:paraId="0A59E41D">
            <w:pPr>
              <w:pStyle w:val="179"/>
              <w:rPr>
                <w:rFonts w:ascii="宋体" w:hAnsi="宋体" w:cs="Times New Roman"/>
                <w:kern w:val="0"/>
              </w:rPr>
            </w:pPr>
            <w:r>
              <w:rPr>
                <w:rFonts w:ascii="宋体" w:hAnsi="宋体" w:cs="Times New Roman"/>
                <w:kern w:val="0"/>
              </w:rPr>
              <w:t>二类区</w:t>
            </w:r>
            <w:r>
              <w:rPr>
                <w:rFonts w:ascii="Wingdings 2" w:hAnsi="Wingdings 2" w:cs="Times New Roman"/>
                <w:kern w:val="0"/>
              </w:rPr>
              <w:t></w:t>
            </w:r>
          </w:p>
        </w:tc>
        <w:tc>
          <w:tcPr>
            <w:tcW w:w="1155" w:type="pct"/>
            <w:gridSpan w:val="6"/>
            <w:noWrap/>
            <w:vAlign w:val="center"/>
          </w:tcPr>
          <w:p w14:paraId="03B9B64E">
            <w:pPr>
              <w:pStyle w:val="179"/>
              <w:rPr>
                <w:rFonts w:ascii="宋体" w:hAnsi="宋体" w:cs="Times New Roman"/>
                <w:kern w:val="0"/>
              </w:rPr>
            </w:pPr>
            <w:r>
              <w:rPr>
                <w:rFonts w:ascii="宋体" w:hAnsi="宋体" w:cs="Times New Roman"/>
                <w:kern w:val="0"/>
              </w:rPr>
              <w:t>一类和二类区□</w:t>
            </w:r>
          </w:p>
        </w:tc>
      </w:tr>
      <w:tr w14:paraId="3655C23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455" w:type="pct"/>
            <w:vMerge w:val="continue"/>
            <w:noWrap/>
            <w:vAlign w:val="center"/>
          </w:tcPr>
          <w:p w14:paraId="078D85AE">
            <w:pPr>
              <w:pStyle w:val="179"/>
              <w:rPr>
                <w:rFonts w:cs="Times New Roman"/>
                <w:kern w:val="0"/>
              </w:rPr>
            </w:pPr>
          </w:p>
        </w:tc>
        <w:tc>
          <w:tcPr>
            <w:tcW w:w="848" w:type="pct"/>
            <w:noWrap/>
            <w:vAlign w:val="center"/>
          </w:tcPr>
          <w:p w14:paraId="3DC1F5B8">
            <w:pPr>
              <w:pStyle w:val="179"/>
              <w:rPr>
                <w:rFonts w:cs="Times New Roman"/>
                <w:kern w:val="0"/>
              </w:rPr>
            </w:pPr>
            <w:r>
              <w:rPr>
                <w:rFonts w:cs="Times New Roman"/>
                <w:kern w:val="0"/>
              </w:rPr>
              <w:t>评价基准年</w:t>
            </w:r>
          </w:p>
        </w:tc>
        <w:tc>
          <w:tcPr>
            <w:tcW w:w="3697" w:type="pct"/>
            <w:gridSpan w:val="26"/>
            <w:noWrap/>
            <w:vAlign w:val="center"/>
          </w:tcPr>
          <w:p w14:paraId="5EDED55E">
            <w:pPr>
              <w:pStyle w:val="179"/>
              <w:rPr>
                <w:rFonts w:cs="Times New Roman"/>
                <w:kern w:val="0"/>
              </w:rPr>
            </w:pPr>
            <w:r>
              <w:rPr>
                <w:rFonts w:cs="Times New Roman"/>
                <w:kern w:val="0"/>
              </w:rPr>
              <w:t>（    202</w:t>
            </w:r>
            <w:r>
              <w:rPr>
                <w:rFonts w:hint="eastAsia" w:cs="Times New Roman"/>
                <w:kern w:val="0"/>
              </w:rPr>
              <w:t>5</w:t>
            </w:r>
            <w:r>
              <w:rPr>
                <w:rFonts w:cs="Times New Roman"/>
                <w:kern w:val="0"/>
              </w:rPr>
              <w:t xml:space="preserve">   ）年</w:t>
            </w:r>
          </w:p>
        </w:tc>
      </w:tr>
      <w:tr w14:paraId="0F7F0FF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455" w:type="pct"/>
            <w:vMerge w:val="continue"/>
            <w:noWrap/>
            <w:vAlign w:val="center"/>
          </w:tcPr>
          <w:p w14:paraId="6B4DC8CE">
            <w:pPr>
              <w:pStyle w:val="179"/>
              <w:rPr>
                <w:rFonts w:cs="Times New Roman"/>
                <w:kern w:val="0"/>
              </w:rPr>
            </w:pPr>
          </w:p>
        </w:tc>
        <w:tc>
          <w:tcPr>
            <w:tcW w:w="848" w:type="pct"/>
            <w:noWrap/>
            <w:vAlign w:val="center"/>
          </w:tcPr>
          <w:p w14:paraId="278A418B">
            <w:pPr>
              <w:pStyle w:val="179"/>
              <w:rPr>
                <w:rFonts w:cs="Times New Roman"/>
                <w:kern w:val="0"/>
              </w:rPr>
            </w:pPr>
            <w:r>
              <w:rPr>
                <w:rFonts w:cs="Times New Roman"/>
                <w:kern w:val="0"/>
              </w:rPr>
              <w:t>环境空气质量现状调查数据来源</w:t>
            </w:r>
          </w:p>
        </w:tc>
        <w:tc>
          <w:tcPr>
            <w:tcW w:w="1192" w:type="pct"/>
            <w:gridSpan w:val="7"/>
            <w:noWrap/>
            <w:vAlign w:val="center"/>
          </w:tcPr>
          <w:p w14:paraId="39434116">
            <w:pPr>
              <w:pStyle w:val="179"/>
              <w:rPr>
                <w:rFonts w:cs="Times New Roman"/>
                <w:kern w:val="0"/>
              </w:rPr>
            </w:pPr>
            <w:r>
              <w:rPr>
                <w:rFonts w:cs="Times New Roman"/>
                <w:kern w:val="0"/>
              </w:rPr>
              <w:t>长期例行检测数据□</w:t>
            </w:r>
          </w:p>
        </w:tc>
        <w:tc>
          <w:tcPr>
            <w:tcW w:w="1354" w:type="pct"/>
            <w:gridSpan w:val="14"/>
            <w:noWrap/>
            <w:vAlign w:val="center"/>
          </w:tcPr>
          <w:p w14:paraId="2D2ABD51">
            <w:pPr>
              <w:pStyle w:val="179"/>
              <w:rPr>
                <w:rFonts w:cs="Times New Roman"/>
                <w:kern w:val="0"/>
              </w:rPr>
            </w:pPr>
            <w:r>
              <w:rPr>
                <w:rFonts w:cs="Times New Roman"/>
                <w:kern w:val="0"/>
              </w:rPr>
              <w:t>主管部门发布的数据</w:t>
            </w:r>
            <w:r>
              <w:rPr>
                <w:rFonts w:ascii="Wingdings 2" w:hAnsi="Wingdings 2" w:cs="Times New Roman"/>
                <w:kern w:val="0"/>
              </w:rPr>
              <w:t></w:t>
            </w:r>
          </w:p>
        </w:tc>
        <w:tc>
          <w:tcPr>
            <w:tcW w:w="1151" w:type="pct"/>
            <w:gridSpan w:val="5"/>
            <w:noWrap/>
            <w:vAlign w:val="center"/>
          </w:tcPr>
          <w:p w14:paraId="060A381C">
            <w:pPr>
              <w:pStyle w:val="179"/>
              <w:rPr>
                <w:rFonts w:cs="Times New Roman"/>
                <w:kern w:val="0"/>
              </w:rPr>
            </w:pPr>
            <w:r>
              <w:rPr>
                <w:rFonts w:cs="Times New Roman"/>
                <w:kern w:val="0"/>
              </w:rPr>
              <w:t>现状补充监测</w:t>
            </w:r>
            <w:r>
              <w:rPr>
                <w:rFonts w:ascii="Wingdings 2" w:hAnsi="Wingdings 2" w:cs="Times New Roman"/>
                <w:kern w:val="0"/>
              </w:rPr>
              <w:t></w:t>
            </w:r>
          </w:p>
        </w:tc>
      </w:tr>
      <w:tr w14:paraId="271F83A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455" w:type="pct"/>
            <w:vMerge w:val="continue"/>
            <w:noWrap/>
            <w:vAlign w:val="center"/>
          </w:tcPr>
          <w:p w14:paraId="72739BE2">
            <w:pPr>
              <w:pStyle w:val="179"/>
              <w:rPr>
                <w:rFonts w:cs="Times New Roman"/>
                <w:kern w:val="0"/>
              </w:rPr>
            </w:pPr>
          </w:p>
        </w:tc>
        <w:tc>
          <w:tcPr>
            <w:tcW w:w="848" w:type="pct"/>
            <w:noWrap/>
            <w:vAlign w:val="center"/>
          </w:tcPr>
          <w:p w14:paraId="35D86C81">
            <w:pPr>
              <w:pStyle w:val="179"/>
              <w:rPr>
                <w:rFonts w:cs="Times New Roman"/>
                <w:kern w:val="0"/>
              </w:rPr>
            </w:pPr>
            <w:r>
              <w:rPr>
                <w:rFonts w:cs="Times New Roman"/>
                <w:kern w:val="0"/>
              </w:rPr>
              <w:t>现状评价</w:t>
            </w:r>
          </w:p>
        </w:tc>
        <w:tc>
          <w:tcPr>
            <w:tcW w:w="1752" w:type="pct"/>
            <w:gridSpan w:val="13"/>
            <w:noWrap/>
            <w:vAlign w:val="center"/>
          </w:tcPr>
          <w:p w14:paraId="30FD90D4">
            <w:pPr>
              <w:pStyle w:val="179"/>
              <w:rPr>
                <w:rFonts w:cs="Times New Roman"/>
                <w:kern w:val="0"/>
              </w:rPr>
            </w:pPr>
            <w:r>
              <w:rPr>
                <w:rFonts w:cs="Times New Roman"/>
                <w:kern w:val="0"/>
              </w:rPr>
              <w:t>达标区</w:t>
            </w:r>
            <w:r>
              <w:rPr>
                <w:rFonts w:ascii="Wingdings 2" w:hAnsi="Wingdings 2" w:eastAsia="MS Mincho" w:cs="Times New Roman"/>
                <w:kern w:val="0"/>
              </w:rPr>
              <w:t></w:t>
            </w:r>
          </w:p>
        </w:tc>
        <w:tc>
          <w:tcPr>
            <w:tcW w:w="1945" w:type="pct"/>
            <w:gridSpan w:val="13"/>
            <w:noWrap/>
            <w:vAlign w:val="center"/>
          </w:tcPr>
          <w:p w14:paraId="10A0061C">
            <w:pPr>
              <w:pStyle w:val="179"/>
              <w:rPr>
                <w:rFonts w:cs="Times New Roman"/>
                <w:kern w:val="0"/>
              </w:rPr>
            </w:pPr>
            <w:r>
              <w:rPr>
                <w:rFonts w:cs="Times New Roman"/>
                <w:kern w:val="0"/>
              </w:rPr>
              <w:t>不达标区□</w:t>
            </w:r>
          </w:p>
        </w:tc>
      </w:tr>
      <w:tr w14:paraId="5FF502F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455" w:type="pct"/>
            <w:noWrap/>
            <w:vAlign w:val="center"/>
          </w:tcPr>
          <w:p w14:paraId="27C18FCD">
            <w:pPr>
              <w:pStyle w:val="179"/>
              <w:rPr>
                <w:rFonts w:cs="Times New Roman"/>
                <w:kern w:val="0"/>
              </w:rPr>
            </w:pPr>
            <w:r>
              <w:rPr>
                <w:rFonts w:cs="Times New Roman"/>
                <w:kern w:val="0"/>
              </w:rPr>
              <w:t>污染源调查</w:t>
            </w:r>
          </w:p>
        </w:tc>
        <w:tc>
          <w:tcPr>
            <w:tcW w:w="848" w:type="pct"/>
            <w:noWrap/>
            <w:vAlign w:val="center"/>
          </w:tcPr>
          <w:p w14:paraId="368F5D87">
            <w:pPr>
              <w:pStyle w:val="179"/>
              <w:rPr>
                <w:rFonts w:cs="Times New Roman"/>
                <w:kern w:val="0"/>
              </w:rPr>
            </w:pPr>
            <w:r>
              <w:rPr>
                <w:rFonts w:cs="Times New Roman"/>
                <w:kern w:val="0"/>
              </w:rPr>
              <w:t>调查内容</w:t>
            </w:r>
          </w:p>
        </w:tc>
        <w:tc>
          <w:tcPr>
            <w:tcW w:w="1511" w:type="pct"/>
            <w:gridSpan w:val="9"/>
            <w:noWrap/>
            <w:vAlign w:val="center"/>
          </w:tcPr>
          <w:p w14:paraId="16D8B117">
            <w:pPr>
              <w:pStyle w:val="179"/>
              <w:jc w:val="both"/>
              <w:rPr>
                <w:rFonts w:cs="Times New Roman"/>
                <w:kern w:val="0"/>
              </w:rPr>
            </w:pPr>
            <w:r>
              <w:rPr>
                <w:rFonts w:cs="Times New Roman"/>
                <w:kern w:val="0"/>
              </w:rPr>
              <w:t>本项目正常排放源</w:t>
            </w:r>
            <w:r>
              <w:rPr>
                <w:rFonts w:ascii="Wingdings 2" w:hAnsi="Wingdings 2" w:cs="Times New Roman"/>
                <w:kern w:val="0"/>
              </w:rPr>
              <w:t></w:t>
            </w:r>
          </w:p>
          <w:p w14:paraId="2B19F348">
            <w:pPr>
              <w:pStyle w:val="179"/>
              <w:jc w:val="both"/>
              <w:rPr>
                <w:rFonts w:cs="Times New Roman"/>
              </w:rPr>
            </w:pPr>
            <w:r>
              <w:rPr>
                <w:rFonts w:cs="Times New Roman"/>
              </w:rPr>
              <w:t>本项目非正常排放源</w:t>
            </w:r>
            <w:r>
              <w:rPr>
                <w:rFonts w:ascii="Wingdings 2" w:hAnsi="Wingdings 2" w:cs="Times New Roman"/>
              </w:rPr>
              <w:t></w:t>
            </w:r>
          </w:p>
          <w:p w14:paraId="761A91E4">
            <w:pPr>
              <w:pStyle w:val="179"/>
              <w:jc w:val="both"/>
              <w:rPr>
                <w:rFonts w:cs="Times New Roman"/>
              </w:rPr>
            </w:pPr>
            <w:r>
              <w:rPr>
                <w:rFonts w:cs="Times New Roman"/>
              </w:rPr>
              <w:t>现</w:t>
            </w:r>
            <w:r>
              <w:rPr>
                <w:rFonts w:ascii="宋体" w:hAnsi="宋体" w:cs="Times New Roman"/>
              </w:rPr>
              <w:t>有污染源□</w:t>
            </w:r>
          </w:p>
        </w:tc>
        <w:tc>
          <w:tcPr>
            <w:tcW w:w="730" w:type="pct"/>
            <w:gridSpan w:val="8"/>
            <w:noWrap/>
            <w:vAlign w:val="center"/>
          </w:tcPr>
          <w:p w14:paraId="74DE3E5E">
            <w:pPr>
              <w:pStyle w:val="179"/>
              <w:rPr>
                <w:rFonts w:ascii="宋体" w:hAnsi="宋体" w:cs="Times New Roman"/>
                <w:kern w:val="0"/>
              </w:rPr>
            </w:pPr>
            <w:r>
              <w:rPr>
                <w:rFonts w:ascii="宋体" w:hAnsi="宋体" w:cs="Times New Roman"/>
                <w:kern w:val="0"/>
              </w:rPr>
              <w:t>拟替代的污染源□</w:t>
            </w:r>
          </w:p>
        </w:tc>
        <w:tc>
          <w:tcPr>
            <w:tcW w:w="951" w:type="pct"/>
            <w:gridSpan w:val="8"/>
            <w:noWrap/>
            <w:vAlign w:val="center"/>
          </w:tcPr>
          <w:p w14:paraId="70529C69">
            <w:pPr>
              <w:pStyle w:val="179"/>
              <w:rPr>
                <w:rFonts w:ascii="宋体" w:hAnsi="宋体" w:cs="Times New Roman"/>
                <w:kern w:val="0"/>
              </w:rPr>
            </w:pPr>
            <w:r>
              <w:rPr>
                <w:rFonts w:ascii="宋体" w:hAnsi="宋体" w:cs="Times New Roman"/>
                <w:kern w:val="0"/>
              </w:rPr>
              <w:t>其他在建、拟建污染源□</w:t>
            </w:r>
          </w:p>
        </w:tc>
        <w:tc>
          <w:tcPr>
            <w:tcW w:w="505" w:type="pct"/>
            <w:noWrap/>
            <w:vAlign w:val="center"/>
          </w:tcPr>
          <w:p w14:paraId="4CCFB28E">
            <w:pPr>
              <w:pStyle w:val="179"/>
              <w:rPr>
                <w:rFonts w:ascii="宋体" w:hAnsi="宋体" w:cs="Times New Roman"/>
                <w:kern w:val="0"/>
              </w:rPr>
            </w:pPr>
            <w:r>
              <w:rPr>
                <w:rFonts w:ascii="宋体" w:hAnsi="宋体" w:cs="Times New Roman"/>
                <w:kern w:val="0"/>
              </w:rPr>
              <w:t>区域污染源□</w:t>
            </w:r>
          </w:p>
        </w:tc>
      </w:tr>
      <w:tr w14:paraId="7920DEF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455" w:type="pct"/>
            <w:vMerge w:val="restart"/>
            <w:noWrap/>
            <w:vAlign w:val="center"/>
          </w:tcPr>
          <w:p w14:paraId="586CF2F4">
            <w:pPr>
              <w:pStyle w:val="179"/>
              <w:rPr>
                <w:rFonts w:cs="Times New Roman"/>
                <w:kern w:val="0"/>
              </w:rPr>
            </w:pPr>
            <w:r>
              <w:rPr>
                <w:rFonts w:cs="Times New Roman"/>
                <w:kern w:val="0"/>
              </w:rPr>
              <w:t>大气环境影响预测与评价</w:t>
            </w:r>
          </w:p>
        </w:tc>
        <w:tc>
          <w:tcPr>
            <w:tcW w:w="848" w:type="pct"/>
            <w:noWrap/>
            <w:vAlign w:val="center"/>
          </w:tcPr>
          <w:p w14:paraId="35EFB2A4">
            <w:pPr>
              <w:pStyle w:val="179"/>
              <w:rPr>
                <w:rFonts w:cs="Times New Roman"/>
                <w:kern w:val="0"/>
              </w:rPr>
            </w:pPr>
            <w:r>
              <w:rPr>
                <w:rFonts w:cs="Times New Roman"/>
                <w:kern w:val="0"/>
              </w:rPr>
              <w:t>预测模型</w:t>
            </w:r>
          </w:p>
        </w:tc>
        <w:tc>
          <w:tcPr>
            <w:tcW w:w="528" w:type="pct"/>
            <w:noWrap/>
            <w:vAlign w:val="center"/>
          </w:tcPr>
          <w:p w14:paraId="0B2A3E42">
            <w:pPr>
              <w:pStyle w:val="179"/>
              <w:rPr>
                <w:rFonts w:cs="Times New Roman"/>
                <w:kern w:val="0"/>
              </w:rPr>
            </w:pPr>
            <w:r>
              <w:rPr>
                <w:rFonts w:cs="Times New Roman"/>
                <w:kern w:val="0"/>
              </w:rPr>
              <w:t>AERMOD</w:t>
            </w:r>
            <w:r>
              <w:rPr>
                <w:rFonts w:ascii="宋体" w:hAnsi="宋体" w:cs="Times New Roman"/>
                <w:kern w:val="0"/>
              </w:rPr>
              <w:t>□</w:t>
            </w:r>
          </w:p>
        </w:tc>
        <w:tc>
          <w:tcPr>
            <w:tcW w:w="528" w:type="pct"/>
            <w:gridSpan w:val="4"/>
            <w:noWrap/>
            <w:vAlign w:val="center"/>
          </w:tcPr>
          <w:p w14:paraId="031F5A6E">
            <w:pPr>
              <w:pStyle w:val="179"/>
              <w:rPr>
                <w:rFonts w:cs="Times New Roman"/>
                <w:kern w:val="0"/>
              </w:rPr>
            </w:pPr>
            <w:r>
              <w:rPr>
                <w:rFonts w:cs="Times New Roman"/>
                <w:kern w:val="0"/>
              </w:rPr>
              <w:t>ADMS</w:t>
            </w:r>
            <w:r>
              <w:rPr>
                <w:rFonts w:ascii="宋体" w:hAnsi="宋体" w:cs="Times New Roman"/>
                <w:kern w:val="0"/>
              </w:rPr>
              <w:t>□</w:t>
            </w:r>
          </w:p>
        </w:tc>
        <w:tc>
          <w:tcPr>
            <w:tcW w:w="528" w:type="pct"/>
            <w:gridSpan w:val="5"/>
            <w:noWrap/>
            <w:vAlign w:val="center"/>
          </w:tcPr>
          <w:p w14:paraId="5979B676">
            <w:pPr>
              <w:pStyle w:val="179"/>
              <w:rPr>
                <w:rFonts w:cs="Times New Roman"/>
                <w:kern w:val="0"/>
              </w:rPr>
            </w:pPr>
            <w:r>
              <w:rPr>
                <w:rFonts w:cs="Times New Roman"/>
                <w:kern w:val="0"/>
              </w:rPr>
              <w:t>AUSTAL2000</w:t>
            </w:r>
            <w:r>
              <w:rPr>
                <w:rFonts w:ascii="宋体" w:hAnsi="宋体" w:cs="Times New Roman"/>
                <w:kern w:val="0"/>
              </w:rPr>
              <w:t>□</w:t>
            </w:r>
          </w:p>
        </w:tc>
        <w:tc>
          <w:tcPr>
            <w:tcW w:w="528" w:type="pct"/>
            <w:gridSpan w:val="6"/>
            <w:noWrap/>
            <w:vAlign w:val="center"/>
          </w:tcPr>
          <w:p w14:paraId="04DFC2EA">
            <w:pPr>
              <w:pStyle w:val="179"/>
              <w:rPr>
                <w:rFonts w:cs="Times New Roman"/>
                <w:kern w:val="0"/>
              </w:rPr>
            </w:pPr>
            <w:r>
              <w:rPr>
                <w:rFonts w:cs="Times New Roman"/>
                <w:kern w:val="0"/>
              </w:rPr>
              <w:t>EDMS/AEDT</w:t>
            </w:r>
            <w:r>
              <w:rPr>
                <w:rFonts w:ascii="宋体" w:hAnsi="宋体" w:cs="Times New Roman"/>
                <w:kern w:val="0"/>
              </w:rPr>
              <w:t>□</w:t>
            </w:r>
          </w:p>
        </w:tc>
        <w:tc>
          <w:tcPr>
            <w:tcW w:w="528" w:type="pct"/>
            <w:gridSpan w:val="6"/>
            <w:noWrap/>
            <w:vAlign w:val="center"/>
          </w:tcPr>
          <w:p w14:paraId="6D9CFC72">
            <w:pPr>
              <w:pStyle w:val="179"/>
              <w:rPr>
                <w:rFonts w:cs="Times New Roman"/>
                <w:kern w:val="0"/>
              </w:rPr>
            </w:pPr>
            <w:r>
              <w:rPr>
                <w:rFonts w:cs="Times New Roman"/>
                <w:kern w:val="0"/>
              </w:rPr>
              <w:t>CALPUFF</w:t>
            </w:r>
            <w:r>
              <w:rPr>
                <w:rFonts w:ascii="宋体" w:hAnsi="宋体" w:cs="Times New Roman"/>
                <w:kern w:val="0"/>
              </w:rPr>
              <w:t>□</w:t>
            </w:r>
          </w:p>
        </w:tc>
        <w:tc>
          <w:tcPr>
            <w:tcW w:w="552" w:type="pct"/>
            <w:gridSpan w:val="3"/>
            <w:noWrap/>
            <w:vAlign w:val="center"/>
          </w:tcPr>
          <w:p w14:paraId="6850504A">
            <w:pPr>
              <w:pStyle w:val="179"/>
              <w:rPr>
                <w:rFonts w:ascii="宋体" w:hAnsi="宋体" w:cs="Times New Roman"/>
                <w:kern w:val="0"/>
              </w:rPr>
            </w:pPr>
            <w:r>
              <w:rPr>
                <w:rFonts w:ascii="宋体" w:hAnsi="宋体" w:cs="Times New Roman"/>
                <w:kern w:val="0"/>
              </w:rPr>
              <w:t>网络模型□</w:t>
            </w:r>
          </w:p>
        </w:tc>
        <w:tc>
          <w:tcPr>
            <w:tcW w:w="505" w:type="pct"/>
            <w:noWrap/>
            <w:vAlign w:val="center"/>
          </w:tcPr>
          <w:p w14:paraId="61DD8471">
            <w:pPr>
              <w:pStyle w:val="179"/>
              <w:rPr>
                <w:rFonts w:ascii="宋体" w:hAnsi="宋体" w:cs="Times New Roman"/>
                <w:kern w:val="0"/>
              </w:rPr>
            </w:pPr>
            <w:r>
              <w:rPr>
                <w:rFonts w:ascii="宋体" w:hAnsi="宋体" w:cs="Times New Roman"/>
                <w:kern w:val="0"/>
              </w:rPr>
              <w:t>其他□</w:t>
            </w:r>
          </w:p>
        </w:tc>
      </w:tr>
      <w:tr w14:paraId="343A043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455" w:type="pct"/>
            <w:vMerge w:val="continue"/>
            <w:noWrap/>
            <w:vAlign w:val="center"/>
          </w:tcPr>
          <w:p w14:paraId="27871D52">
            <w:pPr>
              <w:pStyle w:val="179"/>
              <w:rPr>
                <w:rFonts w:cs="Times New Roman"/>
                <w:kern w:val="0"/>
              </w:rPr>
            </w:pPr>
          </w:p>
        </w:tc>
        <w:tc>
          <w:tcPr>
            <w:tcW w:w="848" w:type="pct"/>
            <w:noWrap/>
            <w:vAlign w:val="center"/>
          </w:tcPr>
          <w:p w14:paraId="6E0E0621">
            <w:pPr>
              <w:pStyle w:val="179"/>
              <w:rPr>
                <w:rFonts w:ascii="宋体" w:hAnsi="宋体" w:cs="Times New Roman"/>
                <w:kern w:val="0"/>
              </w:rPr>
            </w:pPr>
            <w:r>
              <w:rPr>
                <w:rFonts w:ascii="宋体" w:hAnsi="宋体" w:cs="Times New Roman"/>
                <w:kern w:val="0"/>
              </w:rPr>
              <w:t>预测范围</w:t>
            </w:r>
          </w:p>
        </w:tc>
        <w:tc>
          <w:tcPr>
            <w:tcW w:w="1093" w:type="pct"/>
            <w:gridSpan w:val="6"/>
            <w:noWrap/>
            <w:vAlign w:val="center"/>
          </w:tcPr>
          <w:p w14:paraId="5A2568CC">
            <w:pPr>
              <w:pStyle w:val="179"/>
              <w:rPr>
                <w:rFonts w:ascii="宋体" w:hAnsi="宋体" w:cs="Times New Roman"/>
                <w:kern w:val="0"/>
              </w:rPr>
            </w:pPr>
            <w:r>
              <w:rPr>
                <w:rFonts w:ascii="宋体" w:hAnsi="宋体" w:cs="Times New Roman"/>
                <w:kern w:val="0"/>
              </w:rPr>
              <w:t>边长≥50km□</w:t>
            </w:r>
          </w:p>
        </w:tc>
        <w:tc>
          <w:tcPr>
            <w:tcW w:w="1310" w:type="pct"/>
            <w:gridSpan w:val="12"/>
            <w:noWrap/>
            <w:vAlign w:val="center"/>
          </w:tcPr>
          <w:p w14:paraId="3AA23B96">
            <w:pPr>
              <w:pStyle w:val="179"/>
              <w:rPr>
                <w:rFonts w:ascii="宋体" w:hAnsi="宋体" w:cs="Times New Roman"/>
                <w:kern w:val="0"/>
              </w:rPr>
            </w:pPr>
            <w:r>
              <w:rPr>
                <w:rFonts w:ascii="宋体" w:hAnsi="宋体" w:cs="Times New Roman"/>
                <w:kern w:val="0"/>
              </w:rPr>
              <w:t>边长5～50km□</w:t>
            </w:r>
          </w:p>
        </w:tc>
        <w:tc>
          <w:tcPr>
            <w:tcW w:w="1294" w:type="pct"/>
            <w:gridSpan w:val="8"/>
            <w:noWrap/>
            <w:vAlign w:val="center"/>
          </w:tcPr>
          <w:p w14:paraId="73081863">
            <w:pPr>
              <w:pStyle w:val="179"/>
              <w:rPr>
                <w:rFonts w:ascii="宋体" w:hAnsi="宋体" w:cs="Times New Roman"/>
                <w:kern w:val="0"/>
              </w:rPr>
            </w:pPr>
            <w:r>
              <w:rPr>
                <w:rFonts w:ascii="宋体" w:hAnsi="宋体" w:cs="Times New Roman"/>
                <w:kern w:val="0"/>
              </w:rPr>
              <w:t>边长=5km□</w:t>
            </w:r>
          </w:p>
        </w:tc>
      </w:tr>
      <w:tr w14:paraId="30FDB7D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455" w:type="pct"/>
            <w:vMerge w:val="continue"/>
            <w:noWrap/>
            <w:vAlign w:val="center"/>
          </w:tcPr>
          <w:p w14:paraId="614170E7">
            <w:pPr>
              <w:pStyle w:val="179"/>
              <w:rPr>
                <w:rFonts w:cs="Times New Roman"/>
                <w:kern w:val="0"/>
              </w:rPr>
            </w:pPr>
          </w:p>
        </w:tc>
        <w:tc>
          <w:tcPr>
            <w:tcW w:w="848" w:type="pct"/>
            <w:noWrap/>
            <w:vAlign w:val="center"/>
          </w:tcPr>
          <w:p w14:paraId="3B180C26">
            <w:pPr>
              <w:pStyle w:val="179"/>
              <w:rPr>
                <w:rFonts w:cs="Times New Roman"/>
                <w:kern w:val="0"/>
              </w:rPr>
            </w:pPr>
            <w:r>
              <w:rPr>
                <w:rFonts w:cs="Times New Roman"/>
                <w:kern w:val="0"/>
              </w:rPr>
              <w:t>预测因子</w:t>
            </w:r>
          </w:p>
        </w:tc>
        <w:tc>
          <w:tcPr>
            <w:tcW w:w="2096" w:type="pct"/>
            <w:gridSpan w:val="15"/>
            <w:noWrap/>
            <w:vAlign w:val="center"/>
          </w:tcPr>
          <w:p w14:paraId="69E5F985">
            <w:pPr>
              <w:pStyle w:val="179"/>
              <w:rPr>
                <w:rFonts w:cs="Times New Roman"/>
                <w:kern w:val="0"/>
              </w:rPr>
            </w:pPr>
            <w:r>
              <w:rPr>
                <w:rFonts w:cs="Times New Roman"/>
                <w:kern w:val="0"/>
              </w:rPr>
              <w:t>预测因子（）</w:t>
            </w:r>
          </w:p>
        </w:tc>
        <w:tc>
          <w:tcPr>
            <w:tcW w:w="1601" w:type="pct"/>
            <w:gridSpan w:val="11"/>
            <w:noWrap/>
            <w:vAlign w:val="center"/>
          </w:tcPr>
          <w:p w14:paraId="054978E2">
            <w:pPr>
              <w:pStyle w:val="179"/>
              <w:jc w:val="both"/>
              <w:rPr>
                <w:rFonts w:cs="Times New Roman"/>
                <w:kern w:val="0"/>
              </w:rPr>
            </w:pPr>
            <w:r>
              <w:rPr>
                <w:rFonts w:cs="Times New Roman"/>
                <w:kern w:val="0"/>
              </w:rPr>
              <w:t>包括二次PM</w:t>
            </w:r>
            <w:r>
              <w:rPr>
                <w:rFonts w:cs="Times New Roman"/>
                <w:kern w:val="0"/>
                <w:vertAlign w:val="subscript"/>
              </w:rPr>
              <w:t>2.5</w:t>
            </w:r>
            <w:r>
              <w:rPr>
                <w:rFonts w:cs="Times New Roman"/>
                <w:kern w:val="0"/>
              </w:rPr>
              <w:t xml:space="preserve">□ </w:t>
            </w:r>
          </w:p>
          <w:p w14:paraId="2ABB980E">
            <w:pPr>
              <w:pStyle w:val="179"/>
              <w:jc w:val="both"/>
              <w:rPr>
                <w:rFonts w:cs="Times New Roman"/>
                <w:kern w:val="0"/>
              </w:rPr>
            </w:pPr>
            <w:r>
              <w:rPr>
                <w:rFonts w:cs="Times New Roman"/>
                <w:kern w:val="0"/>
              </w:rPr>
              <w:t>不包括PM</w:t>
            </w:r>
            <w:r>
              <w:rPr>
                <w:rFonts w:cs="Times New Roman"/>
                <w:kern w:val="0"/>
                <w:vertAlign w:val="subscript"/>
              </w:rPr>
              <w:t>2.5</w:t>
            </w:r>
            <w:r>
              <w:rPr>
                <w:rFonts w:cs="Times New Roman"/>
                <w:kern w:val="0"/>
              </w:rPr>
              <w:t>□</w:t>
            </w:r>
          </w:p>
        </w:tc>
      </w:tr>
      <w:tr w14:paraId="2E30D32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455" w:type="pct"/>
            <w:vMerge w:val="continue"/>
            <w:noWrap/>
            <w:vAlign w:val="center"/>
          </w:tcPr>
          <w:p w14:paraId="50E6A07B">
            <w:pPr>
              <w:pStyle w:val="179"/>
              <w:rPr>
                <w:rFonts w:cs="Times New Roman"/>
                <w:kern w:val="0"/>
              </w:rPr>
            </w:pPr>
          </w:p>
        </w:tc>
        <w:tc>
          <w:tcPr>
            <w:tcW w:w="848" w:type="pct"/>
            <w:noWrap/>
            <w:vAlign w:val="center"/>
          </w:tcPr>
          <w:p w14:paraId="3BD66356">
            <w:pPr>
              <w:pStyle w:val="179"/>
              <w:rPr>
                <w:rFonts w:cs="Times New Roman"/>
                <w:kern w:val="0"/>
              </w:rPr>
            </w:pPr>
            <w:r>
              <w:rPr>
                <w:rFonts w:cs="Times New Roman"/>
                <w:kern w:val="0"/>
              </w:rPr>
              <w:t>正常排放短期浓度贡献值</w:t>
            </w:r>
          </w:p>
        </w:tc>
        <w:tc>
          <w:tcPr>
            <w:tcW w:w="2096" w:type="pct"/>
            <w:gridSpan w:val="15"/>
            <w:noWrap/>
            <w:vAlign w:val="center"/>
          </w:tcPr>
          <w:p w14:paraId="1FB9DFDB">
            <w:pPr>
              <w:pStyle w:val="179"/>
              <w:rPr>
                <w:rFonts w:cs="Times New Roman"/>
                <w:kern w:val="0"/>
              </w:rPr>
            </w:pPr>
            <w:r>
              <w:rPr>
                <w:rFonts w:cs="Times New Roman"/>
                <w:kern w:val="0"/>
              </w:rPr>
              <w:t>C</w:t>
            </w:r>
            <w:r>
              <w:rPr>
                <w:rFonts w:cs="Times New Roman"/>
                <w:kern w:val="0"/>
                <w:vertAlign w:val="subscript"/>
              </w:rPr>
              <w:t>本项目</w:t>
            </w:r>
            <w:r>
              <w:rPr>
                <w:rFonts w:cs="Times New Roman"/>
                <w:kern w:val="0"/>
              </w:rPr>
              <w:t>最大占标率≤100%</w:t>
            </w:r>
            <w:r>
              <w:rPr>
                <w:rFonts w:ascii="宋体" w:hAnsi="宋体" w:cs="Times New Roman"/>
                <w:kern w:val="0"/>
              </w:rPr>
              <w:t>□</w:t>
            </w:r>
          </w:p>
        </w:tc>
        <w:tc>
          <w:tcPr>
            <w:tcW w:w="1601" w:type="pct"/>
            <w:gridSpan w:val="11"/>
            <w:noWrap/>
            <w:vAlign w:val="center"/>
          </w:tcPr>
          <w:p w14:paraId="5BEF58E3">
            <w:pPr>
              <w:pStyle w:val="179"/>
              <w:rPr>
                <w:rFonts w:cs="Times New Roman"/>
                <w:kern w:val="0"/>
              </w:rPr>
            </w:pPr>
            <w:r>
              <w:rPr>
                <w:rFonts w:cs="Times New Roman"/>
                <w:kern w:val="0"/>
              </w:rPr>
              <w:t>C</w:t>
            </w:r>
            <w:r>
              <w:rPr>
                <w:rFonts w:cs="Times New Roman"/>
                <w:kern w:val="0"/>
                <w:vertAlign w:val="subscript"/>
              </w:rPr>
              <w:t>本项目</w:t>
            </w:r>
            <w:r>
              <w:rPr>
                <w:rFonts w:cs="Times New Roman"/>
                <w:kern w:val="0"/>
              </w:rPr>
              <w:t>最大占标率＞100%</w:t>
            </w:r>
            <w:r>
              <w:rPr>
                <w:rFonts w:ascii="宋体" w:hAnsi="宋体" w:cs="Times New Roman"/>
                <w:kern w:val="0"/>
              </w:rPr>
              <w:t>□</w:t>
            </w:r>
          </w:p>
        </w:tc>
      </w:tr>
      <w:tr w14:paraId="26A5F8E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455" w:type="pct"/>
            <w:vMerge w:val="continue"/>
            <w:noWrap/>
            <w:vAlign w:val="center"/>
          </w:tcPr>
          <w:p w14:paraId="0B97D129">
            <w:pPr>
              <w:pStyle w:val="179"/>
              <w:rPr>
                <w:rFonts w:cs="Times New Roman"/>
                <w:kern w:val="0"/>
              </w:rPr>
            </w:pPr>
          </w:p>
        </w:tc>
        <w:tc>
          <w:tcPr>
            <w:tcW w:w="848" w:type="pct"/>
            <w:vMerge w:val="restart"/>
            <w:noWrap/>
            <w:vAlign w:val="center"/>
          </w:tcPr>
          <w:p w14:paraId="752CD35D">
            <w:pPr>
              <w:pStyle w:val="179"/>
              <w:rPr>
                <w:rFonts w:cs="Times New Roman"/>
                <w:kern w:val="0"/>
              </w:rPr>
            </w:pPr>
            <w:r>
              <w:rPr>
                <w:rFonts w:cs="Times New Roman"/>
                <w:kern w:val="0"/>
              </w:rPr>
              <w:t>正常排放年均浓度贡献值</w:t>
            </w:r>
          </w:p>
        </w:tc>
        <w:tc>
          <w:tcPr>
            <w:tcW w:w="588" w:type="pct"/>
            <w:gridSpan w:val="2"/>
            <w:noWrap/>
            <w:vAlign w:val="center"/>
          </w:tcPr>
          <w:p w14:paraId="4981BFCB">
            <w:pPr>
              <w:pStyle w:val="179"/>
              <w:rPr>
                <w:rFonts w:cs="Times New Roman"/>
                <w:kern w:val="0"/>
              </w:rPr>
            </w:pPr>
            <w:r>
              <w:rPr>
                <w:rFonts w:cs="Times New Roman"/>
                <w:kern w:val="0"/>
              </w:rPr>
              <w:t>一类区</w:t>
            </w:r>
          </w:p>
        </w:tc>
        <w:tc>
          <w:tcPr>
            <w:tcW w:w="1508" w:type="pct"/>
            <w:gridSpan w:val="13"/>
            <w:noWrap/>
            <w:vAlign w:val="center"/>
          </w:tcPr>
          <w:p w14:paraId="59E3D66E">
            <w:pPr>
              <w:pStyle w:val="179"/>
              <w:rPr>
                <w:rFonts w:cs="Times New Roman"/>
                <w:kern w:val="0"/>
              </w:rPr>
            </w:pPr>
            <w:r>
              <w:rPr>
                <w:rFonts w:cs="Times New Roman"/>
                <w:kern w:val="0"/>
              </w:rPr>
              <w:t>C</w:t>
            </w:r>
            <w:r>
              <w:rPr>
                <w:rFonts w:cs="Times New Roman"/>
                <w:kern w:val="0"/>
                <w:vertAlign w:val="subscript"/>
              </w:rPr>
              <w:t>本项目</w:t>
            </w:r>
            <w:r>
              <w:rPr>
                <w:rFonts w:cs="Times New Roman"/>
                <w:kern w:val="0"/>
              </w:rPr>
              <w:t>最大占标率≤10%</w:t>
            </w:r>
            <w:r>
              <w:rPr>
                <w:rFonts w:ascii="宋体" w:hAnsi="宋体" w:cs="Times New Roman"/>
                <w:kern w:val="0"/>
              </w:rPr>
              <w:t>□</w:t>
            </w:r>
          </w:p>
        </w:tc>
        <w:tc>
          <w:tcPr>
            <w:tcW w:w="1601" w:type="pct"/>
            <w:gridSpan w:val="11"/>
            <w:noWrap/>
            <w:vAlign w:val="center"/>
          </w:tcPr>
          <w:p w14:paraId="395F634C">
            <w:pPr>
              <w:pStyle w:val="179"/>
              <w:rPr>
                <w:rFonts w:cs="Times New Roman"/>
                <w:kern w:val="0"/>
              </w:rPr>
            </w:pPr>
            <w:r>
              <w:rPr>
                <w:rFonts w:cs="Times New Roman"/>
                <w:kern w:val="0"/>
              </w:rPr>
              <w:t>C</w:t>
            </w:r>
            <w:r>
              <w:rPr>
                <w:rFonts w:cs="Times New Roman"/>
                <w:kern w:val="0"/>
                <w:vertAlign w:val="subscript"/>
              </w:rPr>
              <w:t>本项目</w:t>
            </w:r>
            <w:r>
              <w:rPr>
                <w:rFonts w:cs="Times New Roman"/>
                <w:kern w:val="0"/>
              </w:rPr>
              <w:t>最大占标率＞10%</w:t>
            </w:r>
            <w:r>
              <w:rPr>
                <w:rFonts w:ascii="宋体" w:hAnsi="宋体" w:cs="Times New Roman"/>
                <w:kern w:val="0"/>
              </w:rPr>
              <w:t>□</w:t>
            </w:r>
          </w:p>
        </w:tc>
      </w:tr>
      <w:tr w14:paraId="43162C1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455" w:type="pct"/>
            <w:vMerge w:val="continue"/>
            <w:noWrap/>
            <w:vAlign w:val="center"/>
          </w:tcPr>
          <w:p w14:paraId="178CC2B5">
            <w:pPr>
              <w:pStyle w:val="179"/>
              <w:rPr>
                <w:rFonts w:cs="Times New Roman"/>
                <w:kern w:val="0"/>
              </w:rPr>
            </w:pPr>
          </w:p>
        </w:tc>
        <w:tc>
          <w:tcPr>
            <w:tcW w:w="848" w:type="pct"/>
            <w:vMerge w:val="continue"/>
            <w:noWrap/>
            <w:vAlign w:val="center"/>
          </w:tcPr>
          <w:p w14:paraId="3B6BEABB">
            <w:pPr>
              <w:pStyle w:val="179"/>
              <w:rPr>
                <w:rFonts w:cs="Times New Roman"/>
                <w:kern w:val="0"/>
              </w:rPr>
            </w:pPr>
          </w:p>
        </w:tc>
        <w:tc>
          <w:tcPr>
            <w:tcW w:w="588" w:type="pct"/>
            <w:gridSpan w:val="2"/>
            <w:noWrap/>
            <w:vAlign w:val="center"/>
          </w:tcPr>
          <w:p w14:paraId="5092DCF7">
            <w:pPr>
              <w:pStyle w:val="179"/>
              <w:rPr>
                <w:rFonts w:cs="Times New Roman"/>
                <w:kern w:val="0"/>
              </w:rPr>
            </w:pPr>
            <w:r>
              <w:rPr>
                <w:rFonts w:cs="Times New Roman"/>
                <w:kern w:val="0"/>
              </w:rPr>
              <w:t>二类区</w:t>
            </w:r>
          </w:p>
        </w:tc>
        <w:tc>
          <w:tcPr>
            <w:tcW w:w="1508" w:type="pct"/>
            <w:gridSpan w:val="13"/>
            <w:noWrap/>
            <w:vAlign w:val="center"/>
          </w:tcPr>
          <w:p w14:paraId="39FCB8F3">
            <w:pPr>
              <w:pStyle w:val="179"/>
              <w:rPr>
                <w:rFonts w:cs="Times New Roman"/>
                <w:kern w:val="0"/>
              </w:rPr>
            </w:pPr>
            <w:r>
              <w:rPr>
                <w:rFonts w:cs="Times New Roman"/>
                <w:kern w:val="0"/>
              </w:rPr>
              <w:t>C</w:t>
            </w:r>
            <w:r>
              <w:rPr>
                <w:rFonts w:cs="Times New Roman"/>
                <w:kern w:val="0"/>
                <w:vertAlign w:val="subscript"/>
              </w:rPr>
              <w:t>本项目</w:t>
            </w:r>
            <w:r>
              <w:rPr>
                <w:rFonts w:cs="Times New Roman"/>
                <w:kern w:val="0"/>
              </w:rPr>
              <w:t>最大占标率≤30%</w:t>
            </w:r>
            <w:r>
              <w:rPr>
                <w:rFonts w:ascii="宋体" w:hAnsi="宋体" w:cs="Times New Roman"/>
                <w:kern w:val="0"/>
              </w:rPr>
              <w:t>□</w:t>
            </w:r>
          </w:p>
        </w:tc>
        <w:tc>
          <w:tcPr>
            <w:tcW w:w="1601" w:type="pct"/>
            <w:gridSpan w:val="11"/>
            <w:noWrap/>
            <w:vAlign w:val="center"/>
          </w:tcPr>
          <w:p w14:paraId="6761B00A">
            <w:pPr>
              <w:pStyle w:val="179"/>
              <w:rPr>
                <w:rFonts w:cs="Times New Roman"/>
                <w:kern w:val="0"/>
              </w:rPr>
            </w:pPr>
            <w:r>
              <w:rPr>
                <w:rFonts w:cs="Times New Roman"/>
                <w:kern w:val="0"/>
              </w:rPr>
              <w:t>C</w:t>
            </w:r>
            <w:r>
              <w:rPr>
                <w:rFonts w:cs="Times New Roman"/>
                <w:kern w:val="0"/>
                <w:vertAlign w:val="subscript"/>
              </w:rPr>
              <w:t>本项目</w:t>
            </w:r>
            <w:r>
              <w:rPr>
                <w:rFonts w:cs="Times New Roman"/>
                <w:kern w:val="0"/>
              </w:rPr>
              <w:t>最大占标率＞30%</w:t>
            </w:r>
            <w:r>
              <w:rPr>
                <w:rFonts w:ascii="宋体" w:hAnsi="宋体" w:cs="Times New Roman"/>
                <w:kern w:val="0"/>
              </w:rPr>
              <w:t>□</w:t>
            </w:r>
          </w:p>
        </w:tc>
      </w:tr>
      <w:tr w14:paraId="32F8B4A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455" w:type="pct"/>
            <w:vMerge w:val="continue"/>
            <w:noWrap/>
            <w:vAlign w:val="center"/>
          </w:tcPr>
          <w:p w14:paraId="7767D032">
            <w:pPr>
              <w:pStyle w:val="179"/>
              <w:rPr>
                <w:rFonts w:cs="Times New Roman"/>
                <w:kern w:val="0"/>
              </w:rPr>
            </w:pPr>
          </w:p>
        </w:tc>
        <w:tc>
          <w:tcPr>
            <w:tcW w:w="848" w:type="pct"/>
            <w:noWrap/>
            <w:vAlign w:val="center"/>
          </w:tcPr>
          <w:p w14:paraId="3C7397DC">
            <w:pPr>
              <w:pStyle w:val="179"/>
              <w:rPr>
                <w:rFonts w:cs="Times New Roman"/>
                <w:kern w:val="0"/>
              </w:rPr>
            </w:pPr>
            <w:r>
              <w:rPr>
                <w:rFonts w:cs="Times New Roman"/>
                <w:kern w:val="0"/>
              </w:rPr>
              <w:t>非正常排放1h浓度贡献值</w:t>
            </w:r>
          </w:p>
        </w:tc>
        <w:tc>
          <w:tcPr>
            <w:tcW w:w="1233" w:type="pct"/>
            <w:gridSpan w:val="8"/>
            <w:noWrap/>
            <w:vAlign w:val="center"/>
          </w:tcPr>
          <w:p w14:paraId="2537B8B9">
            <w:pPr>
              <w:pStyle w:val="179"/>
              <w:rPr>
                <w:rFonts w:cs="Times New Roman"/>
                <w:kern w:val="0"/>
              </w:rPr>
            </w:pPr>
            <w:r>
              <w:rPr>
                <w:rFonts w:cs="Times New Roman"/>
                <w:kern w:val="0"/>
              </w:rPr>
              <w:t>非正常持续时长（）h</w:t>
            </w:r>
          </w:p>
        </w:tc>
        <w:tc>
          <w:tcPr>
            <w:tcW w:w="1233" w:type="pct"/>
            <w:gridSpan w:val="11"/>
            <w:noWrap/>
            <w:vAlign w:val="center"/>
          </w:tcPr>
          <w:p w14:paraId="1193D4ED">
            <w:pPr>
              <w:pStyle w:val="179"/>
              <w:rPr>
                <w:rFonts w:cs="Times New Roman"/>
                <w:kern w:val="0"/>
              </w:rPr>
            </w:pPr>
            <w:r>
              <w:rPr>
                <w:rFonts w:cs="Times New Roman"/>
                <w:kern w:val="0"/>
              </w:rPr>
              <w:t>C</w:t>
            </w:r>
            <w:r>
              <w:rPr>
                <w:rFonts w:cs="Times New Roman"/>
                <w:kern w:val="0"/>
                <w:vertAlign w:val="subscript"/>
              </w:rPr>
              <w:t>非正常</w:t>
            </w:r>
            <w:r>
              <w:rPr>
                <w:rFonts w:cs="Times New Roman"/>
                <w:kern w:val="0"/>
              </w:rPr>
              <w:t>占标率≤100%</w:t>
            </w:r>
            <w:r>
              <w:rPr>
                <w:rFonts w:ascii="宋体" w:hAnsi="宋体" w:cs="Times New Roman"/>
                <w:kern w:val="0"/>
              </w:rPr>
              <w:t>□</w:t>
            </w:r>
          </w:p>
        </w:tc>
        <w:tc>
          <w:tcPr>
            <w:tcW w:w="1231" w:type="pct"/>
            <w:gridSpan w:val="7"/>
            <w:noWrap/>
            <w:vAlign w:val="center"/>
          </w:tcPr>
          <w:p w14:paraId="4D3F24A3">
            <w:pPr>
              <w:pStyle w:val="179"/>
              <w:rPr>
                <w:rFonts w:cs="Times New Roman"/>
                <w:kern w:val="0"/>
              </w:rPr>
            </w:pPr>
            <w:r>
              <w:rPr>
                <w:rFonts w:cs="Times New Roman"/>
                <w:kern w:val="0"/>
              </w:rPr>
              <w:t>C</w:t>
            </w:r>
            <w:r>
              <w:rPr>
                <w:rFonts w:cs="Times New Roman"/>
                <w:kern w:val="0"/>
                <w:vertAlign w:val="subscript"/>
              </w:rPr>
              <w:t>非正常</w:t>
            </w:r>
            <w:r>
              <w:rPr>
                <w:rFonts w:cs="Times New Roman"/>
                <w:kern w:val="0"/>
              </w:rPr>
              <w:t>占标率＞100%</w:t>
            </w:r>
            <w:r>
              <w:rPr>
                <w:rFonts w:ascii="宋体" w:hAnsi="宋体" w:cs="Times New Roman"/>
                <w:kern w:val="0"/>
              </w:rPr>
              <w:t>□</w:t>
            </w:r>
          </w:p>
        </w:tc>
      </w:tr>
      <w:tr w14:paraId="2197760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455" w:type="pct"/>
            <w:vMerge w:val="continue"/>
            <w:noWrap/>
            <w:vAlign w:val="center"/>
          </w:tcPr>
          <w:p w14:paraId="0F939C48">
            <w:pPr>
              <w:pStyle w:val="179"/>
              <w:rPr>
                <w:rFonts w:cs="Times New Roman"/>
                <w:kern w:val="0"/>
              </w:rPr>
            </w:pPr>
          </w:p>
        </w:tc>
        <w:tc>
          <w:tcPr>
            <w:tcW w:w="848" w:type="pct"/>
            <w:noWrap/>
            <w:vAlign w:val="center"/>
          </w:tcPr>
          <w:p w14:paraId="60F1BB65">
            <w:pPr>
              <w:pStyle w:val="179"/>
              <w:rPr>
                <w:rFonts w:cs="Times New Roman"/>
                <w:kern w:val="0"/>
              </w:rPr>
            </w:pPr>
            <w:r>
              <w:rPr>
                <w:rFonts w:cs="Times New Roman"/>
                <w:kern w:val="0"/>
              </w:rPr>
              <w:t>保证率日平均浓度和年平均浓度叠加值</w:t>
            </w:r>
          </w:p>
        </w:tc>
        <w:tc>
          <w:tcPr>
            <w:tcW w:w="1813" w:type="pct"/>
            <w:gridSpan w:val="14"/>
            <w:noWrap/>
            <w:vAlign w:val="center"/>
          </w:tcPr>
          <w:p w14:paraId="51F897F6">
            <w:pPr>
              <w:pStyle w:val="179"/>
              <w:rPr>
                <w:rFonts w:cs="Times New Roman"/>
                <w:kern w:val="0"/>
              </w:rPr>
            </w:pPr>
            <w:r>
              <w:rPr>
                <w:rFonts w:cs="Times New Roman"/>
                <w:kern w:val="0"/>
              </w:rPr>
              <w:t>C</w:t>
            </w:r>
            <w:r>
              <w:rPr>
                <w:rFonts w:cs="Times New Roman"/>
                <w:kern w:val="0"/>
                <w:vertAlign w:val="subscript"/>
              </w:rPr>
              <w:t>叠加</w:t>
            </w:r>
            <w:r>
              <w:rPr>
                <w:rFonts w:cs="Times New Roman"/>
                <w:kern w:val="0"/>
              </w:rPr>
              <w:t>达标</w:t>
            </w:r>
            <w:r>
              <w:rPr>
                <w:rFonts w:ascii="宋体" w:hAnsi="宋体" w:cs="Times New Roman"/>
                <w:kern w:val="0"/>
              </w:rPr>
              <w:t>□</w:t>
            </w:r>
          </w:p>
        </w:tc>
        <w:tc>
          <w:tcPr>
            <w:tcW w:w="1884" w:type="pct"/>
            <w:gridSpan w:val="12"/>
            <w:noWrap/>
            <w:vAlign w:val="center"/>
          </w:tcPr>
          <w:p w14:paraId="582FEC23">
            <w:pPr>
              <w:pStyle w:val="179"/>
              <w:rPr>
                <w:rFonts w:cs="Times New Roman"/>
                <w:kern w:val="0"/>
              </w:rPr>
            </w:pPr>
            <w:r>
              <w:rPr>
                <w:rFonts w:cs="Times New Roman"/>
                <w:kern w:val="0"/>
              </w:rPr>
              <w:t>C</w:t>
            </w:r>
            <w:r>
              <w:rPr>
                <w:rFonts w:cs="Times New Roman"/>
                <w:kern w:val="0"/>
                <w:vertAlign w:val="subscript"/>
              </w:rPr>
              <w:t>叠加</w:t>
            </w:r>
            <w:r>
              <w:rPr>
                <w:rFonts w:cs="Times New Roman"/>
                <w:kern w:val="0"/>
              </w:rPr>
              <w:t>不达标</w:t>
            </w:r>
            <w:r>
              <w:rPr>
                <w:rFonts w:ascii="宋体" w:hAnsi="宋体" w:cs="Times New Roman"/>
                <w:kern w:val="0"/>
              </w:rPr>
              <w:t>□</w:t>
            </w:r>
          </w:p>
        </w:tc>
      </w:tr>
      <w:tr w14:paraId="29ED16E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455" w:type="pct"/>
            <w:vMerge w:val="continue"/>
            <w:noWrap/>
            <w:vAlign w:val="center"/>
          </w:tcPr>
          <w:p w14:paraId="19F4D9B6">
            <w:pPr>
              <w:pStyle w:val="179"/>
              <w:rPr>
                <w:rFonts w:cs="Times New Roman"/>
                <w:kern w:val="0"/>
              </w:rPr>
            </w:pPr>
          </w:p>
        </w:tc>
        <w:tc>
          <w:tcPr>
            <w:tcW w:w="848" w:type="pct"/>
            <w:noWrap/>
            <w:vAlign w:val="center"/>
          </w:tcPr>
          <w:p w14:paraId="31FED5BD">
            <w:pPr>
              <w:pStyle w:val="179"/>
              <w:rPr>
                <w:rFonts w:cs="Times New Roman"/>
                <w:kern w:val="0"/>
              </w:rPr>
            </w:pPr>
            <w:r>
              <w:rPr>
                <w:rFonts w:cs="Times New Roman"/>
                <w:kern w:val="0"/>
              </w:rPr>
              <w:t>区域环境质量的整体变化情况</w:t>
            </w:r>
          </w:p>
        </w:tc>
        <w:tc>
          <w:tcPr>
            <w:tcW w:w="1813" w:type="pct"/>
            <w:gridSpan w:val="14"/>
            <w:noWrap/>
            <w:vAlign w:val="center"/>
          </w:tcPr>
          <w:p w14:paraId="216C0378">
            <w:pPr>
              <w:pStyle w:val="179"/>
              <w:rPr>
                <w:rFonts w:cs="Times New Roman"/>
                <w:kern w:val="0"/>
              </w:rPr>
            </w:pPr>
            <w:r>
              <w:rPr>
                <w:rFonts w:cs="Times New Roman"/>
                <w:kern w:val="0"/>
              </w:rPr>
              <w:t>k≤-20%</w:t>
            </w:r>
            <w:r>
              <w:rPr>
                <w:rFonts w:ascii="宋体" w:hAnsi="宋体" w:cs="Times New Roman"/>
                <w:kern w:val="0"/>
              </w:rPr>
              <w:t>□</w:t>
            </w:r>
          </w:p>
        </w:tc>
        <w:tc>
          <w:tcPr>
            <w:tcW w:w="1884" w:type="pct"/>
            <w:gridSpan w:val="12"/>
            <w:noWrap/>
            <w:vAlign w:val="center"/>
          </w:tcPr>
          <w:p w14:paraId="00ADB287">
            <w:pPr>
              <w:pStyle w:val="179"/>
              <w:rPr>
                <w:rFonts w:cs="Times New Roman"/>
                <w:kern w:val="0"/>
              </w:rPr>
            </w:pPr>
            <w:r>
              <w:rPr>
                <w:rFonts w:cs="Times New Roman"/>
                <w:kern w:val="0"/>
              </w:rPr>
              <w:t>k&gt;-20%</w:t>
            </w:r>
            <w:r>
              <w:rPr>
                <w:rFonts w:ascii="宋体" w:hAnsi="宋体" w:cs="Times New Roman"/>
                <w:kern w:val="0"/>
              </w:rPr>
              <w:t>□</w:t>
            </w:r>
          </w:p>
        </w:tc>
      </w:tr>
      <w:tr w14:paraId="6861D51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455" w:type="pct"/>
            <w:vMerge w:val="restart"/>
            <w:noWrap/>
            <w:vAlign w:val="center"/>
          </w:tcPr>
          <w:p w14:paraId="383262F7">
            <w:pPr>
              <w:pStyle w:val="179"/>
              <w:rPr>
                <w:rFonts w:cs="Times New Roman"/>
                <w:kern w:val="0"/>
              </w:rPr>
            </w:pPr>
            <w:r>
              <w:rPr>
                <w:rFonts w:cs="Times New Roman"/>
                <w:kern w:val="0"/>
              </w:rPr>
              <w:t>环境监测计划</w:t>
            </w:r>
          </w:p>
        </w:tc>
        <w:tc>
          <w:tcPr>
            <w:tcW w:w="848" w:type="pct"/>
            <w:noWrap/>
            <w:vAlign w:val="center"/>
          </w:tcPr>
          <w:p w14:paraId="523EEE92">
            <w:pPr>
              <w:pStyle w:val="179"/>
              <w:rPr>
                <w:rFonts w:cs="Times New Roman"/>
                <w:kern w:val="0"/>
              </w:rPr>
            </w:pPr>
            <w:r>
              <w:rPr>
                <w:rFonts w:cs="Times New Roman"/>
                <w:kern w:val="0"/>
              </w:rPr>
              <w:t>污染源监测</w:t>
            </w:r>
          </w:p>
        </w:tc>
        <w:tc>
          <w:tcPr>
            <w:tcW w:w="1655" w:type="pct"/>
            <w:gridSpan w:val="11"/>
            <w:noWrap/>
            <w:vAlign w:val="center"/>
          </w:tcPr>
          <w:p w14:paraId="2B4ACD7A">
            <w:pPr>
              <w:pStyle w:val="179"/>
              <w:rPr>
                <w:rFonts w:cs="Times New Roman"/>
                <w:kern w:val="0"/>
              </w:rPr>
            </w:pPr>
            <w:r>
              <w:rPr>
                <w:rFonts w:cs="Times New Roman"/>
                <w:kern w:val="0"/>
              </w:rPr>
              <w:t>监测因子：（颗粒物）</w:t>
            </w:r>
          </w:p>
        </w:tc>
        <w:tc>
          <w:tcPr>
            <w:tcW w:w="1341" w:type="pct"/>
            <w:gridSpan w:val="13"/>
            <w:noWrap/>
            <w:vAlign w:val="center"/>
          </w:tcPr>
          <w:p w14:paraId="6BDA4D64">
            <w:pPr>
              <w:pStyle w:val="179"/>
              <w:rPr>
                <w:rFonts w:cs="Times New Roman"/>
                <w:kern w:val="0"/>
              </w:rPr>
            </w:pPr>
            <w:r>
              <w:rPr>
                <w:rFonts w:cs="Times New Roman"/>
                <w:kern w:val="0"/>
              </w:rPr>
              <w:t>有组织废气监测</w:t>
            </w:r>
            <w:r>
              <w:rPr>
                <w:rFonts w:ascii="宋体" w:hAnsi="宋体" w:cs="Times New Roman"/>
                <w:kern w:val="0"/>
              </w:rPr>
              <w:t>□</w:t>
            </w:r>
          </w:p>
          <w:p w14:paraId="2424F300">
            <w:pPr>
              <w:pStyle w:val="179"/>
              <w:rPr>
                <w:rFonts w:cs="Times New Roman"/>
                <w:kern w:val="0"/>
              </w:rPr>
            </w:pPr>
            <w:r>
              <w:rPr>
                <w:rFonts w:cs="Times New Roman"/>
                <w:kern w:val="0"/>
              </w:rPr>
              <w:t>无组织废气监测</w:t>
            </w:r>
            <w:r>
              <w:rPr>
                <w:rFonts w:ascii="Wingdings 2" w:hAnsi="Wingdings 2" w:cs="Times New Roman"/>
                <w:kern w:val="0"/>
              </w:rPr>
              <w:t></w:t>
            </w:r>
          </w:p>
        </w:tc>
        <w:tc>
          <w:tcPr>
            <w:tcW w:w="701" w:type="pct"/>
            <w:gridSpan w:val="2"/>
            <w:noWrap/>
            <w:vAlign w:val="center"/>
          </w:tcPr>
          <w:p w14:paraId="226CC403">
            <w:pPr>
              <w:pStyle w:val="179"/>
              <w:rPr>
                <w:rFonts w:cs="Times New Roman"/>
                <w:kern w:val="0"/>
              </w:rPr>
            </w:pPr>
            <w:r>
              <w:rPr>
                <w:rFonts w:cs="Times New Roman"/>
                <w:kern w:val="0"/>
              </w:rPr>
              <w:t>无监测□</w:t>
            </w:r>
          </w:p>
        </w:tc>
      </w:tr>
      <w:tr w14:paraId="51A12E0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455" w:type="pct"/>
            <w:vMerge w:val="continue"/>
            <w:noWrap/>
            <w:vAlign w:val="center"/>
          </w:tcPr>
          <w:p w14:paraId="1A193C08">
            <w:pPr>
              <w:pStyle w:val="179"/>
              <w:rPr>
                <w:rFonts w:cs="Times New Roman"/>
                <w:kern w:val="0"/>
              </w:rPr>
            </w:pPr>
          </w:p>
        </w:tc>
        <w:tc>
          <w:tcPr>
            <w:tcW w:w="848" w:type="pct"/>
            <w:noWrap/>
            <w:vAlign w:val="center"/>
          </w:tcPr>
          <w:p w14:paraId="26069E66">
            <w:pPr>
              <w:pStyle w:val="179"/>
              <w:rPr>
                <w:rFonts w:cs="Times New Roman"/>
                <w:kern w:val="0"/>
              </w:rPr>
            </w:pPr>
            <w:r>
              <w:rPr>
                <w:rFonts w:cs="Times New Roman"/>
                <w:kern w:val="0"/>
              </w:rPr>
              <w:t>环境质量监测</w:t>
            </w:r>
          </w:p>
        </w:tc>
        <w:tc>
          <w:tcPr>
            <w:tcW w:w="1655" w:type="pct"/>
            <w:gridSpan w:val="11"/>
            <w:noWrap/>
            <w:vAlign w:val="center"/>
          </w:tcPr>
          <w:p w14:paraId="04011CBF">
            <w:pPr>
              <w:pStyle w:val="179"/>
              <w:rPr>
                <w:rFonts w:cs="Times New Roman"/>
                <w:kern w:val="0"/>
              </w:rPr>
            </w:pPr>
            <w:r>
              <w:rPr>
                <w:rFonts w:cs="Times New Roman"/>
                <w:kern w:val="0"/>
              </w:rPr>
              <w:t>监测因子：（）</w:t>
            </w:r>
          </w:p>
        </w:tc>
        <w:tc>
          <w:tcPr>
            <w:tcW w:w="1341" w:type="pct"/>
            <w:gridSpan w:val="13"/>
            <w:noWrap/>
            <w:vAlign w:val="center"/>
          </w:tcPr>
          <w:p w14:paraId="05F52733">
            <w:pPr>
              <w:pStyle w:val="179"/>
              <w:rPr>
                <w:rFonts w:cs="Times New Roman"/>
                <w:kern w:val="0"/>
              </w:rPr>
            </w:pPr>
            <w:r>
              <w:rPr>
                <w:rFonts w:cs="Times New Roman"/>
                <w:kern w:val="0"/>
              </w:rPr>
              <w:t>监测点位数（）</w:t>
            </w:r>
          </w:p>
        </w:tc>
        <w:tc>
          <w:tcPr>
            <w:tcW w:w="701" w:type="pct"/>
            <w:gridSpan w:val="2"/>
            <w:noWrap/>
            <w:vAlign w:val="center"/>
          </w:tcPr>
          <w:p w14:paraId="312696DC">
            <w:pPr>
              <w:pStyle w:val="179"/>
              <w:rPr>
                <w:rFonts w:cs="Times New Roman"/>
                <w:kern w:val="0"/>
              </w:rPr>
            </w:pPr>
            <w:r>
              <w:rPr>
                <w:rFonts w:cs="Times New Roman"/>
                <w:kern w:val="0"/>
              </w:rPr>
              <w:t>无监测</w:t>
            </w:r>
            <w:r>
              <w:rPr>
                <w:rFonts w:ascii="Wingdings 2" w:hAnsi="Wingdings 2" w:cs="Times New Roman"/>
                <w:kern w:val="0"/>
              </w:rPr>
              <w:t></w:t>
            </w:r>
          </w:p>
        </w:tc>
      </w:tr>
      <w:tr w14:paraId="7451C0E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455" w:type="pct"/>
            <w:vMerge w:val="restart"/>
            <w:noWrap/>
            <w:vAlign w:val="center"/>
          </w:tcPr>
          <w:p w14:paraId="532E692F">
            <w:pPr>
              <w:pStyle w:val="179"/>
              <w:rPr>
                <w:rFonts w:cs="Times New Roman"/>
                <w:kern w:val="0"/>
              </w:rPr>
            </w:pPr>
            <w:r>
              <w:rPr>
                <w:rFonts w:cs="Times New Roman"/>
                <w:kern w:val="0"/>
              </w:rPr>
              <w:t>评价结论</w:t>
            </w:r>
          </w:p>
        </w:tc>
        <w:tc>
          <w:tcPr>
            <w:tcW w:w="848" w:type="pct"/>
            <w:noWrap/>
            <w:vAlign w:val="center"/>
          </w:tcPr>
          <w:p w14:paraId="35AE137B">
            <w:pPr>
              <w:pStyle w:val="179"/>
              <w:rPr>
                <w:rFonts w:cs="Times New Roman"/>
                <w:kern w:val="0"/>
              </w:rPr>
            </w:pPr>
            <w:r>
              <w:rPr>
                <w:rFonts w:cs="Times New Roman"/>
                <w:kern w:val="0"/>
              </w:rPr>
              <w:t>环境影响</w:t>
            </w:r>
          </w:p>
        </w:tc>
        <w:tc>
          <w:tcPr>
            <w:tcW w:w="3697" w:type="pct"/>
            <w:gridSpan w:val="26"/>
            <w:noWrap/>
            <w:vAlign w:val="center"/>
          </w:tcPr>
          <w:p w14:paraId="5AFE9B93">
            <w:pPr>
              <w:pStyle w:val="179"/>
              <w:rPr>
                <w:rFonts w:cs="Times New Roman"/>
                <w:kern w:val="0"/>
              </w:rPr>
            </w:pPr>
            <w:r>
              <w:rPr>
                <w:rFonts w:cs="Times New Roman"/>
                <w:kern w:val="0"/>
              </w:rPr>
              <w:t>可以接受</w:t>
            </w:r>
            <w:r>
              <w:rPr>
                <w:rFonts w:ascii="Wingdings 2" w:hAnsi="Wingdings 2" w:eastAsia="MS Mincho" w:cs="Times New Roman"/>
                <w:kern w:val="0"/>
              </w:rPr>
              <w:t></w:t>
            </w:r>
            <w:r>
              <w:rPr>
                <w:rFonts w:cs="Times New Roman"/>
                <w:kern w:val="0"/>
              </w:rPr>
              <w:t xml:space="preserve">         不可以接受</w:t>
            </w:r>
            <w:r>
              <w:rPr>
                <w:rFonts w:ascii="宋体" w:hAnsi="宋体" w:cs="Times New Roman"/>
                <w:kern w:val="0"/>
              </w:rPr>
              <w:t>□</w:t>
            </w:r>
          </w:p>
        </w:tc>
      </w:tr>
      <w:tr w14:paraId="4B503D5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455" w:type="pct"/>
            <w:vMerge w:val="continue"/>
            <w:noWrap/>
            <w:vAlign w:val="center"/>
          </w:tcPr>
          <w:p w14:paraId="3F87B112">
            <w:pPr>
              <w:pStyle w:val="179"/>
              <w:rPr>
                <w:rFonts w:cs="Times New Roman"/>
                <w:kern w:val="0"/>
              </w:rPr>
            </w:pPr>
          </w:p>
        </w:tc>
        <w:tc>
          <w:tcPr>
            <w:tcW w:w="848" w:type="pct"/>
            <w:noWrap/>
            <w:vAlign w:val="center"/>
          </w:tcPr>
          <w:p w14:paraId="4EF9B17A">
            <w:pPr>
              <w:pStyle w:val="179"/>
              <w:rPr>
                <w:rFonts w:cs="Times New Roman"/>
                <w:kern w:val="0"/>
              </w:rPr>
            </w:pPr>
            <w:r>
              <w:rPr>
                <w:rFonts w:cs="Times New Roman"/>
                <w:kern w:val="0"/>
              </w:rPr>
              <w:t>大气环境防护距离</w:t>
            </w:r>
          </w:p>
        </w:tc>
        <w:tc>
          <w:tcPr>
            <w:tcW w:w="3697" w:type="pct"/>
            <w:gridSpan w:val="26"/>
            <w:noWrap/>
            <w:vAlign w:val="center"/>
          </w:tcPr>
          <w:p w14:paraId="12D08B17">
            <w:pPr>
              <w:pStyle w:val="179"/>
              <w:rPr>
                <w:rFonts w:cs="Times New Roman"/>
                <w:kern w:val="0"/>
              </w:rPr>
            </w:pPr>
            <w:r>
              <w:rPr>
                <w:rFonts w:cs="Times New Roman"/>
                <w:kern w:val="0"/>
              </w:rPr>
              <w:t>距（）厂界最远（）m</w:t>
            </w:r>
          </w:p>
        </w:tc>
      </w:tr>
      <w:tr w14:paraId="60C4F87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455" w:type="pct"/>
            <w:vMerge w:val="continue"/>
            <w:noWrap/>
            <w:vAlign w:val="center"/>
          </w:tcPr>
          <w:p w14:paraId="1F359BD6">
            <w:pPr>
              <w:pStyle w:val="179"/>
              <w:rPr>
                <w:rFonts w:cs="Times New Roman"/>
                <w:kern w:val="0"/>
              </w:rPr>
            </w:pPr>
          </w:p>
        </w:tc>
        <w:tc>
          <w:tcPr>
            <w:tcW w:w="848" w:type="pct"/>
            <w:noWrap/>
            <w:vAlign w:val="center"/>
          </w:tcPr>
          <w:p w14:paraId="67129AD1">
            <w:pPr>
              <w:pStyle w:val="179"/>
              <w:rPr>
                <w:rFonts w:cs="Times New Roman"/>
                <w:kern w:val="0"/>
              </w:rPr>
            </w:pPr>
            <w:r>
              <w:rPr>
                <w:rFonts w:cs="Times New Roman"/>
                <w:kern w:val="0"/>
              </w:rPr>
              <w:t>污染源年排放量</w:t>
            </w:r>
          </w:p>
        </w:tc>
        <w:tc>
          <w:tcPr>
            <w:tcW w:w="768" w:type="pct"/>
            <w:gridSpan w:val="3"/>
            <w:noWrap/>
            <w:vAlign w:val="center"/>
          </w:tcPr>
          <w:p w14:paraId="4987EFA2">
            <w:pPr>
              <w:pStyle w:val="179"/>
              <w:rPr>
                <w:rFonts w:cs="Times New Roman"/>
                <w:kern w:val="0"/>
              </w:rPr>
            </w:pPr>
            <w:r>
              <w:rPr>
                <w:rFonts w:cs="Times New Roman"/>
                <w:kern w:val="0"/>
              </w:rPr>
              <w:t>SO</w:t>
            </w:r>
            <w:r>
              <w:rPr>
                <w:rFonts w:cs="Times New Roman"/>
                <w:kern w:val="0"/>
                <w:vertAlign w:val="subscript"/>
              </w:rPr>
              <w:t>2</w:t>
            </w:r>
            <w:r>
              <w:rPr>
                <w:rFonts w:cs="Times New Roman"/>
                <w:kern w:val="0"/>
              </w:rPr>
              <w:t>:()t/a</w:t>
            </w:r>
          </w:p>
        </w:tc>
        <w:tc>
          <w:tcPr>
            <w:tcW w:w="909" w:type="pct"/>
            <w:gridSpan w:val="9"/>
            <w:noWrap/>
            <w:vAlign w:val="center"/>
          </w:tcPr>
          <w:p w14:paraId="1C2FFACD">
            <w:pPr>
              <w:pStyle w:val="179"/>
              <w:rPr>
                <w:rFonts w:cs="Times New Roman"/>
                <w:kern w:val="0"/>
              </w:rPr>
            </w:pPr>
            <w:r>
              <w:rPr>
                <w:rFonts w:cs="Times New Roman"/>
                <w:kern w:val="0"/>
              </w:rPr>
              <w:t>NO</w:t>
            </w:r>
            <w:r>
              <w:rPr>
                <w:rFonts w:cs="Times New Roman"/>
                <w:kern w:val="0"/>
                <w:vertAlign w:val="subscript"/>
              </w:rPr>
              <w:t>X</w:t>
            </w:r>
            <w:r>
              <w:rPr>
                <w:rFonts w:cs="Times New Roman"/>
                <w:kern w:val="0"/>
              </w:rPr>
              <w:t>:()t/a</w:t>
            </w:r>
          </w:p>
        </w:tc>
        <w:tc>
          <w:tcPr>
            <w:tcW w:w="1094" w:type="pct"/>
            <w:gridSpan w:val="11"/>
            <w:noWrap/>
            <w:vAlign w:val="center"/>
          </w:tcPr>
          <w:p w14:paraId="092CF24C">
            <w:pPr>
              <w:pStyle w:val="179"/>
              <w:rPr>
                <w:rFonts w:cs="Times New Roman"/>
                <w:kern w:val="0"/>
              </w:rPr>
            </w:pPr>
            <w:r>
              <w:rPr>
                <w:rFonts w:cs="Times New Roman"/>
                <w:kern w:val="0"/>
              </w:rPr>
              <w:t>颗粒物：(</w:t>
            </w:r>
            <w:r>
              <w:rPr>
                <w:rFonts w:hint="eastAsia" w:cs="Times New Roman"/>
              </w:rPr>
              <w:t>0.892</w:t>
            </w:r>
            <w:r>
              <w:rPr>
                <w:rFonts w:cs="Times New Roman"/>
                <w:kern w:val="0"/>
              </w:rPr>
              <w:t>)t/a</w:t>
            </w:r>
          </w:p>
        </w:tc>
        <w:tc>
          <w:tcPr>
            <w:tcW w:w="926" w:type="pct"/>
            <w:gridSpan w:val="3"/>
            <w:noWrap/>
            <w:vAlign w:val="center"/>
          </w:tcPr>
          <w:p w14:paraId="16087294">
            <w:pPr>
              <w:pStyle w:val="179"/>
              <w:rPr>
                <w:rFonts w:cs="Times New Roman"/>
                <w:kern w:val="0"/>
              </w:rPr>
            </w:pPr>
            <w:r>
              <w:rPr>
                <w:rFonts w:cs="Times New Roman"/>
                <w:kern w:val="0"/>
              </w:rPr>
              <w:t>VOC</w:t>
            </w:r>
            <w:r>
              <w:rPr>
                <w:rFonts w:cs="Times New Roman"/>
                <w:kern w:val="0"/>
                <w:vertAlign w:val="subscript"/>
              </w:rPr>
              <w:t>S:</w:t>
            </w:r>
            <w:r>
              <w:rPr>
                <w:rFonts w:cs="Times New Roman"/>
                <w:kern w:val="0"/>
              </w:rPr>
              <w:t>(  )t/a</w:t>
            </w:r>
          </w:p>
        </w:tc>
      </w:tr>
    </w:tbl>
    <w:p w14:paraId="322C720D">
      <w:pPr>
        <w:widowControl/>
        <w:tabs>
          <w:tab w:val="clear" w:pos="0"/>
        </w:tabs>
        <w:spacing w:line="240" w:lineRule="auto"/>
        <w:ind w:firstLine="0" w:firstLineChars="0"/>
        <w:jc w:val="left"/>
        <w:rPr>
          <w:rFonts w:hAnsi="Times New Roman" w:cs="Times New Roman"/>
        </w:rPr>
      </w:pPr>
      <w:r>
        <w:rPr>
          <w:rFonts w:hAnsi="Times New Roman" w:cs="Times New Roman"/>
        </w:rPr>
        <w:br w:type="page"/>
      </w:r>
    </w:p>
    <w:p w14:paraId="7F85D0EE">
      <w:pPr>
        <w:pStyle w:val="3"/>
        <w:numPr>
          <w:ilvl w:val="0"/>
          <w:numId w:val="0"/>
        </w:numPr>
        <w:spacing w:before="180" w:after="120" w:line="240" w:lineRule="auto"/>
        <w:ind w:left="142"/>
        <w:jc w:val="center"/>
        <w:rPr>
          <w:rFonts w:cs="Times New Roman"/>
          <w:sz w:val="24"/>
        </w:rPr>
      </w:pPr>
      <w:bookmarkStart w:id="868" w:name="_Toc26389"/>
      <w:bookmarkStart w:id="869" w:name="_Toc234927736"/>
      <w:r>
        <w:rPr>
          <w:rFonts w:cs="Times New Roman"/>
          <w:sz w:val="24"/>
        </w:rPr>
        <w:t>附表3 建设项目环境风险评价自查表</w:t>
      </w:r>
      <w:bookmarkEnd w:id="868"/>
      <w:bookmarkEnd w:id="869"/>
    </w:p>
    <w:tbl>
      <w:tblPr>
        <w:tblStyle w:val="36"/>
        <w:tblW w:w="5000" w:type="pct"/>
        <w:tblInd w:w="0" w:type="dxa"/>
        <w:tblLayout w:type="fixed"/>
        <w:tblCellMar>
          <w:top w:w="0" w:type="dxa"/>
          <w:left w:w="57" w:type="dxa"/>
          <w:bottom w:w="0" w:type="dxa"/>
          <w:right w:w="57" w:type="dxa"/>
        </w:tblCellMar>
      </w:tblPr>
      <w:tblGrid>
        <w:gridCol w:w="237"/>
        <w:gridCol w:w="72"/>
        <w:gridCol w:w="265"/>
        <w:gridCol w:w="900"/>
        <w:gridCol w:w="849"/>
        <w:gridCol w:w="423"/>
        <w:gridCol w:w="145"/>
        <w:gridCol w:w="426"/>
        <w:gridCol w:w="125"/>
        <w:gridCol w:w="585"/>
        <w:gridCol w:w="20"/>
        <w:gridCol w:w="261"/>
        <w:gridCol w:w="6"/>
        <w:gridCol w:w="450"/>
        <w:gridCol w:w="15"/>
        <w:gridCol w:w="622"/>
        <w:gridCol w:w="108"/>
        <w:gridCol w:w="143"/>
        <w:gridCol w:w="356"/>
        <w:gridCol w:w="233"/>
        <w:gridCol w:w="128"/>
        <w:gridCol w:w="29"/>
        <w:gridCol w:w="298"/>
        <w:gridCol w:w="275"/>
        <w:gridCol w:w="40"/>
        <w:gridCol w:w="30"/>
        <w:gridCol w:w="659"/>
        <w:gridCol w:w="726"/>
      </w:tblGrid>
      <w:tr w14:paraId="575804A4">
        <w:tblPrEx>
          <w:tblCellMar>
            <w:top w:w="0" w:type="dxa"/>
            <w:left w:w="57" w:type="dxa"/>
            <w:bottom w:w="0" w:type="dxa"/>
            <w:right w:w="57" w:type="dxa"/>
          </w:tblCellMar>
        </w:tblPrEx>
        <w:trPr>
          <w:trHeight w:val="340" w:hRule="atLeast"/>
        </w:trPr>
        <w:tc>
          <w:tcPr>
            <w:tcW w:w="875" w:type="pct"/>
            <w:gridSpan w:val="4"/>
            <w:tcBorders>
              <w:top w:val="single" w:color="auto" w:sz="12" w:space="0"/>
              <w:left w:val="single" w:color="auto" w:sz="12" w:space="0"/>
              <w:bottom w:val="single" w:color="auto" w:sz="4" w:space="0"/>
              <w:right w:val="single" w:color="auto" w:sz="4" w:space="0"/>
            </w:tcBorders>
            <w:noWrap/>
            <w:vAlign w:val="center"/>
          </w:tcPr>
          <w:p w14:paraId="2469ABB5">
            <w:pPr>
              <w:pStyle w:val="179"/>
              <w:rPr>
                <w:rFonts w:cs="Times New Roman"/>
                <w:b/>
              </w:rPr>
            </w:pPr>
            <w:r>
              <w:rPr>
                <w:rFonts w:cs="Times New Roman"/>
                <w:b/>
              </w:rPr>
              <w:t>工作内容</w:t>
            </w:r>
          </w:p>
        </w:tc>
        <w:tc>
          <w:tcPr>
            <w:tcW w:w="4125" w:type="pct"/>
            <w:gridSpan w:val="24"/>
            <w:tcBorders>
              <w:top w:val="single" w:color="auto" w:sz="12" w:space="0"/>
              <w:left w:val="nil"/>
              <w:bottom w:val="single" w:color="auto" w:sz="4" w:space="0"/>
              <w:right w:val="single" w:color="auto" w:sz="12" w:space="0"/>
            </w:tcBorders>
            <w:noWrap/>
            <w:vAlign w:val="center"/>
          </w:tcPr>
          <w:p w14:paraId="32C8A6DC">
            <w:pPr>
              <w:pStyle w:val="179"/>
              <w:rPr>
                <w:rFonts w:cs="Times New Roman"/>
                <w:b/>
              </w:rPr>
            </w:pPr>
            <w:r>
              <w:rPr>
                <w:rFonts w:cs="Times New Roman"/>
                <w:b/>
              </w:rPr>
              <w:t>完成情况</w:t>
            </w:r>
          </w:p>
        </w:tc>
      </w:tr>
      <w:tr w14:paraId="7A2E4D4D">
        <w:tblPrEx>
          <w:tblCellMar>
            <w:top w:w="0" w:type="dxa"/>
            <w:left w:w="57" w:type="dxa"/>
            <w:bottom w:w="0" w:type="dxa"/>
            <w:right w:w="57" w:type="dxa"/>
          </w:tblCellMar>
        </w:tblPrEx>
        <w:trPr>
          <w:trHeight w:val="340" w:hRule="atLeast"/>
        </w:trPr>
        <w:tc>
          <w:tcPr>
            <w:tcW w:w="184" w:type="pct"/>
            <w:gridSpan w:val="2"/>
            <w:vMerge w:val="restart"/>
            <w:tcBorders>
              <w:top w:val="nil"/>
              <w:left w:val="single" w:color="auto" w:sz="12" w:space="0"/>
              <w:bottom w:val="single" w:color="auto" w:sz="4" w:space="0"/>
              <w:right w:val="single" w:color="auto" w:sz="4" w:space="0"/>
            </w:tcBorders>
            <w:noWrap/>
            <w:vAlign w:val="center"/>
          </w:tcPr>
          <w:p w14:paraId="51A1DE62">
            <w:pPr>
              <w:pStyle w:val="179"/>
              <w:rPr>
                <w:rFonts w:cs="Times New Roman"/>
              </w:rPr>
            </w:pPr>
            <w:r>
              <w:rPr>
                <w:rFonts w:cs="Times New Roman"/>
              </w:rPr>
              <w:t>风</w:t>
            </w:r>
          </w:p>
          <w:p w14:paraId="2D484C89">
            <w:pPr>
              <w:pStyle w:val="179"/>
              <w:rPr>
                <w:rFonts w:cs="Times New Roman"/>
              </w:rPr>
            </w:pPr>
            <w:r>
              <w:rPr>
                <w:rFonts w:cs="Times New Roman"/>
              </w:rPr>
              <w:t>险</w:t>
            </w:r>
          </w:p>
          <w:p w14:paraId="33EFF055">
            <w:pPr>
              <w:pStyle w:val="179"/>
              <w:rPr>
                <w:rFonts w:cs="Times New Roman"/>
              </w:rPr>
            </w:pPr>
            <w:r>
              <w:rPr>
                <w:rFonts w:cs="Times New Roman"/>
              </w:rPr>
              <w:t>调</w:t>
            </w:r>
          </w:p>
          <w:p w14:paraId="3B79325D">
            <w:pPr>
              <w:pStyle w:val="179"/>
              <w:rPr>
                <w:rFonts w:cs="Times New Roman"/>
              </w:rPr>
            </w:pPr>
            <w:r>
              <w:rPr>
                <w:rFonts w:cs="Times New Roman"/>
              </w:rPr>
              <w:t>查</w:t>
            </w:r>
          </w:p>
        </w:tc>
        <w:tc>
          <w:tcPr>
            <w:tcW w:w="691" w:type="pct"/>
            <w:gridSpan w:val="2"/>
            <w:vMerge w:val="restart"/>
            <w:tcBorders>
              <w:top w:val="nil"/>
              <w:left w:val="nil"/>
              <w:bottom w:val="single" w:color="auto" w:sz="4" w:space="0"/>
              <w:right w:val="single" w:color="auto" w:sz="4" w:space="0"/>
            </w:tcBorders>
            <w:noWrap/>
            <w:vAlign w:val="center"/>
          </w:tcPr>
          <w:p w14:paraId="24931D23">
            <w:pPr>
              <w:pStyle w:val="179"/>
              <w:rPr>
                <w:rFonts w:cs="Times New Roman"/>
              </w:rPr>
            </w:pPr>
            <w:r>
              <w:rPr>
                <w:rFonts w:cs="Times New Roman"/>
              </w:rPr>
              <w:t>危险物质</w:t>
            </w:r>
          </w:p>
        </w:tc>
        <w:tc>
          <w:tcPr>
            <w:tcW w:w="504" w:type="pct"/>
            <w:tcBorders>
              <w:top w:val="single" w:color="auto" w:sz="4" w:space="0"/>
              <w:left w:val="nil"/>
              <w:bottom w:val="single" w:color="auto" w:sz="4" w:space="0"/>
              <w:right w:val="single" w:color="auto" w:sz="4" w:space="0"/>
            </w:tcBorders>
            <w:noWrap/>
            <w:vAlign w:val="center"/>
          </w:tcPr>
          <w:p w14:paraId="65ECF155">
            <w:pPr>
              <w:pStyle w:val="179"/>
              <w:rPr>
                <w:rFonts w:cs="Times New Roman"/>
              </w:rPr>
            </w:pPr>
            <w:r>
              <w:rPr>
                <w:rFonts w:cs="Times New Roman"/>
              </w:rPr>
              <w:t>名称</w:t>
            </w:r>
          </w:p>
        </w:tc>
        <w:tc>
          <w:tcPr>
            <w:tcW w:w="590" w:type="pct"/>
            <w:gridSpan w:val="3"/>
            <w:tcBorders>
              <w:top w:val="single" w:color="auto" w:sz="4" w:space="0"/>
              <w:left w:val="nil"/>
              <w:bottom w:val="single" w:color="auto" w:sz="4" w:space="0"/>
              <w:right w:val="single" w:color="auto" w:sz="4" w:space="0"/>
            </w:tcBorders>
            <w:shd w:val="clear" w:color="auto" w:fill="auto"/>
            <w:noWrap/>
            <w:vAlign w:val="center"/>
          </w:tcPr>
          <w:p w14:paraId="26D30263">
            <w:pPr>
              <w:pStyle w:val="179"/>
              <w:rPr>
                <w:rFonts w:cs="Times New Roman"/>
              </w:rPr>
            </w:pPr>
          </w:p>
        </w:tc>
        <w:tc>
          <w:tcPr>
            <w:tcW w:w="433" w:type="pct"/>
            <w:gridSpan w:val="3"/>
            <w:tcBorders>
              <w:top w:val="single" w:color="auto" w:sz="4" w:space="0"/>
              <w:left w:val="nil"/>
              <w:bottom w:val="single" w:color="auto" w:sz="4" w:space="0"/>
              <w:right w:val="single" w:color="auto" w:sz="4" w:space="0"/>
            </w:tcBorders>
            <w:shd w:val="clear" w:color="auto" w:fill="auto"/>
            <w:noWrap/>
            <w:vAlign w:val="center"/>
          </w:tcPr>
          <w:p w14:paraId="24AD1EAA">
            <w:pPr>
              <w:pStyle w:val="179"/>
              <w:rPr>
                <w:rFonts w:cs="Times New Roman"/>
              </w:rPr>
            </w:pPr>
          </w:p>
        </w:tc>
        <w:tc>
          <w:tcPr>
            <w:tcW w:w="434" w:type="pct"/>
            <w:gridSpan w:val="4"/>
            <w:tcBorders>
              <w:top w:val="single" w:color="auto" w:sz="4" w:space="0"/>
              <w:left w:val="nil"/>
              <w:bottom w:val="single" w:color="auto" w:sz="4" w:space="0"/>
              <w:right w:val="single" w:color="auto" w:sz="4" w:space="0"/>
            </w:tcBorders>
            <w:noWrap/>
            <w:vAlign w:val="center"/>
          </w:tcPr>
          <w:p w14:paraId="07E1F7D8">
            <w:pPr>
              <w:pStyle w:val="179"/>
              <w:rPr>
                <w:rFonts w:cs="Times New Roman"/>
              </w:rPr>
            </w:pPr>
          </w:p>
        </w:tc>
        <w:tc>
          <w:tcPr>
            <w:tcW w:w="433" w:type="pct"/>
            <w:gridSpan w:val="2"/>
            <w:tcBorders>
              <w:top w:val="single" w:color="auto" w:sz="4" w:space="0"/>
              <w:left w:val="nil"/>
              <w:bottom w:val="single" w:color="auto" w:sz="4" w:space="0"/>
              <w:right w:val="single" w:color="auto" w:sz="4" w:space="0"/>
            </w:tcBorders>
            <w:noWrap/>
            <w:vAlign w:val="center"/>
          </w:tcPr>
          <w:p w14:paraId="5B64D52A">
            <w:pPr>
              <w:pStyle w:val="179"/>
              <w:rPr>
                <w:rFonts w:cs="Times New Roman"/>
              </w:rPr>
            </w:pPr>
          </w:p>
        </w:tc>
        <w:tc>
          <w:tcPr>
            <w:tcW w:w="434" w:type="pct"/>
            <w:gridSpan w:val="3"/>
            <w:tcBorders>
              <w:top w:val="single" w:color="auto" w:sz="4" w:space="0"/>
              <w:left w:val="nil"/>
              <w:bottom w:val="single" w:color="auto" w:sz="4" w:space="0"/>
              <w:right w:val="single" w:color="auto" w:sz="4" w:space="0"/>
            </w:tcBorders>
            <w:noWrap/>
            <w:vAlign w:val="center"/>
          </w:tcPr>
          <w:p w14:paraId="78F146EF">
            <w:pPr>
              <w:pStyle w:val="179"/>
              <w:rPr>
                <w:rFonts w:cs="Times New Roman"/>
              </w:rPr>
            </w:pPr>
          </w:p>
        </w:tc>
        <w:tc>
          <w:tcPr>
            <w:tcW w:w="433" w:type="pct"/>
            <w:gridSpan w:val="4"/>
            <w:tcBorders>
              <w:top w:val="single" w:color="auto" w:sz="4" w:space="0"/>
              <w:left w:val="nil"/>
              <w:bottom w:val="single" w:color="auto" w:sz="4" w:space="0"/>
              <w:right w:val="single" w:color="auto" w:sz="4" w:space="0"/>
            </w:tcBorders>
            <w:noWrap/>
            <w:vAlign w:val="center"/>
          </w:tcPr>
          <w:p w14:paraId="4ADB2C34">
            <w:pPr>
              <w:pStyle w:val="179"/>
              <w:rPr>
                <w:rFonts w:cs="Times New Roman"/>
              </w:rPr>
            </w:pPr>
          </w:p>
        </w:tc>
        <w:tc>
          <w:tcPr>
            <w:tcW w:w="433" w:type="pct"/>
            <w:gridSpan w:val="3"/>
            <w:tcBorders>
              <w:top w:val="single" w:color="auto" w:sz="4" w:space="0"/>
              <w:left w:val="nil"/>
              <w:bottom w:val="single" w:color="auto" w:sz="4" w:space="0"/>
              <w:right w:val="single" w:color="auto" w:sz="4" w:space="0"/>
            </w:tcBorders>
            <w:noWrap/>
            <w:vAlign w:val="center"/>
          </w:tcPr>
          <w:p w14:paraId="204721B7">
            <w:pPr>
              <w:pStyle w:val="179"/>
              <w:rPr>
                <w:rFonts w:cs="Times New Roman"/>
              </w:rPr>
            </w:pPr>
          </w:p>
        </w:tc>
        <w:tc>
          <w:tcPr>
            <w:tcW w:w="430" w:type="pct"/>
            <w:tcBorders>
              <w:top w:val="single" w:color="auto" w:sz="4" w:space="0"/>
              <w:left w:val="nil"/>
              <w:bottom w:val="single" w:color="auto" w:sz="4" w:space="0"/>
              <w:right w:val="single" w:color="auto" w:sz="12" w:space="0"/>
            </w:tcBorders>
            <w:noWrap/>
            <w:vAlign w:val="center"/>
          </w:tcPr>
          <w:p w14:paraId="7D8423FB">
            <w:pPr>
              <w:pStyle w:val="179"/>
              <w:rPr>
                <w:rFonts w:cs="Times New Roman"/>
              </w:rPr>
            </w:pPr>
          </w:p>
        </w:tc>
      </w:tr>
      <w:tr w14:paraId="193BB801">
        <w:tblPrEx>
          <w:tblCellMar>
            <w:top w:w="0" w:type="dxa"/>
            <w:left w:w="57" w:type="dxa"/>
            <w:bottom w:w="0" w:type="dxa"/>
            <w:right w:w="57" w:type="dxa"/>
          </w:tblCellMar>
        </w:tblPrEx>
        <w:trPr>
          <w:trHeight w:val="340" w:hRule="atLeast"/>
        </w:trPr>
        <w:tc>
          <w:tcPr>
            <w:tcW w:w="184" w:type="pct"/>
            <w:gridSpan w:val="2"/>
            <w:vMerge w:val="continue"/>
            <w:tcBorders>
              <w:top w:val="nil"/>
              <w:left w:val="single" w:color="auto" w:sz="12" w:space="0"/>
              <w:bottom w:val="single" w:color="auto" w:sz="4" w:space="0"/>
              <w:right w:val="single" w:color="auto" w:sz="4" w:space="0"/>
            </w:tcBorders>
            <w:noWrap/>
            <w:vAlign w:val="center"/>
          </w:tcPr>
          <w:p w14:paraId="740625DA">
            <w:pPr>
              <w:pStyle w:val="179"/>
              <w:rPr>
                <w:rFonts w:cs="Times New Roman"/>
              </w:rPr>
            </w:pPr>
          </w:p>
        </w:tc>
        <w:tc>
          <w:tcPr>
            <w:tcW w:w="691" w:type="pct"/>
            <w:gridSpan w:val="2"/>
            <w:vMerge w:val="continue"/>
            <w:tcBorders>
              <w:top w:val="nil"/>
              <w:left w:val="nil"/>
              <w:bottom w:val="single" w:color="auto" w:sz="4" w:space="0"/>
              <w:right w:val="single" w:color="auto" w:sz="4" w:space="0"/>
            </w:tcBorders>
            <w:noWrap/>
            <w:vAlign w:val="center"/>
          </w:tcPr>
          <w:p w14:paraId="38B4D7D0">
            <w:pPr>
              <w:pStyle w:val="179"/>
              <w:rPr>
                <w:rFonts w:cs="Times New Roman"/>
              </w:rPr>
            </w:pPr>
          </w:p>
        </w:tc>
        <w:tc>
          <w:tcPr>
            <w:tcW w:w="504" w:type="pct"/>
            <w:tcBorders>
              <w:top w:val="single" w:color="auto" w:sz="4" w:space="0"/>
              <w:left w:val="nil"/>
              <w:bottom w:val="single" w:color="auto" w:sz="4" w:space="0"/>
              <w:right w:val="single" w:color="auto" w:sz="4" w:space="0"/>
            </w:tcBorders>
            <w:noWrap/>
            <w:vAlign w:val="center"/>
          </w:tcPr>
          <w:p w14:paraId="6034BF77">
            <w:pPr>
              <w:pStyle w:val="179"/>
              <w:rPr>
                <w:rFonts w:cs="Times New Roman"/>
              </w:rPr>
            </w:pPr>
            <w:r>
              <w:rPr>
                <w:rFonts w:cs="Times New Roman"/>
              </w:rPr>
              <w:t>存在总量/t</w:t>
            </w:r>
          </w:p>
        </w:tc>
        <w:tc>
          <w:tcPr>
            <w:tcW w:w="590" w:type="pct"/>
            <w:gridSpan w:val="3"/>
            <w:tcBorders>
              <w:top w:val="single" w:color="auto" w:sz="4" w:space="0"/>
              <w:left w:val="nil"/>
              <w:bottom w:val="single" w:color="auto" w:sz="4" w:space="0"/>
              <w:right w:val="single" w:color="auto" w:sz="4" w:space="0"/>
            </w:tcBorders>
            <w:shd w:val="clear" w:color="auto" w:fill="auto"/>
            <w:noWrap/>
            <w:vAlign w:val="center"/>
          </w:tcPr>
          <w:p w14:paraId="01CCEED4">
            <w:pPr>
              <w:pStyle w:val="179"/>
              <w:rPr>
                <w:rFonts w:cs="Times New Roman"/>
              </w:rPr>
            </w:pPr>
          </w:p>
        </w:tc>
        <w:tc>
          <w:tcPr>
            <w:tcW w:w="433" w:type="pct"/>
            <w:gridSpan w:val="3"/>
            <w:tcBorders>
              <w:top w:val="single" w:color="auto" w:sz="4" w:space="0"/>
              <w:left w:val="nil"/>
              <w:bottom w:val="single" w:color="auto" w:sz="4" w:space="0"/>
              <w:right w:val="single" w:color="auto" w:sz="4" w:space="0"/>
            </w:tcBorders>
            <w:shd w:val="clear" w:color="auto" w:fill="auto"/>
            <w:noWrap/>
            <w:vAlign w:val="center"/>
          </w:tcPr>
          <w:p w14:paraId="1A12F7A0">
            <w:pPr>
              <w:pStyle w:val="179"/>
              <w:rPr>
                <w:rFonts w:cs="Times New Roman"/>
              </w:rPr>
            </w:pPr>
          </w:p>
        </w:tc>
        <w:tc>
          <w:tcPr>
            <w:tcW w:w="434" w:type="pct"/>
            <w:gridSpan w:val="4"/>
            <w:tcBorders>
              <w:top w:val="single" w:color="auto" w:sz="4" w:space="0"/>
              <w:left w:val="nil"/>
              <w:bottom w:val="single" w:color="auto" w:sz="4" w:space="0"/>
              <w:right w:val="single" w:color="auto" w:sz="4" w:space="0"/>
            </w:tcBorders>
            <w:noWrap/>
            <w:vAlign w:val="center"/>
          </w:tcPr>
          <w:p w14:paraId="23CF99F7">
            <w:pPr>
              <w:pStyle w:val="179"/>
              <w:rPr>
                <w:rFonts w:cs="Times New Roman"/>
              </w:rPr>
            </w:pPr>
          </w:p>
        </w:tc>
        <w:tc>
          <w:tcPr>
            <w:tcW w:w="433" w:type="pct"/>
            <w:gridSpan w:val="2"/>
            <w:tcBorders>
              <w:top w:val="single" w:color="auto" w:sz="4" w:space="0"/>
              <w:left w:val="nil"/>
              <w:bottom w:val="single" w:color="auto" w:sz="4" w:space="0"/>
              <w:right w:val="single" w:color="auto" w:sz="4" w:space="0"/>
            </w:tcBorders>
            <w:noWrap/>
            <w:vAlign w:val="center"/>
          </w:tcPr>
          <w:p w14:paraId="6FC444FC">
            <w:pPr>
              <w:pStyle w:val="179"/>
              <w:rPr>
                <w:rFonts w:cs="Times New Roman"/>
              </w:rPr>
            </w:pPr>
          </w:p>
        </w:tc>
        <w:tc>
          <w:tcPr>
            <w:tcW w:w="434" w:type="pct"/>
            <w:gridSpan w:val="3"/>
            <w:tcBorders>
              <w:top w:val="single" w:color="auto" w:sz="4" w:space="0"/>
              <w:left w:val="nil"/>
              <w:bottom w:val="single" w:color="auto" w:sz="4" w:space="0"/>
              <w:right w:val="single" w:color="auto" w:sz="4" w:space="0"/>
            </w:tcBorders>
            <w:noWrap/>
            <w:vAlign w:val="center"/>
          </w:tcPr>
          <w:p w14:paraId="34C66FE5">
            <w:pPr>
              <w:pStyle w:val="179"/>
              <w:rPr>
                <w:rFonts w:cs="Times New Roman"/>
              </w:rPr>
            </w:pPr>
          </w:p>
        </w:tc>
        <w:tc>
          <w:tcPr>
            <w:tcW w:w="433" w:type="pct"/>
            <w:gridSpan w:val="4"/>
            <w:tcBorders>
              <w:top w:val="single" w:color="auto" w:sz="4" w:space="0"/>
              <w:left w:val="nil"/>
              <w:bottom w:val="single" w:color="auto" w:sz="4" w:space="0"/>
              <w:right w:val="single" w:color="auto" w:sz="4" w:space="0"/>
            </w:tcBorders>
            <w:noWrap/>
            <w:vAlign w:val="center"/>
          </w:tcPr>
          <w:p w14:paraId="65AA9B8C">
            <w:pPr>
              <w:pStyle w:val="179"/>
              <w:rPr>
                <w:rFonts w:cs="Times New Roman"/>
              </w:rPr>
            </w:pPr>
          </w:p>
        </w:tc>
        <w:tc>
          <w:tcPr>
            <w:tcW w:w="433" w:type="pct"/>
            <w:gridSpan w:val="3"/>
            <w:tcBorders>
              <w:top w:val="single" w:color="auto" w:sz="4" w:space="0"/>
              <w:left w:val="nil"/>
              <w:bottom w:val="single" w:color="auto" w:sz="4" w:space="0"/>
              <w:right w:val="single" w:color="auto" w:sz="4" w:space="0"/>
            </w:tcBorders>
            <w:noWrap/>
            <w:vAlign w:val="center"/>
          </w:tcPr>
          <w:p w14:paraId="0490888D">
            <w:pPr>
              <w:pStyle w:val="179"/>
              <w:rPr>
                <w:rFonts w:cs="Times New Roman"/>
              </w:rPr>
            </w:pPr>
          </w:p>
        </w:tc>
        <w:tc>
          <w:tcPr>
            <w:tcW w:w="430" w:type="pct"/>
            <w:tcBorders>
              <w:top w:val="single" w:color="auto" w:sz="4" w:space="0"/>
              <w:left w:val="nil"/>
              <w:bottom w:val="single" w:color="auto" w:sz="4" w:space="0"/>
              <w:right w:val="single" w:color="auto" w:sz="12" w:space="0"/>
            </w:tcBorders>
            <w:noWrap/>
            <w:vAlign w:val="center"/>
          </w:tcPr>
          <w:p w14:paraId="2EADA0F0">
            <w:pPr>
              <w:pStyle w:val="179"/>
              <w:rPr>
                <w:rFonts w:cs="Times New Roman"/>
              </w:rPr>
            </w:pPr>
          </w:p>
        </w:tc>
      </w:tr>
      <w:tr w14:paraId="73CA3932">
        <w:tblPrEx>
          <w:tblCellMar>
            <w:top w:w="0" w:type="dxa"/>
            <w:left w:w="57" w:type="dxa"/>
            <w:bottom w:w="0" w:type="dxa"/>
            <w:right w:w="57" w:type="dxa"/>
          </w:tblCellMar>
        </w:tblPrEx>
        <w:trPr>
          <w:trHeight w:val="340" w:hRule="atLeast"/>
        </w:trPr>
        <w:tc>
          <w:tcPr>
            <w:tcW w:w="184" w:type="pct"/>
            <w:gridSpan w:val="2"/>
            <w:vMerge w:val="continue"/>
            <w:tcBorders>
              <w:top w:val="nil"/>
              <w:left w:val="single" w:color="auto" w:sz="12" w:space="0"/>
              <w:bottom w:val="single" w:color="auto" w:sz="4" w:space="0"/>
              <w:right w:val="single" w:color="auto" w:sz="4" w:space="0"/>
            </w:tcBorders>
            <w:noWrap/>
            <w:vAlign w:val="center"/>
          </w:tcPr>
          <w:p w14:paraId="18BE941F">
            <w:pPr>
              <w:pStyle w:val="179"/>
              <w:rPr>
                <w:rFonts w:cs="Times New Roman"/>
              </w:rPr>
            </w:pPr>
          </w:p>
        </w:tc>
        <w:tc>
          <w:tcPr>
            <w:tcW w:w="691" w:type="pct"/>
            <w:gridSpan w:val="2"/>
            <w:vMerge w:val="restart"/>
            <w:tcBorders>
              <w:top w:val="nil"/>
              <w:left w:val="nil"/>
              <w:bottom w:val="single" w:color="auto" w:sz="4" w:space="0"/>
              <w:right w:val="single" w:color="auto" w:sz="4" w:space="0"/>
            </w:tcBorders>
            <w:noWrap/>
            <w:vAlign w:val="center"/>
          </w:tcPr>
          <w:p w14:paraId="562B2E80">
            <w:pPr>
              <w:pStyle w:val="179"/>
              <w:rPr>
                <w:rFonts w:cs="Times New Roman"/>
              </w:rPr>
            </w:pPr>
            <w:r>
              <w:rPr>
                <w:rFonts w:cs="Times New Roman"/>
              </w:rPr>
              <w:t>环境敏感性</w:t>
            </w:r>
          </w:p>
        </w:tc>
        <w:tc>
          <w:tcPr>
            <w:tcW w:w="504" w:type="pct"/>
            <w:vMerge w:val="restart"/>
            <w:tcBorders>
              <w:top w:val="nil"/>
              <w:left w:val="nil"/>
              <w:bottom w:val="single" w:color="auto" w:sz="4" w:space="0"/>
              <w:right w:val="single" w:color="auto" w:sz="4" w:space="0"/>
            </w:tcBorders>
            <w:noWrap/>
            <w:vAlign w:val="center"/>
          </w:tcPr>
          <w:p w14:paraId="124DEC94">
            <w:pPr>
              <w:pStyle w:val="179"/>
              <w:rPr>
                <w:rFonts w:cs="Times New Roman"/>
              </w:rPr>
            </w:pPr>
            <w:r>
              <w:rPr>
                <w:rFonts w:cs="Times New Roman"/>
              </w:rPr>
              <w:t>大气</w:t>
            </w:r>
          </w:p>
        </w:tc>
        <w:tc>
          <w:tcPr>
            <w:tcW w:w="1826" w:type="pct"/>
            <w:gridSpan w:val="11"/>
            <w:tcBorders>
              <w:top w:val="single" w:color="auto" w:sz="4" w:space="0"/>
              <w:left w:val="nil"/>
              <w:bottom w:val="single" w:color="auto" w:sz="4" w:space="0"/>
              <w:right w:val="single" w:color="auto" w:sz="4" w:space="0"/>
            </w:tcBorders>
            <w:noWrap/>
            <w:vAlign w:val="center"/>
          </w:tcPr>
          <w:p w14:paraId="117F08F4">
            <w:pPr>
              <w:pStyle w:val="179"/>
              <w:rPr>
                <w:rFonts w:cs="Times New Roman"/>
              </w:rPr>
            </w:pPr>
            <w:r>
              <w:rPr>
                <w:rFonts w:cs="Times New Roman"/>
              </w:rPr>
              <w:t>500m范围内人口数</w:t>
            </w:r>
            <w:r>
              <w:rPr>
                <w:rFonts w:cs="Times New Roman"/>
                <w:u w:val="single"/>
              </w:rPr>
              <w:t xml:space="preserve"> 0 </w:t>
            </w:r>
            <w:r>
              <w:rPr>
                <w:rFonts w:cs="Times New Roman"/>
              </w:rPr>
              <w:t>人</w:t>
            </w:r>
          </w:p>
        </w:tc>
        <w:tc>
          <w:tcPr>
            <w:tcW w:w="1795" w:type="pct"/>
            <w:gridSpan w:val="12"/>
            <w:tcBorders>
              <w:top w:val="single" w:color="auto" w:sz="4" w:space="0"/>
              <w:left w:val="nil"/>
              <w:bottom w:val="single" w:color="auto" w:sz="4" w:space="0"/>
              <w:right w:val="single" w:color="auto" w:sz="12" w:space="0"/>
            </w:tcBorders>
            <w:noWrap/>
            <w:vAlign w:val="center"/>
          </w:tcPr>
          <w:p w14:paraId="091BCDE8">
            <w:pPr>
              <w:pStyle w:val="179"/>
              <w:rPr>
                <w:rFonts w:cs="Times New Roman"/>
              </w:rPr>
            </w:pPr>
            <w:r>
              <w:rPr>
                <w:rFonts w:cs="Times New Roman"/>
              </w:rPr>
              <w:t>5km范围内人口数</w:t>
            </w:r>
            <w:r>
              <w:rPr>
                <w:rFonts w:hint="eastAsia" w:cs="Times New Roman"/>
                <w:u w:val="single"/>
              </w:rPr>
              <w:t xml:space="preserve"> 0 </w:t>
            </w:r>
            <w:r>
              <w:rPr>
                <w:rFonts w:cs="Times New Roman"/>
                <w:u w:val="single"/>
              </w:rPr>
              <w:t>万</w:t>
            </w:r>
            <w:r>
              <w:rPr>
                <w:rFonts w:cs="Times New Roman"/>
              </w:rPr>
              <w:t>人</w:t>
            </w:r>
          </w:p>
        </w:tc>
      </w:tr>
      <w:tr w14:paraId="622C18AB">
        <w:tblPrEx>
          <w:tblCellMar>
            <w:top w:w="0" w:type="dxa"/>
            <w:left w:w="57" w:type="dxa"/>
            <w:bottom w:w="0" w:type="dxa"/>
            <w:right w:w="57" w:type="dxa"/>
          </w:tblCellMar>
        </w:tblPrEx>
        <w:trPr>
          <w:trHeight w:val="340" w:hRule="atLeast"/>
        </w:trPr>
        <w:tc>
          <w:tcPr>
            <w:tcW w:w="184" w:type="pct"/>
            <w:gridSpan w:val="2"/>
            <w:vMerge w:val="continue"/>
            <w:tcBorders>
              <w:top w:val="nil"/>
              <w:left w:val="single" w:color="auto" w:sz="12" w:space="0"/>
              <w:bottom w:val="single" w:color="auto" w:sz="4" w:space="0"/>
              <w:right w:val="single" w:color="auto" w:sz="4" w:space="0"/>
            </w:tcBorders>
            <w:noWrap/>
            <w:vAlign w:val="center"/>
          </w:tcPr>
          <w:p w14:paraId="14A9B460">
            <w:pPr>
              <w:pStyle w:val="179"/>
              <w:rPr>
                <w:rFonts w:cs="Times New Roman"/>
              </w:rPr>
            </w:pPr>
          </w:p>
        </w:tc>
        <w:tc>
          <w:tcPr>
            <w:tcW w:w="691" w:type="pct"/>
            <w:gridSpan w:val="2"/>
            <w:vMerge w:val="continue"/>
            <w:tcBorders>
              <w:top w:val="nil"/>
              <w:left w:val="nil"/>
              <w:bottom w:val="single" w:color="auto" w:sz="4" w:space="0"/>
              <w:right w:val="single" w:color="auto" w:sz="4" w:space="0"/>
            </w:tcBorders>
            <w:noWrap/>
            <w:vAlign w:val="center"/>
          </w:tcPr>
          <w:p w14:paraId="6BC11DCE">
            <w:pPr>
              <w:pStyle w:val="179"/>
              <w:rPr>
                <w:rFonts w:cs="Times New Roman"/>
              </w:rPr>
            </w:pPr>
          </w:p>
        </w:tc>
        <w:tc>
          <w:tcPr>
            <w:tcW w:w="504" w:type="pct"/>
            <w:vMerge w:val="continue"/>
            <w:tcBorders>
              <w:top w:val="nil"/>
              <w:left w:val="nil"/>
              <w:bottom w:val="single" w:color="auto" w:sz="4" w:space="0"/>
              <w:right w:val="single" w:color="auto" w:sz="4" w:space="0"/>
            </w:tcBorders>
            <w:noWrap/>
            <w:vAlign w:val="center"/>
          </w:tcPr>
          <w:p w14:paraId="534CCE2B">
            <w:pPr>
              <w:pStyle w:val="179"/>
              <w:rPr>
                <w:rFonts w:cs="Times New Roman"/>
              </w:rPr>
            </w:pPr>
          </w:p>
        </w:tc>
        <w:tc>
          <w:tcPr>
            <w:tcW w:w="2781" w:type="pct"/>
            <w:gridSpan w:val="20"/>
            <w:tcBorders>
              <w:top w:val="single" w:color="auto" w:sz="4" w:space="0"/>
              <w:left w:val="nil"/>
              <w:bottom w:val="single" w:color="auto" w:sz="4" w:space="0"/>
              <w:right w:val="single" w:color="auto" w:sz="4" w:space="0"/>
            </w:tcBorders>
            <w:noWrap/>
            <w:vAlign w:val="center"/>
          </w:tcPr>
          <w:p w14:paraId="6C3D1220">
            <w:pPr>
              <w:pStyle w:val="179"/>
              <w:rPr>
                <w:rFonts w:cs="Times New Roman"/>
              </w:rPr>
            </w:pPr>
            <w:r>
              <w:rPr>
                <w:rFonts w:cs="Times New Roman"/>
              </w:rPr>
              <w:t>每公里管段周边200m范围内人口数（最大）</w:t>
            </w:r>
          </w:p>
        </w:tc>
        <w:tc>
          <w:tcPr>
            <w:tcW w:w="840" w:type="pct"/>
            <w:gridSpan w:val="3"/>
            <w:tcBorders>
              <w:top w:val="single" w:color="auto" w:sz="4" w:space="0"/>
              <w:left w:val="nil"/>
              <w:bottom w:val="single" w:color="auto" w:sz="4" w:space="0"/>
              <w:right w:val="single" w:color="auto" w:sz="12" w:space="0"/>
            </w:tcBorders>
            <w:noWrap/>
            <w:vAlign w:val="center"/>
          </w:tcPr>
          <w:p w14:paraId="149941E5">
            <w:pPr>
              <w:pStyle w:val="179"/>
              <w:rPr>
                <w:rFonts w:cs="Times New Roman"/>
              </w:rPr>
            </w:pPr>
            <w:r>
              <w:rPr>
                <w:rFonts w:cs="Times New Roman"/>
              </w:rPr>
              <w:t>人</w:t>
            </w:r>
          </w:p>
        </w:tc>
      </w:tr>
      <w:tr w14:paraId="6B87E077">
        <w:tblPrEx>
          <w:tblCellMar>
            <w:top w:w="0" w:type="dxa"/>
            <w:left w:w="57" w:type="dxa"/>
            <w:bottom w:w="0" w:type="dxa"/>
            <w:right w:w="57" w:type="dxa"/>
          </w:tblCellMar>
        </w:tblPrEx>
        <w:trPr>
          <w:trHeight w:val="340" w:hRule="atLeast"/>
        </w:trPr>
        <w:tc>
          <w:tcPr>
            <w:tcW w:w="184" w:type="pct"/>
            <w:gridSpan w:val="2"/>
            <w:vMerge w:val="continue"/>
            <w:tcBorders>
              <w:top w:val="nil"/>
              <w:left w:val="single" w:color="auto" w:sz="12" w:space="0"/>
              <w:bottom w:val="single" w:color="auto" w:sz="4" w:space="0"/>
              <w:right w:val="single" w:color="auto" w:sz="4" w:space="0"/>
            </w:tcBorders>
            <w:noWrap/>
            <w:vAlign w:val="center"/>
          </w:tcPr>
          <w:p w14:paraId="10CFAFF1">
            <w:pPr>
              <w:pStyle w:val="179"/>
              <w:rPr>
                <w:rFonts w:cs="Times New Roman"/>
              </w:rPr>
            </w:pPr>
          </w:p>
        </w:tc>
        <w:tc>
          <w:tcPr>
            <w:tcW w:w="691" w:type="pct"/>
            <w:gridSpan w:val="2"/>
            <w:vMerge w:val="continue"/>
            <w:tcBorders>
              <w:top w:val="nil"/>
              <w:left w:val="nil"/>
              <w:bottom w:val="single" w:color="auto" w:sz="4" w:space="0"/>
              <w:right w:val="single" w:color="auto" w:sz="4" w:space="0"/>
            </w:tcBorders>
            <w:noWrap/>
            <w:vAlign w:val="center"/>
          </w:tcPr>
          <w:p w14:paraId="2B1632B4">
            <w:pPr>
              <w:pStyle w:val="179"/>
              <w:rPr>
                <w:rFonts w:cs="Times New Roman"/>
              </w:rPr>
            </w:pPr>
          </w:p>
        </w:tc>
        <w:tc>
          <w:tcPr>
            <w:tcW w:w="504" w:type="pct"/>
            <w:vMerge w:val="restart"/>
            <w:tcBorders>
              <w:top w:val="nil"/>
              <w:left w:val="nil"/>
              <w:bottom w:val="single" w:color="auto" w:sz="4" w:space="0"/>
              <w:right w:val="single" w:color="auto" w:sz="4" w:space="0"/>
            </w:tcBorders>
            <w:noWrap/>
            <w:vAlign w:val="center"/>
          </w:tcPr>
          <w:p w14:paraId="3EDA7D15">
            <w:pPr>
              <w:pStyle w:val="179"/>
              <w:rPr>
                <w:rFonts w:cs="Times New Roman"/>
              </w:rPr>
            </w:pPr>
            <w:r>
              <w:rPr>
                <w:rFonts w:cs="Times New Roman"/>
              </w:rPr>
              <w:t>地表水</w:t>
            </w:r>
          </w:p>
        </w:tc>
        <w:tc>
          <w:tcPr>
            <w:tcW w:w="1181" w:type="pct"/>
            <w:gridSpan w:val="8"/>
            <w:tcBorders>
              <w:top w:val="single" w:color="auto" w:sz="4" w:space="0"/>
              <w:left w:val="nil"/>
              <w:bottom w:val="single" w:color="auto" w:sz="4" w:space="0"/>
              <w:right w:val="single" w:color="auto" w:sz="4" w:space="0"/>
            </w:tcBorders>
            <w:noWrap/>
            <w:vAlign w:val="center"/>
          </w:tcPr>
          <w:p w14:paraId="06ED2E4B">
            <w:pPr>
              <w:pStyle w:val="179"/>
              <w:rPr>
                <w:rFonts w:cs="Times New Roman"/>
              </w:rPr>
            </w:pPr>
            <w:r>
              <w:rPr>
                <w:rFonts w:cs="Times New Roman"/>
              </w:rPr>
              <w:t>地表水功能敏感性</w:t>
            </w:r>
          </w:p>
        </w:tc>
        <w:tc>
          <w:tcPr>
            <w:tcW w:w="645" w:type="pct"/>
            <w:gridSpan w:val="3"/>
            <w:tcBorders>
              <w:top w:val="single" w:color="auto" w:sz="4" w:space="0"/>
              <w:left w:val="nil"/>
              <w:bottom w:val="single" w:color="auto" w:sz="4" w:space="0"/>
              <w:right w:val="single" w:color="auto" w:sz="4" w:space="0"/>
            </w:tcBorders>
            <w:noWrap/>
            <w:vAlign w:val="center"/>
          </w:tcPr>
          <w:p w14:paraId="627139F2">
            <w:pPr>
              <w:pStyle w:val="179"/>
              <w:rPr>
                <w:rFonts w:cs="Times New Roman"/>
              </w:rPr>
            </w:pPr>
            <w:r>
              <w:rPr>
                <w:rFonts w:cs="Times New Roman"/>
              </w:rPr>
              <w:t>F1</w:t>
            </w:r>
            <w:r>
              <w:rPr>
                <w:rFonts w:cs="Times New Roman"/>
              </w:rPr>
              <w:sym w:font="Wingdings 2" w:char="00A3"/>
            </w:r>
          </w:p>
        </w:tc>
        <w:tc>
          <w:tcPr>
            <w:tcW w:w="955" w:type="pct"/>
            <w:gridSpan w:val="9"/>
            <w:tcBorders>
              <w:top w:val="single" w:color="auto" w:sz="4" w:space="0"/>
              <w:left w:val="nil"/>
              <w:bottom w:val="single" w:color="auto" w:sz="4" w:space="0"/>
              <w:right w:val="single" w:color="auto" w:sz="4" w:space="0"/>
            </w:tcBorders>
            <w:noWrap/>
            <w:vAlign w:val="center"/>
          </w:tcPr>
          <w:p w14:paraId="1B6BAAC2">
            <w:pPr>
              <w:pStyle w:val="179"/>
              <w:rPr>
                <w:rFonts w:cs="Times New Roman"/>
              </w:rPr>
            </w:pPr>
            <w:r>
              <w:rPr>
                <w:rFonts w:cs="Times New Roman"/>
              </w:rPr>
              <w:t>F2</w:t>
            </w:r>
            <w:r>
              <w:rPr>
                <w:rFonts w:cs="Times New Roman"/>
              </w:rPr>
              <w:sym w:font="Wingdings 2" w:char="00A3"/>
            </w:r>
          </w:p>
        </w:tc>
        <w:tc>
          <w:tcPr>
            <w:tcW w:w="840" w:type="pct"/>
            <w:gridSpan w:val="3"/>
            <w:tcBorders>
              <w:top w:val="single" w:color="auto" w:sz="4" w:space="0"/>
              <w:left w:val="nil"/>
              <w:bottom w:val="single" w:color="auto" w:sz="4" w:space="0"/>
              <w:right w:val="single" w:color="auto" w:sz="12" w:space="0"/>
            </w:tcBorders>
            <w:noWrap/>
            <w:vAlign w:val="center"/>
          </w:tcPr>
          <w:p w14:paraId="171D7C87">
            <w:pPr>
              <w:pStyle w:val="179"/>
              <w:rPr>
                <w:rFonts w:cs="Times New Roman"/>
              </w:rPr>
            </w:pPr>
            <w:r>
              <w:rPr>
                <w:rFonts w:cs="Times New Roman"/>
              </w:rPr>
              <w:t>F3</w:t>
            </w:r>
            <w:r>
              <w:rPr>
                <w:rFonts w:cs="Times New Roman"/>
              </w:rPr>
              <w:sym w:font="Wingdings 2" w:char="00A3"/>
            </w:r>
          </w:p>
        </w:tc>
      </w:tr>
      <w:tr w14:paraId="0FF2EB80">
        <w:tblPrEx>
          <w:tblCellMar>
            <w:top w:w="0" w:type="dxa"/>
            <w:left w:w="57" w:type="dxa"/>
            <w:bottom w:w="0" w:type="dxa"/>
            <w:right w:w="57" w:type="dxa"/>
          </w:tblCellMar>
        </w:tblPrEx>
        <w:trPr>
          <w:trHeight w:val="340" w:hRule="atLeast"/>
        </w:trPr>
        <w:tc>
          <w:tcPr>
            <w:tcW w:w="184" w:type="pct"/>
            <w:gridSpan w:val="2"/>
            <w:vMerge w:val="continue"/>
            <w:tcBorders>
              <w:top w:val="nil"/>
              <w:left w:val="single" w:color="auto" w:sz="12" w:space="0"/>
              <w:bottom w:val="single" w:color="auto" w:sz="4" w:space="0"/>
              <w:right w:val="single" w:color="auto" w:sz="4" w:space="0"/>
            </w:tcBorders>
            <w:noWrap/>
            <w:vAlign w:val="center"/>
          </w:tcPr>
          <w:p w14:paraId="375A9515">
            <w:pPr>
              <w:pStyle w:val="179"/>
              <w:rPr>
                <w:rFonts w:cs="Times New Roman"/>
              </w:rPr>
            </w:pPr>
          </w:p>
        </w:tc>
        <w:tc>
          <w:tcPr>
            <w:tcW w:w="691" w:type="pct"/>
            <w:gridSpan w:val="2"/>
            <w:vMerge w:val="continue"/>
            <w:tcBorders>
              <w:top w:val="nil"/>
              <w:left w:val="nil"/>
              <w:bottom w:val="single" w:color="auto" w:sz="4" w:space="0"/>
              <w:right w:val="single" w:color="auto" w:sz="4" w:space="0"/>
            </w:tcBorders>
            <w:noWrap/>
            <w:vAlign w:val="center"/>
          </w:tcPr>
          <w:p w14:paraId="0AADEF86">
            <w:pPr>
              <w:pStyle w:val="179"/>
              <w:rPr>
                <w:rFonts w:cs="Times New Roman"/>
              </w:rPr>
            </w:pPr>
          </w:p>
        </w:tc>
        <w:tc>
          <w:tcPr>
            <w:tcW w:w="504" w:type="pct"/>
            <w:vMerge w:val="continue"/>
            <w:tcBorders>
              <w:top w:val="nil"/>
              <w:left w:val="nil"/>
              <w:bottom w:val="single" w:color="auto" w:sz="4" w:space="0"/>
              <w:right w:val="single" w:color="auto" w:sz="4" w:space="0"/>
            </w:tcBorders>
            <w:noWrap/>
            <w:vAlign w:val="center"/>
          </w:tcPr>
          <w:p w14:paraId="101A595F">
            <w:pPr>
              <w:pStyle w:val="179"/>
              <w:rPr>
                <w:rFonts w:cs="Times New Roman"/>
              </w:rPr>
            </w:pPr>
          </w:p>
        </w:tc>
        <w:tc>
          <w:tcPr>
            <w:tcW w:w="1181" w:type="pct"/>
            <w:gridSpan w:val="8"/>
            <w:tcBorders>
              <w:top w:val="single" w:color="auto" w:sz="4" w:space="0"/>
              <w:left w:val="nil"/>
              <w:bottom w:val="single" w:color="auto" w:sz="4" w:space="0"/>
              <w:right w:val="single" w:color="auto" w:sz="4" w:space="0"/>
            </w:tcBorders>
            <w:noWrap/>
            <w:vAlign w:val="center"/>
          </w:tcPr>
          <w:p w14:paraId="3601B0B5">
            <w:pPr>
              <w:pStyle w:val="179"/>
              <w:rPr>
                <w:rFonts w:cs="Times New Roman"/>
              </w:rPr>
            </w:pPr>
            <w:r>
              <w:rPr>
                <w:rFonts w:cs="Times New Roman"/>
              </w:rPr>
              <w:t>环境敏感目标分级</w:t>
            </w:r>
          </w:p>
        </w:tc>
        <w:tc>
          <w:tcPr>
            <w:tcW w:w="645" w:type="pct"/>
            <w:gridSpan w:val="3"/>
            <w:tcBorders>
              <w:top w:val="single" w:color="auto" w:sz="4" w:space="0"/>
              <w:left w:val="nil"/>
              <w:bottom w:val="single" w:color="auto" w:sz="4" w:space="0"/>
              <w:right w:val="single" w:color="auto" w:sz="4" w:space="0"/>
            </w:tcBorders>
            <w:noWrap/>
            <w:vAlign w:val="center"/>
          </w:tcPr>
          <w:p w14:paraId="6623DC8B">
            <w:pPr>
              <w:pStyle w:val="179"/>
              <w:rPr>
                <w:rFonts w:cs="Times New Roman"/>
              </w:rPr>
            </w:pPr>
            <w:r>
              <w:rPr>
                <w:rFonts w:cs="Times New Roman"/>
              </w:rPr>
              <w:t>S1</w:t>
            </w:r>
            <w:r>
              <w:rPr>
                <w:rFonts w:cs="Times New Roman"/>
              </w:rPr>
              <w:sym w:font="Wingdings 2" w:char="00A3"/>
            </w:r>
          </w:p>
        </w:tc>
        <w:tc>
          <w:tcPr>
            <w:tcW w:w="955" w:type="pct"/>
            <w:gridSpan w:val="9"/>
            <w:tcBorders>
              <w:top w:val="single" w:color="auto" w:sz="4" w:space="0"/>
              <w:left w:val="nil"/>
              <w:bottom w:val="single" w:color="auto" w:sz="4" w:space="0"/>
              <w:right w:val="single" w:color="auto" w:sz="4" w:space="0"/>
            </w:tcBorders>
            <w:noWrap/>
            <w:vAlign w:val="center"/>
          </w:tcPr>
          <w:p w14:paraId="5547ED0D">
            <w:pPr>
              <w:pStyle w:val="179"/>
              <w:rPr>
                <w:rFonts w:cs="Times New Roman"/>
              </w:rPr>
            </w:pPr>
            <w:r>
              <w:rPr>
                <w:rFonts w:cs="Times New Roman"/>
              </w:rPr>
              <w:t>S2</w:t>
            </w:r>
            <w:r>
              <w:rPr>
                <w:rFonts w:cs="Times New Roman"/>
              </w:rPr>
              <w:sym w:font="Wingdings 2" w:char="00A3"/>
            </w:r>
          </w:p>
        </w:tc>
        <w:tc>
          <w:tcPr>
            <w:tcW w:w="840" w:type="pct"/>
            <w:gridSpan w:val="3"/>
            <w:tcBorders>
              <w:top w:val="single" w:color="auto" w:sz="4" w:space="0"/>
              <w:left w:val="nil"/>
              <w:bottom w:val="single" w:color="auto" w:sz="4" w:space="0"/>
              <w:right w:val="single" w:color="auto" w:sz="12" w:space="0"/>
            </w:tcBorders>
            <w:noWrap/>
            <w:vAlign w:val="center"/>
          </w:tcPr>
          <w:p w14:paraId="64B94B01">
            <w:pPr>
              <w:pStyle w:val="179"/>
              <w:rPr>
                <w:rFonts w:cs="Times New Roman"/>
              </w:rPr>
            </w:pPr>
            <w:r>
              <w:rPr>
                <w:rFonts w:cs="Times New Roman"/>
              </w:rPr>
              <w:t>S3</w:t>
            </w:r>
            <w:r>
              <w:rPr>
                <w:rFonts w:cs="Times New Roman"/>
              </w:rPr>
              <w:sym w:font="Wingdings 2" w:char="00A3"/>
            </w:r>
          </w:p>
        </w:tc>
      </w:tr>
      <w:tr w14:paraId="753E4352">
        <w:tblPrEx>
          <w:tblCellMar>
            <w:top w:w="0" w:type="dxa"/>
            <w:left w:w="57" w:type="dxa"/>
            <w:bottom w:w="0" w:type="dxa"/>
            <w:right w:w="57" w:type="dxa"/>
          </w:tblCellMar>
        </w:tblPrEx>
        <w:trPr>
          <w:trHeight w:val="340" w:hRule="atLeast"/>
        </w:trPr>
        <w:tc>
          <w:tcPr>
            <w:tcW w:w="184" w:type="pct"/>
            <w:gridSpan w:val="2"/>
            <w:vMerge w:val="continue"/>
            <w:tcBorders>
              <w:top w:val="nil"/>
              <w:left w:val="single" w:color="auto" w:sz="12" w:space="0"/>
              <w:bottom w:val="single" w:color="auto" w:sz="4" w:space="0"/>
              <w:right w:val="single" w:color="auto" w:sz="4" w:space="0"/>
            </w:tcBorders>
            <w:noWrap/>
            <w:vAlign w:val="center"/>
          </w:tcPr>
          <w:p w14:paraId="25482F78">
            <w:pPr>
              <w:pStyle w:val="179"/>
              <w:rPr>
                <w:rFonts w:cs="Times New Roman"/>
              </w:rPr>
            </w:pPr>
          </w:p>
        </w:tc>
        <w:tc>
          <w:tcPr>
            <w:tcW w:w="691" w:type="pct"/>
            <w:gridSpan w:val="2"/>
            <w:vMerge w:val="continue"/>
            <w:tcBorders>
              <w:top w:val="nil"/>
              <w:left w:val="nil"/>
              <w:bottom w:val="single" w:color="auto" w:sz="4" w:space="0"/>
              <w:right w:val="single" w:color="auto" w:sz="4" w:space="0"/>
            </w:tcBorders>
            <w:noWrap/>
            <w:vAlign w:val="center"/>
          </w:tcPr>
          <w:p w14:paraId="1E75BAD4">
            <w:pPr>
              <w:pStyle w:val="179"/>
              <w:rPr>
                <w:rFonts w:cs="Times New Roman"/>
              </w:rPr>
            </w:pPr>
          </w:p>
        </w:tc>
        <w:tc>
          <w:tcPr>
            <w:tcW w:w="504" w:type="pct"/>
            <w:vMerge w:val="restart"/>
            <w:tcBorders>
              <w:top w:val="nil"/>
              <w:left w:val="nil"/>
              <w:bottom w:val="single" w:color="auto" w:sz="4" w:space="0"/>
              <w:right w:val="single" w:color="auto" w:sz="4" w:space="0"/>
            </w:tcBorders>
            <w:noWrap/>
            <w:vAlign w:val="center"/>
          </w:tcPr>
          <w:p w14:paraId="46F922D9">
            <w:pPr>
              <w:pStyle w:val="179"/>
              <w:rPr>
                <w:rFonts w:cs="Times New Roman"/>
              </w:rPr>
            </w:pPr>
            <w:r>
              <w:rPr>
                <w:rFonts w:cs="Times New Roman"/>
              </w:rPr>
              <w:t>地下水</w:t>
            </w:r>
          </w:p>
        </w:tc>
        <w:tc>
          <w:tcPr>
            <w:tcW w:w="1181" w:type="pct"/>
            <w:gridSpan w:val="8"/>
            <w:tcBorders>
              <w:top w:val="single" w:color="auto" w:sz="4" w:space="0"/>
              <w:left w:val="nil"/>
              <w:bottom w:val="single" w:color="auto" w:sz="4" w:space="0"/>
              <w:right w:val="single" w:color="auto" w:sz="4" w:space="0"/>
            </w:tcBorders>
            <w:noWrap/>
            <w:vAlign w:val="center"/>
          </w:tcPr>
          <w:p w14:paraId="30580D39">
            <w:pPr>
              <w:pStyle w:val="179"/>
              <w:rPr>
                <w:rFonts w:cs="Times New Roman"/>
              </w:rPr>
            </w:pPr>
            <w:r>
              <w:rPr>
                <w:rFonts w:cs="Times New Roman"/>
              </w:rPr>
              <w:t>地下水功能敏感性</w:t>
            </w:r>
          </w:p>
        </w:tc>
        <w:tc>
          <w:tcPr>
            <w:tcW w:w="645" w:type="pct"/>
            <w:gridSpan w:val="3"/>
            <w:tcBorders>
              <w:top w:val="single" w:color="auto" w:sz="4" w:space="0"/>
              <w:left w:val="nil"/>
              <w:bottom w:val="single" w:color="auto" w:sz="4" w:space="0"/>
              <w:right w:val="single" w:color="auto" w:sz="4" w:space="0"/>
            </w:tcBorders>
            <w:noWrap/>
            <w:vAlign w:val="center"/>
          </w:tcPr>
          <w:p w14:paraId="757C22EB">
            <w:pPr>
              <w:pStyle w:val="179"/>
              <w:rPr>
                <w:rFonts w:cs="Times New Roman"/>
              </w:rPr>
            </w:pPr>
            <w:r>
              <w:rPr>
                <w:rFonts w:cs="Times New Roman"/>
              </w:rPr>
              <w:t>G1</w:t>
            </w:r>
            <w:r>
              <w:rPr>
                <w:rFonts w:cs="Times New Roman"/>
              </w:rPr>
              <w:sym w:font="Wingdings 2" w:char="00A3"/>
            </w:r>
          </w:p>
        </w:tc>
        <w:tc>
          <w:tcPr>
            <w:tcW w:w="955" w:type="pct"/>
            <w:gridSpan w:val="9"/>
            <w:tcBorders>
              <w:top w:val="single" w:color="auto" w:sz="4" w:space="0"/>
              <w:left w:val="nil"/>
              <w:bottom w:val="single" w:color="auto" w:sz="4" w:space="0"/>
              <w:right w:val="single" w:color="auto" w:sz="4" w:space="0"/>
            </w:tcBorders>
            <w:noWrap/>
            <w:vAlign w:val="center"/>
          </w:tcPr>
          <w:p w14:paraId="679E333C">
            <w:pPr>
              <w:pStyle w:val="179"/>
              <w:rPr>
                <w:rFonts w:cs="Times New Roman"/>
              </w:rPr>
            </w:pPr>
            <w:r>
              <w:rPr>
                <w:rFonts w:cs="Times New Roman"/>
              </w:rPr>
              <w:t>G2</w:t>
            </w:r>
            <w:r>
              <w:rPr>
                <w:rFonts w:cs="Times New Roman"/>
              </w:rPr>
              <w:sym w:font="Wingdings 2" w:char="00A3"/>
            </w:r>
          </w:p>
        </w:tc>
        <w:tc>
          <w:tcPr>
            <w:tcW w:w="840" w:type="pct"/>
            <w:gridSpan w:val="3"/>
            <w:tcBorders>
              <w:top w:val="single" w:color="auto" w:sz="4" w:space="0"/>
              <w:left w:val="nil"/>
              <w:bottom w:val="single" w:color="auto" w:sz="4" w:space="0"/>
              <w:right w:val="single" w:color="auto" w:sz="12" w:space="0"/>
            </w:tcBorders>
            <w:noWrap/>
            <w:vAlign w:val="center"/>
          </w:tcPr>
          <w:p w14:paraId="1F86CAE2">
            <w:pPr>
              <w:pStyle w:val="179"/>
              <w:rPr>
                <w:rFonts w:cs="Times New Roman"/>
              </w:rPr>
            </w:pPr>
            <w:r>
              <w:rPr>
                <w:rFonts w:cs="Times New Roman"/>
              </w:rPr>
              <w:t>G3</w:t>
            </w:r>
            <w:r>
              <w:rPr>
                <w:rFonts w:cs="Times New Roman"/>
              </w:rPr>
              <w:sym w:font="Wingdings 2" w:char="00A3"/>
            </w:r>
          </w:p>
        </w:tc>
      </w:tr>
      <w:tr w14:paraId="121675D4">
        <w:tblPrEx>
          <w:tblCellMar>
            <w:top w:w="0" w:type="dxa"/>
            <w:left w:w="57" w:type="dxa"/>
            <w:bottom w:w="0" w:type="dxa"/>
            <w:right w:w="57" w:type="dxa"/>
          </w:tblCellMar>
        </w:tblPrEx>
        <w:trPr>
          <w:trHeight w:val="340" w:hRule="atLeast"/>
        </w:trPr>
        <w:tc>
          <w:tcPr>
            <w:tcW w:w="184" w:type="pct"/>
            <w:gridSpan w:val="2"/>
            <w:vMerge w:val="continue"/>
            <w:tcBorders>
              <w:top w:val="nil"/>
              <w:left w:val="single" w:color="auto" w:sz="12" w:space="0"/>
              <w:bottom w:val="single" w:color="auto" w:sz="4" w:space="0"/>
              <w:right w:val="single" w:color="auto" w:sz="4" w:space="0"/>
            </w:tcBorders>
            <w:noWrap/>
            <w:vAlign w:val="center"/>
          </w:tcPr>
          <w:p w14:paraId="161F9EDC">
            <w:pPr>
              <w:pStyle w:val="179"/>
              <w:rPr>
                <w:rFonts w:cs="Times New Roman"/>
              </w:rPr>
            </w:pPr>
          </w:p>
        </w:tc>
        <w:tc>
          <w:tcPr>
            <w:tcW w:w="691" w:type="pct"/>
            <w:gridSpan w:val="2"/>
            <w:vMerge w:val="continue"/>
            <w:tcBorders>
              <w:top w:val="nil"/>
              <w:left w:val="nil"/>
              <w:bottom w:val="single" w:color="auto" w:sz="4" w:space="0"/>
              <w:right w:val="single" w:color="auto" w:sz="4" w:space="0"/>
            </w:tcBorders>
            <w:noWrap/>
            <w:vAlign w:val="center"/>
          </w:tcPr>
          <w:p w14:paraId="104CE8C9">
            <w:pPr>
              <w:pStyle w:val="179"/>
              <w:rPr>
                <w:rFonts w:cs="Times New Roman"/>
              </w:rPr>
            </w:pPr>
          </w:p>
        </w:tc>
        <w:tc>
          <w:tcPr>
            <w:tcW w:w="504" w:type="pct"/>
            <w:vMerge w:val="continue"/>
            <w:tcBorders>
              <w:top w:val="nil"/>
              <w:left w:val="nil"/>
              <w:bottom w:val="single" w:color="auto" w:sz="4" w:space="0"/>
              <w:right w:val="single" w:color="auto" w:sz="4" w:space="0"/>
            </w:tcBorders>
            <w:noWrap/>
            <w:vAlign w:val="center"/>
          </w:tcPr>
          <w:p w14:paraId="72AF3839">
            <w:pPr>
              <w:pStyle w:val="179"/>
              <w:rPr>
                <w:rFonts w:cs="Times New Roman"/>
              </w:rPr>
            </w:pPr>
          </w:p>
        </w:tc>
        <w:tc>
          <w:tcPr>
            <w:tcW w:w="1181" w:type="pct"/>
            <w:gridSpan w:val="8"/>
            <w:tcBorders>
              <w:top w:val="single" w:color="auto" w:sz="4" w:space="0"/>
              <w:left w:val="nil"/>
              <w:bottom w:val="single" w:color="auto" w:sz="4" w:space="0"/>
              <w:right w:val="single" w:color="auto" w:sz="4" w:space="0"/>
            </w:tcBorders>
            <w:noWrap/>
            <w:vAlign w:val="center"/>
          </w:tcPr>
          <w:p w14:paraId="03ADBBB4">
            <w:pPr>
              <w:pStyle w:val="179"/>
              <w:rPr>
                <w:rFonts w:cs="Times New Roman"/>
              </w:rPr>
            </w:pPr>
            <w:r>
              <w:rPr>
                <w:rFonts w:cs="Times New Roman"/>
              </w:rPr>
              <w:t>包气带防污性能</w:t>
            </w:r>
          </w:p>
        </w:tc>
        <w:tc>
          <w:tcPr>
            <w:tcW w:w="645" w:type="pct"/>
            <w:gridSpan w:val="3"/>
            <w:tcBorders>
              <w:top w:val="single" w:color="auto" w:sz="4" w:space="0"/>
              <w:left w:val="nil"/>
              <w:bottom w:val="single" w:color="auto" w:sz="4" w:space="0"/>
              <w:right w:val="single" w:color="auto" w:sz="4" w:space="0"/>
            </w:tcBorders>
            <w:noWrap/>
            <w:vAlign w:val="center"/>
          </w:tcPr>
          <w:p w14:paraId="39B56C88">
            <w:pPr>
              <w:pStyle w:val="179"/>
              <w:rPr>
                <w:rFonts w:cs="Times New Roman"/>
              </w:rPr>
            </w:pPr>
            <w:r>
              <w:rPr>
                <w:rFonts w:cs="Times New Roman"/>
              </w:rPr>
              <w:t>D1</w:t>
            </w:r>
            <w:r>
              <w:rPr>
                <w:rFonts w:cs="Times New Roman"/>
              </w:rPr>
              <w:sym w:font="Wingdings 2" w:char="00A3"/>
            </w:r>
          </w:p>
        </w:tc>
        <w:tc>
          <w:tcPr>
            <w:tcW w:w="955" w:type="pct"/>
            <w:gridSpan w:val="9"/>
            <w:tcBorders>
              <w:top w:val="single" w:color="auto" w:sz="4" w:space="0"/>
              <w:left w:val="nil"/>
              <w:bottom w:val="single" w:color="auto" w:sz="4" w:space="0"/>
              <w:right w:val="single" w:color="auto" w:sz="4" w:space="0"/>
            </w:tcBorders>
            <w:noWrap/>
            <w:vAlign w:val="center"/>
          </w:tcPr>
          <w:p w14:paraId="1DB160FC">
            <w:pPr>
              <w:pStyle w:val="179"/>
              <w:rPr>
                <w:rFonts w:cs="Times New Roman"/>
              </w:rPr>
            </w:pPr>
            <w:r>
              <w:rPr>
                <w:rFonts w:cs="Times New Roman"/>
              </w:rPr>
              <w:t>D2</w:t>
            </w:r>
            <w:r>
              <w:rPr>
                <w:rFonts w:cs="Times New Roman"/>
              </w:rPr>
              <w:sym w:font="Wingdings 2" w:char="00A3"/>
            </w:r>
          </w:p>
        </w:tc>
        <w:tc>
          <w:tcPr>
            <w:tcW w:w="840" w:type="pct"/>
            <w:gridSpan w:val="3"/>
            <w:tcBorders>
              <w:top w:val="single" w:color="auto" w:sz="4" w:space="0"/>
              <w:left w:val="nil"/>
              <w:bottom w:val="single" w:color="auto" w:sz="4" w:space="0"/>
              <w:right w:val="single" w:color="auto" w:sz="12" w:space="0"/>
            </w:tcBorders>
            <w:noWrap/>
            <w:vAlign w:val="center"/>
          </w:tcPr>
          <w:p w14:paraId="354E9428">
            <w:pPr>
              <w:pStyle w:val="179"/>
              <w:rPr>
                <w:rFonts w:cs="Times New Roman"/>
              </w:rPr>
            </w:pPr>
            <w:r>
              <w:rPr>
                <w:rFonts w:cs="Times New Roman"/>
              </w:rPr>
              <w:t>D3</w:t>
            </w:r>
            <w:r>
              <w:rPr>
                <w:rFonts w:cs="Times New Roman"/>
              </w:rPr>
              <w:sym w:font="Wingdings 2" w:char="00A3"/>
            </w:r>
          </w:p>
        </w:tc>
      </w:tr>
      <w:tr w14:paraId="032D3AE1">
        <w:tblPrEx>
          <w:tblCellMar>
            <w:top w:w="0" w:type="dxa"/>
            <w:left w:w="57" w:type="dxa"/>
            <w:bottom w:w="0" w:type="dxa"/>
            <w:right w:w="57" w:type="dxa"/>
          </w:tblCellMar>
        </w:tblPrEx>
        <w:trPr>
          <w:trHeight w:val="397" w:hRule="atLeast"/>
        </w:trPr>
        <w:tc>
          <w:tcPr>
            <w:tcW w:w="875" w:type="pct"/>
            <w:gridSpan w:val="4"/>
            <w:vMerge w:val="restart"/>
            <w:tcBorders>
              <w:top w:val="nil"/>
              <w:left w:val="single" w:color="auto" w:sz="12" w:space="0"/>
              <w:bottom w:val="single" w:color="auto" w:sz="4" w:space="0"/>
              <w:right w:val="single" w:color="auto" w:sz="4" w:space="0"/>
            </w:tcBorders>
            <w:noWrap/>
            <w:vAlign w:val="center"/>
          </w:tcPr>
          <w:p w14:paraId="411ABCA3">
            <w:pPr>
              <w:pStyle w:val="179"/>
              <w:rPr>
                <w:rFonts w:cs="Times New Roman"/>
              </w:rPr>
            </w:pPr>
            <w:r>
              <w:rPr>
                <w:rFonts w:cs="Times New Roman"/>
              </w:rPr>
              <w:t>物质及工艺系统危险性</w:t>
            </w:r>
          </w:p>
        </w:tc>
        <w:tc>
          <w:tcPr>
            <w:tcW w:w="504" w:type="pct"/>
            <w:tcBorders>
              <w:top w:val="single" w:color="auto" w:sz="4" w:space="0"/>
              <w:left w:val="nil"/>
              <w:bottom w:val="single" w:color="auto" w:sz="4" w:space="0"/>
              <w:right w:val="single" w:color="auto" w:sz="4" w:space="0"/>
            </w:tcBorders>
            <w:noWrap/>
            <w:vAlign w:val="center"/>
          </w:tcPr>
          <w:p w14:paraId="2C15FC6B">
            <w:pPr>
              <w:pStyle w:val="179"/>
              <w:rPr>
                <w:rFonts w:cs="Times New Roman"/>
              </w:rPr>
            </w:pPr>
            <w:r>
              <w:rPr>
                <w:rFonts w:cs="Times New Roman"/>
              </w:rPr>
              <w:t>Q值</w:t>
            </w:r>
          </w:p>
        </w:tc>
        <w:tc>
          <w:tcPr>
            <w:tcW w:w="1011" w:type="pct"/>
            <w:gridSpan w:val="5"/>
            <w:tcBorders>
              <w:top w:val="single" w:color="auto" w:sz="4" w:space="0"/>
              <w:left w:val="nil"/>
              <w:bottom w:val="single" w:color="auto" w:sz="4" w:space="0"/>
              <w:right w:val="single" w:color="auto" w:sz="4" w:space="0"/>
            </w:tcBorders>
            <w:noWrap/>
            <w:vAlign w:val="center"/>
          </w:tcPr>
          <w:p w14:paraId="488FFBFB">
            <w:pPr>
              <w:pStyle w:val="179"/>
              <w:rPr>
                <w:rFonts w:cs="Times New Roman"/>
              </w:rPr>
            </w:pPr>
            <w:r>
              <w:rPr>
                <w:rFonts w:cs="Times New Roman"/>
              </w:rPr>
              <w:t>Q＜1</w:t>
            </w:r>
            <w:r>
              <w:rPr>
                <w:rFonts w:hint="eastAsia" w:ascii="MS Mincho" w:hAnsi="MS Mincho" w:eastAsia="MS Mincho" w:cs="MS Mincho"/>
              </w:rPr>
              <w:t>☑</w:t>
            </w:r>
          </w:p>
        </w:tc>
        <w:tc>
          <w:tcPr>
            <w:tcW w:w="815" w:type="pct"/>
            <w:gridSpan w:val="6"/>
            <w:tcBorders>
              <w:top w:val="single" w:color="auto" w:sz="4" w:space="0"/>
              <w:left w:val="nil"/>
              <w:bottom w:val="single" w:color="auto" w:sz="4" w:space="0"/>
              <w:right w:val="single" w:color="auto" w:sz="4" w:space="0"/>
            </w:tcBorders>
            <w:noWrap/>
            <w:vAlign w:val="center"/>
          </w:tcPr>
          <w:p w14:paraId="57EA88F0">
            <w:pPr>
              <w:pStyle w:val="179"/>
              <w:rPr>
                <w:rFonts w:cs="Times New Roman"/>
              </w:rPr>
            </w:pPr>
            <w:r>
              <w:rPr>
                <w:rFonts w:cs="Times New Roman"/>
              </w:rPr>
              <w:t>1≤Q＜10□</w:t>
            </w:r>
          </w:p>
        </w:tc>
        <w:tc>
          <w:tcPr>
            <w:tcW w:w="955" w:type="pct"/>
            <w:gridSpan w:val="9"/>
            <w:tcBorders>
              <w:top w:val="single" w:color="auto" w:sz="4" w:space="0"/>
              <w:left w:val="nil"/>
              <w:bottom w:val="single" w:color="auto" w:sz="4" w:space="0"/>
              <w:right w:val="single" w:color="auto" w:sz="4" w:space="0"/>
            </w:tcBorders>
            <w:noWrap/>
            <w:vAlign w:val="center"/>
          </w:tcPr>
          <w:p w14:paraId="440B6784">
            <w:pPr>
              <w:pStyle w:val="179"/>
              <w:rPr>
                <w:rFonts w:cs="Times New Roman"/>
              </w:rPr>
            </w:pPr>
            <w:r>
              <w:rPr>
                <w:rFonts w:cs="Times New Roman"/>
              </w:rPr>
              <w:t>10≤Q＜100□</w:t>
            </w:r>
          </w:p>
        </w:tc>
        <w:tc>
          <w:tcPr>
            <w:tcW w:w="840" w:type="pct"/>
            <w:gridSpan w:val="3"/>
            <w:tcBorders>
              <w:top w:val="single" w:color="auto" w:sz="4" w:space="0"/>
              <w:left w:val="nil"/>
              <w:bottom w:val="single" w:color="auto" w:sz="4" w:space="0"/>
              <w:right w:val="single" w:color="auto" w:sz="12" w:space="0"/>
            </w:tcBorders>
            <w:noWrap/>
            <w:vAlign w:val="center"/>
          </w:tcPr>
          <w:p w14:paraId="0F27B061">
            <w:pPr>
              <w:pStyle w:val="179"/>
              <w:rPr>
                <w:rFonts w:cs="Times New Roman"/>
              </w:rPr>
            </w:pPr>
            <w:r>
              <w:rPr>
                <w:rFonts w:cs="Times New Roman"/>
              </w:rPr>
              <w:t>Q&gt;100□</w:t>
            </w:r>
          </w:p>
        </w:tc>
      </w:tr>
      <w:tr w14:paraId="6252316E">
        <w:tblPrEx>
          <w:tblCellMar>
            <w:top w:w="0" w:type="dxa"/>
            <w:left w:w="57" w:type="dxa"/>
            <w:bottom w:w="0" w:type="dxa"/>
            <w:right w:w="57" w:type="dxa"/>
          </w:tblCellMar>
        </w:tblPrEx>
        <w:trPr>
          <w:trHeight w:val="397" w:hRule="atLeast"/>
        </w:trPr>
        <w:tc>
          <w:tcPr>
            <w:tcW w:w="875" w:type="pct"/>
            <w:gridSpan w:val="4"/>
            <w:vMerge w:val="continue"/>
            <w:tcBorders>
              <w:top w:val="nil"/>
              <w:left w:val="single" w:color="auto" w:sz="12" w:space="0"/>
              <w:bottom w:val="single" w:color="auto" w:sz="4" w:space="0"/>
              <w:right w:val="single" w:color="auto" w:sz="4" w:space="0"/>
            </w:tcBorders>
            <w:noWrap/>
            <w:vAlign w:val="center"/>
          </w:tcPr>
          <w:p w14:paraId="300F23FF">
            <w:pPr>
              <w:pStyle w:val="179"/>
              <w:rPr>
                <w:rFonts w:cs="Times New Roman"/>
              </w:rPr>
            </w:pPr>
          </w:p>
        </w:tc>
        <w:tc>
          <w:tcPr>
            <w:tcW w:w="504" w:type="pct"/>
            <w:tcBorders>
              <w:top w:val="single" w:color="auto" w:sz="4" w:space="0"/>
              <w:left w:val="nil"/>
              <w:bottom w:val="single" w:color="auto" w:sz="4" w:space="0"/>
              <w:right w:val="single" w:color="auto" w:sz="4" w:space="0"/>
            </w:tcBorders>
            <w:noWrap/>
            <w:vAlign w:val="center"/>
          </w:tcPr>
          <w:p w14:paraId="49C0937C">
            <w:pPr>
              <w:pStyle w:val="179"/>
              <w:rPr>
                <w:rFonts w:cs="Times New Roman"/>
              </w:rPr>
            </w:pPr>
            <w:r>
              <w:rPr>
                <w:rFonts w:cs="Times New Roman"/>
              </w:rPr>
              <w:t>M值</w:t>
            </w:r>
          </w:p>
        </w:tc>
        <w:tc>
          <w:tcPr>
            <w:tcW w:w="1011" w:type="pct"/>
            <w:gridSpan w:val="5"/>
            <w:tcBorders>
              <w:top w:val="single" w:color="auto" w:sz="4" w:space="0"/>
              <w:left w:val="nil"/>
              <w:bottom w:val="single" w:color="auto" w:sz="4" w:space="0"/>
              <w:right w:val="single" w:color="auto" w:sz="4" w:space="0"/>
            </w:tcBorders>
            <w:noWrap/>
            <w:vAlign w:val="center"/>
          </w:tcPr>
          <w:p w14:paraId="0641B8E6">
            <w:pPr>
              <w:pStyle w:val="179"/>
              <w:rPr>
                <w:rFonts w:cs="Times New Roman"/>
              </w:rPr>
            </w:pPr>
            <w:r>
              <w:rPr>
                <w:rFonts w:cs="Times New Roman"/>
              </w:rPr>
              <w:t>M1</w:t>
            </w:r>
            <w:r>
              <w:rPr>
                <w:rFonts w:cs="Times New Roman"/>
              </w:rPr>
              <w:sym w:font="Wingdings 2" w:char="00A3"/>
            </w:r>
          </w:p>
        </w:tc>
        <w:tc>
          <w:tcPr>
            <w:tcW w:w="815" w:type="pct"/>
            <w:gridSpan w:val="6"/>
            <w:tcBorders>
              <w:top w:val="single" w:color="auto" w:sz="4" w:space="0"/>
              <w:left w:val="nil"/>
              <w:bottom w:val="single" w:color="auto" w:sz="4" w:space="0"/>
              <w:right w:val="single" w:color="auto" w:sz="4" w:space="0"/>
            </w:tcBorders>
            <w:noWrap/>
            <w:vAlign w:val="center"/>
          </w:tcPr>
          <w:p w14:paraId="3C2CE3B1">
            <w:pPr>
              <w:pStyle w:val="179"/>
              <w:rPr>
                <w:rFonts w:cs="Times New Roman"/>
              </w:rPr>
            </w:pPr>
            <w:r>
              <w:rPr>
                <w:rFonts w:cs="Times New Roman"/>
              </w:rPr>
              <w:t>M2</w:t>
            </w:r>
            <w:r>
              <w:rPr>
                <w:rFonts w:cs="Times New Roman"/>
              </w:rPr>
              <w:sym w:font="Wingdings 2" w:char="00A3"/>
            </w:r>
          </w:p>
        </w:tc>
        <w:tc>
          <w:tcPr>
            <w:tcW w:w="955" w:type="pct"/>
            <w:gridSpan w:val="9"/>
            <w:tcBorders>
              <w:top w:val="single" w:color="auto" w:sz="4" w:space="0"/>
              <w:left w:val="nil"/>
              <w:bottom w:val="single" w:color="auto" w:sz="4" w:space="0"/>
              <w:right w:val="single" w:color="auto" w:sz="4" w:space="0"/>
            </w:tcBorders>
            <w:noWrap/>
            <w:vAlign w:val="center"/>
          </w:tcPr>
          <w:p w14:paraId="156A11C6">
            <w:pPr>
              <w:pStyle w:val="179"/>
              <w:rPr>
                <w:rFonts w:cs="Times New Roman"/>
              </w:rPr>
            </w:pPr>
            <w:r>
              <w:rPr>
                <w:rFonts w:cs="Times New Roman"/>
              </w:rPr>
              <w:t>M3□</w:t>
            </w:r>
          </w:p>
        </w:tc>
        <w:tc>
          <w:tcPr>
            <w:tcW w:w="840" w:type="pct"/>
            <w:gridSpan w:val="3"/>
            <w:tcBorders>
              <w:top w:val="single" w:color="auto" w:sz="4" w:space="0"/>
              <w:left w:val="nil"/>
              <w:bottom w:val="single" w:color="auto" w:sz="4" w:space="0"/>
              <w:right w:val="single" w:color="auto" w:sz="12" w:space="0"/>
            </w:tcBorders>
            <w:noWrap/>
            <w:vAlign w:val="center"/>
          </w:tcPr>
          <w:p w14:paraId="6591E36F">
            <w:pPr>
              <w:pStyle w:val="179"/>
              <w:rPr>
                <w:rFonts w:cs="Times New Roman"/>
              </w:rPr>
            </w:pPr>
            <w:r>
              <w:rPr>
                <w:rFonts w:cs="Times New Roman"/>
              </w:rPr>
              <w:t>M4□</w:t>
            </w:r>
          </w:p>
        </w:tc>
      </w:tr>
      <w:tr w14:paraId="607D5C01">
        <w:tblPrEx>
          <w:tblCellMar>
            <w:top w:w="0" w:type="dxa"/>
            <w:left w:w="57" w:type="dxa"/>
            <w:bottom w:w="0" w:type="dxa"/>
            <w:right w:w="57" w:type="dxa"/>
          </w:tblCellMar>
        </w:tblPrEx>
        <w:trPr>
          <w:trHeight w:val="397" w:hRule="atLeast"/>
        </w:trPr>
        <w:tc>
          <w:tcPr>
            <w:tcW w:w="875" w:type="pct"/>
            <w:gridSpan w:val="4"/>
            <w:vMerge w:val="continue"/>
            <w:tcBorders>
              <w:top w:val="nil"/>
              <w:left w:val="single" w:color="auto" w:sz="12" w:space="0"/>
              <w:bottom w:val="single" w:color="auto" w:sz="4" w:space="0"/>
              <w:right w:val="single" w:color="auto" w:sz="4" w:space="0"/>
            </w:tcBorders>
            <w:noWrap/>
            <w:vAlign w:val="center"/>
          </w:tcPr>
          <w:p w14:paraId="4C1FCF23">
            <w:pPr>
              <w:pStyle w:val="179"/>
              <w:rPr>
                <w:rFonts w:cs="Times New Roman"/>
              </w:rPr>
            </w:pPr>
          </w:p>
        </w:tc>
        <w:tc>
          <w:tcPr>
            <w:tcW w:w="504" w:type="pct"/>
            <w:tcBorders>
              <w:top w:val="single" w:color="auto" w:sz="4" w:space="0"/>
              <w:left w:val="nil"/>
              <w:bottom w:val="single" w:color="auto" w:sz="4" w:space="0"/>
              <w:right w:val="single" w:color="auto" w:sz="4" w:space="0"/>
            </w:tcBorders>
            <w:noWrap/>
            <w:vAlign w:val="center"/>
          </w:tcPr>
          <w:p w14:paraId="71143A64">
            <w:pPr>
              <w:pStyle w:val="179"/>
              <w:rPr>
                <w:rFonts w:cs="Times New Roman"/>
              </w:rPr>
            </w:pPr>
            <w:r>
              <w:rPr>
                <w:rFonts w:cs="Times New Roman"/>
              </w:rPr>
              <w:t>P值</w:t>
            </w:r>
          </w:p>
        </w:tc>
        <w:tc>
          <w:tcPr>
            <w:tcW w:w="1011" w:type="pct"/>
            <w:gridSpan w:val="5"/>
            <w:tcBorders>
              <w:top w:val="single" w:color="auto" w:sz="4" w:space="0"/>
              <w:left w:val="nil"/>
              <w:bottom w:val="single" w:color="auto" w:sz="4" w:space="0"/>
              <w:right w:val="single" w:color="auto" w:sz="4" w:space="0"/>
            </w:tcBorders>
            <w:noWrap/>
            <w:vAlign w:val="center"/>
          </w:tcPr>
          <w:p w14:paraId="7019C466">
            <w:pPr>
              <w:pStyle w:val="179"/>
              <w:rPr>
                <w:rFonts w:cs="Times New Roman"/>
              </w:rPr>
            </w:pPr>
            <w:r>
              <w:rPr>
                <w:rFonts w:cs="Times New Roman"/>
              </w:rPr>
              <w:t>P1</w:t>
            </w:r>
            <w:r>
              <w:rPr>
                <w:rFonts w:cs="Times New Roman"/>
              </w:rPr>
              <w:sym w:font="Wingdings 2" w:char="00A3"/>
            </w:r>
          </w:p>
        </w:tc>
        <w:tc>
          <w:tcPr>
            <w:tcW w:w="815" w:type="pct"/>
            <w:gridSpan w:val="6"/>
            <w:tcBorders>
              <w:top w:val="single" w:color="auto" w:sz="4" w:space="0"/>
              <w:left w:val="nil"/>
              <w:bottom w:val="single" w:color="auto" w:sz="4" w:space="0"/>
              <w:right w:val="single" w:color="auto" w:sz="4" w:space="0"/>
            </w:tcBorders>
            <w:noWrap/>
            <w:vAlign w:val="center"/>
          </w:tcPr>
          <w:p w14:paraId="114DF2AB">
            <w:pPr>
              <w:pStyle w:val="179"/>
              <w:rPr>
                <w:rFonts w:cs="Times New Roman"/>
              </w:rPr>
            </w:pPr>
            <w:r>
              <w:rPr>
                <w:rFonts w:cs="Times New Roman"/>
              </w:rPr>
              <w:t>P2</w:t>
            </w:r>
            <w:r>
              <w:rPr>
                <w:rFonts w:cs="Times New Roman"/>
              </w:rPr>
              <w:sym w:font="Wingdings 2" w:char="00A3"/>
            </w:r>
          </w:p>
        </w:tc>
        <w:tc>
          <w:tcPr>
            <w:tcW w:w="955" w:type="pct"/>
            <w:gridSpan w:val="9"/>
            <w:tcBorders>
              <w:top w:val="single" w:color="auto" w:sz="4" w:space="0"/>
              <w:left w:val="nil"/>
              <w:bottom w:val="single" w:color="auto" w:sz="4" w:space="0"/>
              <w:right w:val="single" w:color="auto" w:sz="4" w:space="0"/>
            </w:tcBorders>
            <w:noWrap/>
            <w:vAlign w:val="center"/>
          </w:tcPr>
          <w:p w14:paraId="5E482055">
            <w:pPr>
              <w:pStyle w:val="179"/>
              <w:rPr>
                <w:rFonts w:cs="Times New Roman"/>
              </w:rPr>
            </w:pPr>
            <w:r>
              <w:rPr>
                <w:rFonts w:cs="Times New Roman"/>
              </w:rPr>
              <w:t>P3□</w:t>
            </w:r>
          </w:p>
        </w:tc>
        <w:tc>
          <w:tcPr>
            <w:tcW w:w="840" w:type="pct"/>
            <w:gridSpan w:val="3"/>
            <w:tcBorders>
              <w:top w:val="single" w:color="auto" w:sz="4" w:space="0"/>
              <w:left w:val="nil"/>
              <w:bottom w:val="single" w:color="auto" w:sz="4" w:space="0"/>
              <w:right w:val="single" w:color="auto" w:sz="12" w:space="0"/>
            </w:tcBorders>
            <w:noWrap/>
            <w:vAlign w:val="center"/>
          </w:tcPr>
          <w:p w14:paraId="3B7556D8">
            <w:pPr>
              <w:pStyle w:val="179"/>
              <w:rPr>
                <w:rFonts w:cs="Times New Roman"/>
              </w:rPr>
            </w:pPr>
            <w:r>
              <w:rPr>
                <w:rFonts w:cs="Times New Roman"/>
              </w:rPr>
              <w:t>P4</w:t>
            </w:r>
            <w:r>
              <w:rPr>
                <w:rFonts w:cs="Times New Roman"/>
              </w:rPr>
              <w:sym w:font="Wingdings 2" w:char="00A3"/>
            </w:r>
          </w:p>
        </w:tc>
      </w:tr>
      <w:tr w14:paraId="60C18EB2">
        <w:tblPrEx>
          <w:tblCellMar>
            <w:top w:w="0" w:type="dxa"/>
            <w:left w:w="57" w:type="dxa"/>
            <w:bottom w:w="0" w:type="dxa"/>
            <w:right w:w="57" w:type="dxa"/>
          </w:tblCellMar>
        </w:tblPrEx>
        <w:trPr>
          <w:trHeight w:val="397" w:hRule="atLeast"/>
        </w:trPr>
        <w:tc>
          <w:tcPr>
            <w:tcW w:w="875" w:type="pct"/>
            <w:gridSpan w:val="4"/>
            <w:vMerge w:val="restart"/>
            <w:tcBorders>
              <w:top w:val="nil"/>
              <w:left w:val="single" w:color="auto" w:sz="12" w:space="0"/>
              <w:bottom w:val="single" w:color="auto" w:sz="4" w:space="0"/>
              <w:right w:val="single" w:color="auto" w:sz="4" w:space="0"/>
            </w:tcBorders>
            <w:noWrap/>
            <w:vAlign w:val="center"/>
          </w:tcPr>
          <w:p w14:paraId="2449C5F6">
            <w:pPr>
              <w:pStyle w:val="179"/>
              <w:rPr>
                <w:rFonts w:cs="Times New Roman"/>
              </w:rPr>
            </w:pPr>
            <w:r>
              <w:rPr>
                <w:rFonts w:cs="Times New Roman"/>
              </w:rPr>
              <w:t>环境敏感</w:t>
            </w:r>
          </w:p>
          <w:p w14:paraId="10B8610D">
            <w:pPr>
              <w:pStyle w:val="179"/>
              <w:rPr>
                <w:rFonts w:cs="Times New Roman"/>
              </w:rPr>
            </w:pPr>
            <w:r>
              <w:rPr>
                <w:rFonts w:cs="Times New Roman"/>
              </w:rPr>
              <w:t>程度</w:t>
            </w:r>
          </w:p>
        </w:tc>
        <w:tc>
          <w:tcPr>
            <w:tcW w:w="504" w:type="pct"/>
            <w:tcBorders>
              <w:top w:val="single" w:color="auto" w:sz="4" w:space="0"/>
              <w:left w:val="nil"/>
              <w:bottom w:val="single" w:color="auto" w:sz="4" w:space="0"/>
              <w:right w:val="single" w:color="auto" w:sz="4" w:space="0"/>
            </w:tcBorders>
            <w:noWrap/>
            <w:vAlign w:val="center"/>
          </w:tcPr>
          <w:p w14:paraId="58FA8DFB">
            <w:pPr>
              <w:pStyle w:val="179"/>
              <w:rPr>
                <w:rFonts w:cs="Times New Roman"/>
              </w:rPr>
            </w:pPr>
            <w:r>
              <w:rPr>
                <w:rFonts w:cs="Times New Roman"/>
              </w:rPr>
              <w:t>大气</w:t>
            </w:r>
          </w:p>
        </w:tc>
        <w:tc>
          <w:tcPr>
            <w:tcW w:w="1178" w:type="pct"/>
            <w:gridSpan w:val="7"/>
            <w:tcBorders>
              <w:top w:val="single" w:color="auto" w:sz="4" w:space="0"/>
              <w:left w:val="nil"/>
              <w:bottom w:val="single" w:color="auto" w:sz="4" w:space="0"/>
              <w:right w:val="single" w:color="auto" w:sz="4" w:space="0"/>
            </w:tcBorders>
            <w:noWrap/>
            <w:vAlign w:val="center"/>
          </w:tcPr>
          <w:p w14:paraId="7FCF9A9B">
            <w:pPr>
              <w:pStyle w:val="179"/>
              <w:rPr>
                <w:rFonts w:cs="Times New Roman"/>
              </w:rPr>
            </w:pPr>
            <w:r>
              <w:rPr>
                <w:rFonts w:cs="Times New Roman"/>
              </w:rPr>
              <w:t>E1</w:t>
            </w:r>
            <w:r>
              <w:rPr>
                <w:rFonts w:cs="Times New Roman"/>
              </w:rPr>
              <w:sym w:font="Wingdings 2" w:char="00A3"/>
            </w:r>
          </w:p>
        </w:tc>
        <w:tc>
          <w:tcPr>
            <w:tcW w:w="1239" w:type="pct"/>
            <w:gridSpan w:val="10"/>
            <w:tcBorders>
              <w:top w:val="single" w:color="auto" w:sz="4" w:space="0"/>
              <w:left w:val="nil"/>
              <w:bottom w:val="single" w:color="auto" w:sz="4" w:space="0"/>
              <w:right w:val="single" w:color="auto" w:sz="4" w:space="0"/>
            </w:tcBorders>
            <w:noWrap/>
            <w:vAlign w:val="center"/>
          </w:tcPr>
          <w:p w14:paraId="12A43FA6">
            <w:pPr>
              <w:pStyle w:val="179"/>
              <w:rPr>
                <w:rFonts w:cs="Times New Roman"/>
              </w:rPr>
            </w:pPr>
            <w:r>
              <w:rPr>
                <w:rFonts w:cs="Times New Roman"/>
              </w:rPr>
              <w:t>E2</w:t>
            </w:r>
            <w:r>
              <w:rPr>
                <w:rFonts w:cs="Times New Roman"/>
              </w:rPr>
              <w:sym w:font="Wingdings 2" w:char="00A3"/>
            </w:r>
          </w:p>
        </w:tc>
        <w:tc>
          <w:tcPr>
            <w:tcW w:w="1205" w:type="pct"/>
            <w:gridSpan w:val="6"/>
            <w:tcBorders>
              <w:top w:val="single" w:color="auto" w:sz="4" w:space="0"/>
              <w:left w:val="nil"/>
              <w:bottom w:val="single" w:color="auto" w:sz="4" w:space="0"/>
              <w:right w:val="single" w:color="auto" w:sz="12" w:space="0"/>
            </w:tcBorders>
            <w:noWrap/>
            <w:vAlign w:val="center"/>
          </w:tcPr>
          <w:p w14:paraId="6285357A">
            <w:pPr>
              <w:pStyle w:val="179"/>
              <w:rPr>
                <w:rFonts w:cs="Times New Roman"/>
              </w:rPr>
            </w:pPr>
            <w:r>
              <w:rPr>
                <w:rFonts w:cs="Times New Roman"/>
              </w:rPr>
              <w:t>E3</w:t>
            </w:r>
            <w:r>
              <w:rPr>
                <w:rFonts w:cs="Times New Roman"/>
              </w:rPr>
              <w:sym w:font="Wingdings 2" w:char="00A3"/>
            </w:r>
          </w:p>
        </w:tc>
      </w:tr>
      <w:tr w14:paraId="7BD70625">
        <w:tblPrEx>
          <w:tblCellMar>
            <w:top w:w="0" w:type="dxa"/>
            <w:left w:w="57" w:type="dxa"/>
            <w:bottom w:w="0" w:type="dxa"/>
            <w:right w:w="57" w:type="dxa"/>
          </w:tblCellMar>
        </w:tblPrEx>
        <w:trPr>
          <w:trHeight w:val="397" w:hRule="atLeast"/>
        </w:trPr>
        <w:tc>
          <w:tcPr>
            <w:tcW w:w="875" w:type="pct"/>
            <w:gridSpan w:val="4"/>
            <w:vMerge w:val="continue"/>
            <w:tcBorders>
              <w:top w:val="nil"/>
              <w:left w:val="single" w:color="auto" w:sz="12" w:space="0"/>
              <w:bottom w:val="single" w:color="auto" w:sz="4" w:space="0"/>
              <w:right w:val="single" w:color="auto" w:sz="4" w:space="0"/>
            </w:tcBorders>
            <w:noWrap/>
            <w:vAlign w:val="center"/>
          </w:tcPr>
          <w:p w14:paraId="309F5BE2">
            <w:pPr>
              <w:pStyle w:val="179"/>
              <w:rPr>
                <w:rFonts w:cs="Times New Roman"/>
              </w:rPr>
            </w:pPr>
          </w:p>
        </w:tc>
        <w:tc>
          <w:tcPr>
            <w:tcW w:w="504" w:type="pct"/>
            <w:tcBorders>
              <w:top w:val="single" w:color="auto" w:sz="4" w:space="0"/>
              <w:left w:val="nil"/>
              <w:bottom w:val="single" w:color="auto" w:sz="4" w:space="0"/>
              <w:right w:val="single" w:color="auto" w:sz="4" w:space="0"/>
            </w:tcBorders>
            <w:noWrap/>
            <w:vAlign w:val="center"/>
          </w:tcPr>
          <w:p w14:paraId="56556129">
            <w:pPr>
              <w:pStyle w:val="179"/>
              <w:rPr>
                <w:rFonts w:cs="Times New Roman"/>
              </w:rPr>
            </w:pPr>
            <w:r>
              <w:rPr>
                <w:rFonts w:cs="Times New Roman"/>
              </w:rPr>
              <w:t>地表水</w:t>
            </w:r>
          </w:p>
        </w:tc>
        <w:tc>
          <w:tcPr>
            <w:tcW w:w="1178" w:type="pct"/>
            <w:gridSpan w:val="7"/>
            <w:tcBorders>
              <w:top w:val="single" w:color="auto" w:sz="4" w:space="0"/>
              <w:left w:val="nil"/>
              <w:bottom w:val="single" w:color="auto" w:sz="4" w:space="0"/>
              <w:right w:val="single" w:color="auto" w:sz="4" w:space="0"/>
            </w:tcBorders>
            <w:noWrap/>
            <w:vAlign w:val="center"/>
          </w:tcPr>
          <w:p w14:paraId="7A87B8E1">
            <w:pPr>
              <w:pStyle w:val="179"/>
              <w:rPr>
                <w:rFonts w:cs="Times New Roman"/>
              </w:rPr>
            </w:pPr>
            <w:r>
              <w:rPr>
                <w:rFonts w:cs="Times New Roman"/>
              </w:rPr>
              <w:t>E1</w:t>
            </w:r>
            <w:r>
              <w:rPr>
                <w:rFonts w:cs="Times New Roman"/>
              </w:rPr>
              <w:sym w:font="Wingdings 2" w:char="00A3"/>
            </w:r>
          </w:p>
        </w:tc>
        <w:tc>
          <w:tcPr>
            <w:tcW w:w="1239" w:type="pct"/>
            <w:gridSpan w:val="10"/>
            <w:tcBorders>
              <w:top w:val="single" w:color="auto" w:sz="4" w:space="0"/>
              <w:left w:val="nil"/>
              <w:bottom w:val="single" w:color="auto" w:sz="4" w:space="0"/>
              <w:right w:val="single" w:color="auto" w:sz="4" w:space="0"/>
            </w:tcBorders>
            <w:noWrap/>
            <w:vAlign w:val="center"/>
          </w:tcPr>
          <w:p w14:paraId="6B9EDBE2">
            <w:pPr>
              <w:pStyle w:val="179"/>
              <w:rPr>
                <w:rFonts w:cs="Times New Roman"/>
              </w:rPr>
            </w:pPr>
            <w:r>
              <w:rPr>
                <w:rFonts w:cs="Times New Roman"/>
              </w:rPr>
              <w:t>E2</w:t>
            </w:r>
            <w:r>
              <w:rPr>
                <w:rFonts w:cs="Times New Roman"/>
              </w:rPr>
              <w:sym w:font="Wingdings 2" w:char="00A3"/>
            </w:r>
          </w:p>
        </w:tc>
        <w:tc>
          <w:tcPr>
            <w:tcW w:w="1205" w:type="pct"/>
            <w:gridSpan w:val="6"/>
            <w:tcBorders>
              <w:top w:val="single" w:color="auto" w:sz="4" w:space="0"/>
              <w:left w:val="nil"/>
              <w:bottom w:val="single" w:color="auto" w:sz="4" w:space="0"/>
              <w:right w:val="single" w:color="auto" w:sz="12" w:space="0"/>
            </w:tcBorders>
            <w:noWrap/>
            <w:vAlign w:val="center"/>
          </w:tcPr>
          <w:p w14:paraId="16BF8D3D">
            <w:pPr>
              <w:pStyle w:val="179"/>
              <w:rPr>
                <w:rFonts w:cs="Times New Roman"/>
              </w:rPr>
            </w:pPr>
            <w:r>
              <w:rPr>
                <w:rFonts w:cs="Times New Roman"/>
              </w:rPr>
              <w:t>E3</w:t>
            </w:r>
            <w:r>
              <w:rPr>
                <w:rFonts w:cs="Times New Roman"/>
              </w:rPr>
              <w:sym w:font="Wingdings 2" w:char="00A3"/>
            </w:r>
          </w:p>
        </w:tc>
      </w:tr>
      <w:tr w14:paraId="484B2926">
        <w:tblPrEx>
          <w:tblCellMar>
            <w:top w:w="0" w:type="dxa"/>
            <w:left w:w="57" w:type="dxa"/>
            <w:bottom w:w="0" w:type="dxa"/>
            <w:right w:w="57" w:type="dxa"/>
          </w:tblCellMar>
        </w:tblPrEx>
        <w:trPr>
          <w:trHeight w:val="397" w:hRule="atLeast"/>
        </w:trPr>
        <w:tc>
          <w:tcPr>
            <w:tcW w:w="875" w:type="pct"/>
            <w:gridSpan w:val="4"/>
            <w:vMerge w:val="continue"/>
            <w:tcBorders>
              <w:top w:val="nil"/>
              <w:left w:val="single" w:color="auto" w:sz="12" w:space="0"/>
              <w:bottom w:val="single" w:color="auto" w:sz="4" w:space="0"/>
              <w:right w:val="single" w:color="auto" w:sz="4" w:space="0"/>
            </w:tcBorders>
            <w:noWrap/>
            <w:vAlign w:val="center"/>
          </w:tcPr>
          <w:p w14:paraId="093806B4">
            <w:pPr>
              <w:pStyle w:val="179"/>
              <w:rPr>
                <w:rFonts w:cs="Times New Roman"/>
              </w:rPr>
            </w:pPr>
          </w:p>
        </w:tc>
        <w:tc>
          <w:tcPr>
            <w:tcW w:w="504" w:type="pct"/>
            <w:tcBorders>
              <w:top w:val="single" w:color="auto" w:sz="4" w:space="0"/>
              <w:left w:val="nil"/>
              <w:bottom w:val="single" w:color="auto" w:sz="4" w:space="0"/>
              <w:right w:val="single" w:color="auto" w:sz="4" w:space="0"/>
            </w:tcBorders>
            <w:noWrap/>
            <w:vAlign w:val="center"/>
          </w:tcPr>
          <w:p w14:paraId="78A890C3">
            <w:pPr>
              <w:pStyle w:val="179"/>
              <w:rPr>
                <w:rFonts w:cs="Times New Roman"/>
              </w:rPr>
            </w:pPr>
            <w:r>
              <w:rPr>
                <w:rFonts w:cs="Times New Roman"/>
              </w:rPr>
              <w:t>地下水</w:t>
            </w:r>
          </w:p>
        </w:tc>
        <w:tc>
          <w:tcPr>
            <w:tcW w:w="1178" w:type="pct"/>
            <w:gridSpan w:val="7"/>
            <w:tcBorders>
              <w:top w:val="single" w:color="auto" w:sz="4" w:space="0"/>
              <w:left w:val="nil"/>
              <w:bottom w:val="single" w:color="auto" w:sz="4" w:space="0"/>
              <w:right w:val="single" w:color="auto" w:sz="4" w:space="0"/>
            </w:tcBorders>
            <w:noWrap/>
            <w:vAlign w:val="center"/>
          </w:tcPr>
          <w:p w14:paraId="0933F674">
            <w:pPr>
              <w:pStyle w:val="179"/>
              <w:rPr>
                <w:rFonts w:cs="Times New Roman"/>
              </w:rPr>
            </w:pPr>
            <w:r>
              <w:rPr>
                <w:rFonts w:cs="Times New Roman"/>
              </w:rPr>
              <w:t>E1</w:t>
            </w:r>
            <w:r>
              <w:rPr>
                <w:rFonts w:cs="Times New Roman"/>
              </w:rPr>
              <w:sym w:font="Wingdings 2" w:char="00A3"/>
            </w:r>
          </w:p>
        </w:tc>
        <w:tc>
          <w:tcPr>
            <w:tcW w:w="1239" w:type="pct"/>
            <w:gridSpan w:val="10"/>
            <w:tcBorders>
              <w:top w:val="single" w:color="auto" w:sz="4" w:space="0"/>
              <w:left w:val="nil"/>
              <w:bottom w:val="single" w:color="auto" w:sz="4" w:space="0"/>
              <w:right w:val="single" w:color="auto" w:sz="4" w:space="0"/>
            </w:tcBorders>
            <w:noWrap/>
            <w:vAlign w:val="center"/>
          </w:tcPr>
          <w:p w14:paraId="675BCBEE">
            <w:pPr>
              <w:pStyle w:val="179"/>
              <w:rPr>
                <w:rFonts w:cs="Times New Roman"/>
              </w:rPr>
            </w:pPr>
            <w:r>
              <w:rPr>
                <w:rFonts w:cs="Times New Roman"/>
              </w:rPr>
              <w:t>E2</w:t>
            </w:r>
            <w:r>
              <w:rPr>
                <w:rFonts w:cs="Times New Roman"/>
              </w:rPr>
              <w:sym w:font="Wingdings 2" w:char="00A3"/>
            </w:r>
          </w:p>
        </w:tc>
        <w:tc>
          <w:tcPr>
            <w:tcW w:w="1205" w:type="pct"/>
            <w:gridSpan w:val="6"/>
            <w:tcBorders>
              <w:top w:val="single" w:color="auto" w:sz="4" w:space="0"/>
              <w:left w:val="nil"/>
              <w:bottom w:val="single" w:color="auto" w:sz="4" w:space="0"/>
              <w:right w:val="single" w:color="auto" w:sz="12" w:space="0"/>
            </w:tcBorders>
            <w:noWrap/>
            <w:vAlign w:val="center"/>
          </w:tcPr>
          <w:p w14:paraId="2FA76E46">
            <w:pPr>
              <w:pStyle w:val="179"/>
              <w:rPr>
                <w:rFonts w:cs="Times New Roman"/>
              </w:rPr>
            </w:pPr>
            <w:r>
              <w:rPr>
                <w:rFonts w:cs="Times New Roman"/>
              </w:rPr>
              <w:t>E3</w:t>
            </w:r>
            <w:r>
              <w:rPr>
                <w:rFonts w:cs="Times New Roman"/>
              </w:rPr>
              <w:sym w:font="Wingdings 2" w:char="00A3"/>
            </w:r>
          </w:p>
        </w:tc>
      </w:tr>
      <w:tr w14:paraId="1FF43FB0">
        <w:tblPrEx>
          <w:tblCellMar>
            <w:top w:w="0" w:type="dxa"/>
            <w:left w:w="57" w:type="dxa"/>
            <w:bottom w:w="0" w:type="dxa"/>
            <w:right w:w="57" w:type="dxa"/>
          </w:tblCellMar>
        </w:tblPrEx>
        <w:trPr>
          <w:trHeight w:val="397" w:hRule="atLeast"/>
        </w:trPr>
        <w:tc>
          <w:tcPr>
            <w:tcW w:w="875" w:type="pct"/>
            <w:gridSpan w:val="4"/>
            <w:tcBorders>
              <w:top w:val="single" w:color="auto" w:sz="4" w:space="0"/>
              <w:left w:val="single" w:color="auto" w:sz="12" w:space="0"/>
              <w:bottom w:val="single" w:color="auto" w:sz="4" w:space="0"/>
              <w:right w:val="single" w:color="auto" w:sz="4" w:space="0"/>
            </w:tcBorders>
            <w:noWrap/>
            <w:vAlign w:val="center"/>
          </w:tcPr>
          <w:p w14:paraId="51514A4D">
            <w:pPr>
              <w:pStyle w:val="179"/>
              <w:rPr>
                <w:rFonts w:cs="Times New Roman"/>
              </w:rPr>
            </w:pPr>
            <w:r>
              <w:rPr>
                <w:rFonts w:cs="Times New Roman"/>
              </w:rPr>
              <w:t>环境风险潜势</w:t>
            </w:r>
          </w:p>
        </w:tc>
        <w:tc>
          <w:tcPr>
            <w:tcW w:w="755" w:type="pct"/>
            <w:gridSpan w:val="2"/>
            <w:tcBorders>
              <w:top w:val="single" w:color="auto" w:sz="4" w:space="0"/>
              <w:left w:val="nil"/>
              <w:bottom w:val="single" w:color="auto" w:sz="4" w:space="0"/>
              <w:right w:val="single" w:color="auto" w:sz="4" w:space="0"/>
            </w:tcBorders>
            <w:noWrap/>
            <w:vAlign w:val="center"/>
          </w:tcPr>
          <w:p w14:paraId="4B017DEA">
            <w:pPr>
              <w:pStyle w:val="179"/>
              <w:rPr>
                <w:rFonts w:cs="Times New Roman"/>
              </w:rPr>
            </w:pPr>
            <w:r>
              <w:rPr>
                <w:rFonts w:cs="Times New Roman"/>
              </w:rPr>
              <w:t>Ⅳ</w:t>
            </w:r>
            <w:r>
              <w:rPr>
                <w:rFonts w:cs="Times New Roman"/>
                <w:vertAlign w:val="superscript"/>
              </w:rPr>
              <w:t>+</w:t>
            </w:r>
            <w:r>
              <w:rPr>
                <w:rFonts w:cs="Times New Roman"/>
              </w:rPr>
              <w:sym w:font="Wingdings 2" w:char="00A3"/>
            </w:r>
          </w:p>
        </w:tc>
        <w:tc>
          <w:tcPr>
            <w:tcW w:w="927" w:type="pct"/>
            <w:gridSpan w:val="6"/>
            <w:tcBorders>
              <w:top w:val="single" w:color="auto" w:sz="4" w:space="0"/>
              <w:left w:val="nil"/>
              <w:bottom w:val="single" w:color="auto" w:sz="4" w:space="0"/>
              <w:right w:val="single" w:color="auto" w:sz="4" w:space="0"/>
            </w:tcBorders>
            <w:noWrap/>
            <w:vAlign w:val="center"/>
          </w:tcPr>
          <w:p w14:paraId="2CD0CFE8">
            <w:pPr>
              <w:pStyle w:val="179"/>
              <w:rPr>
                <w:rFonts w:cs="Times New Roman"/>
              </w:rPr>
            </w:pPr>
            <w:r>
              <w:rPr>
                <w:rFonts w:cs="Times New Roman"/>
              </w:rPr>
              <w:t>Ⅳ</w:t>
            </w:r>
            <w:r>
              <w:rPr>
                <w:rFonts w:hint="eastAsia" w:ascii="MS Mincho" w:hAnsi="MS Mincho" w:eastAsia="MS Mincho" w:cs="MS Mincho"/>
              </w:rPr>
              <w:t>☑</w:t>
            </w:r>
          </w:p>
        </w:tc>
        <w:tc>
          <w:tcPr>
            <w:tcW w:w="797" w:type="pct"/>
            <w:gridSpan w:val="6"/>
            <w:tcBorders>
              <w:top w:val="single" w:color="auto" w:sz="4" w:space="0"/>
              <w:left w:val="nil"/>
              <w:bottom w:val="single" w:color="auto" w:sz="4" w:space="0"/>
              <w:right w:val="single" w:color="auto" w:sz="4" w:space="0"/>
            </w:tcBorders>
            <w:noWrap/>
            <w:vAlign w:val="center"/>
          </w:tcPr>
          <w:p w14:paraId="7FCE1DD3">
            <w:pPr>
              <w:pStyle w:val="179"/>
              <w:rPr>
                <w:rFonts w:cs="Times New Roman"/>
              </w:rPr>
            </w:pPr>
            <w:r>
              <w:rPr>
                <w:rFonts w:cs="Times New Roman"/>
              </w:rPr>
              <w:t>Ⅲ</w:t>
            </w:r>
            <w:r>
              <w:rPr>
                <w:rFonts w:cs="Times New Roman"/>
              </w:rPr>
              <w:sym w:font="Wingdings 2" w:char="00A3"/>
            </w:r>
          </w:p>
        </w:tc>
        <w:tc>
          <w:tcPr>
            <w:tcW w:w="824" w:type="pct"/>
            <w:gridSpan w:val="8"/>
            <w:tcBorders>
              <w:top w:val="single" w:color="auto" w:sz="4" w:space="0"/>
              <w:left w:val="nil"/>
              <w:bottom w:val="single" w:color="auto" w:sz="4" w:space="0"/>
              <w:right w:val="single" w:color="auto" w:sz="4" w:space="0"/>
            </w:tcBorders>
            <w:noWrap/>
            <w:vAlign w:val="center"/>
          </w:tcPr>
          <w:p w14:paraId="3749910B">
            <w:pPr>
              <w:pStyle w:val="179"/>
              <w:rPr>
                <w:rFonts w:cs="Times New Roman"/>
              </w:rPr>
            </w:pPr>
            <w:r>
              <w:rPr>
                <w:rFonts w:cs="Times New Roman"/>
              </w:rPr>
              <w:t>Ⅱ</w:t>
            </w:r>
            <w:r>
              <w:rPr>
                <w:rFonts w:cs="Times New Roman"/>
              </w:rPr>
              <w:sym w:font="Wingdings 2" w:char="00A3"/>
            </w:r>
          </w:p>
        </w:tc>
        <w:tc>
          <w:tcPr>
            <w:tcW w:w="822" w:type="pct"/>
            <w:gridSpan w:val="2"/>
            <w:tcBorders>
              <w:top w:val="single" w:color="auto" w:sz="4" w:space="0"/>
              <w:left w:val="nil"/>
              <w:bottom w:val="single" w:color="auto" w:sz="4" w:space="0"/>
              <w:right w:val="single" w:color="auto" w:sz="12" w:space="0"/>
            </w:tcBorders>
            <w:noWrap/>
            <w:vAlign w:val="center"/>
          </w:tcPr>
          <w:p w14:paraId="0AB6A7D0">
            <w:pPr>
              <w:pStyle w:val="179"/>
              <w:rPr>
                <w:rFonts w:cs="Times New Roman"/>
              </w:rPr>
            </w:pPr>
            <w:r>
              <w:rPr>
                <w:rFonts w:cs="Times New Roman"/>
              </w:rPr>
              <w:t>I</w:t>
            </w:r>
            <w:r>
              <w:rPr>
                <w:rFonts w:cs="Times New Roman"/>
              </w:rPr>
              <w:sym w:font="Wingdings 2" w:char="00A3"/>
            </w:r>
          </w:p>
        </w:tc>
      </w:tr>
      <w:tr w14:paraId="5EED315B">
        <w:tblPrEx>
          <w:tblCellMar>
            <w:top w:w="0" w:type="dxa"/>
            <w:left w:w="57" w:type="dxa"/>
            <w:bottom w:w="0" w:type="dxa"/>
            <w:right w:w="57" w:type="dxa"/>
          </w:tblCellMar>
        </w:tblPrEx>
        <w:trPr>
          <w:trHeight w:val="397" w:hRule="atLeast"/>
        </w:trPr>
        <w:tc>
          <w:tcPr>
            <w:tcW w:w="875" w:type="pct"/>
            <w:gridSpan w:val="4"/>
            <w:tcBorders>
              <w:top w:val="single" w:color="auto" w:sz="4" w:space="0"/>
              <w:left w:val="single" w:color="auto" w:sz="12" w:space="0"/>
              <w:bottom w:val="single" w:color="auto" w:sz="4" w:space="0"/>
              <w:right w:val="single" w:color="auto" w:sz="4" w:space="0"/>
            </w:tcBorders>
            <w:noWrap/>
            <w:vAlign w:val="center"/>
          </w:tcPr>
          <w:p w14:paraId="09E2A810">
            <w:pPr>
              <w:pStyle w:val="179"/>
              <w:rPr>
                <w:rFonts w:cs="Times New Roman"/>
              </w:rPr>
            </w:pPr>
            <w:r>
              <w:rPr>
                <w:rFonts w:cs="Times New Roman"/>
              </w:rPr>
              <w:t>评价等级</w:t>
            </w:r>
          </w:p>
        </w:tc>
        <w:tc>
          <w:tcPr>
            <w:tcW w:w="755" w:type="pct"/>
            <w:gridSpan w:val="2"/>
            <w:tcBorders>
              <w:top w:val="single" w:color="auto" w:sz="4" w:space="0"/>
              <w:left w:val="nil"/>
              <w:bottom w:val="single" w:color="auto" w:sz="4" w:space="0"/>
              <w:right w:val="single" w:color="auto" w:sz="4" w:space="0"/>
            </w:tcBorders>
            <w:noWrap/>
            <w:vAlign w:val="center"/>
          </w:tcPr>
          <w:p w14:paraId="13E6288A">
            <w:pPr>
              <w:pStyle w:val="179"/>
              <w:rPr>
                <w:rFonts w:ascii="宋体" w:hAnsi="宋体" w:cs="Times New Roman"/>
              </w:rPr>
            </w:pPr>
            <w:r>
              <w:rPr>
                <w:rFonts w:ascii="宋体" w:hAnsi="宋体" w:cs="Times New Roman"/>
              </w:rPr>
              <w:t>一级□</w:t>
            </w:r>
          </w:p>
        </w:tc>
        <w:tc>
          <w:tcPr>
            <w:tcW w:w="927" w:type="pct"/>
            <w:gridSpan w:val="6"/>
            <w:tcBorders>
              <w:top w:val="single" w:color="auto" w:sz="4" w:space="0"/>
              <w:left w:val="nil"/>
              <w:bottom w:val="single" w:color="auto" w:sz="4" w:space="0"/>
              <w:right w:val="single" w:color="auto" w:sz="4" w:space="0"/>
            </w:tcBorders>
            <w:noWrap/>
            <w:vAlign w:val="center"/>
          </w:tcPr>
          <w:p w14:paraId="3FF0D26C">
            <w:pPr>
              <w:pStyle w:val="179"/>
              <w:rPr>
                <w:rFonts w:ascii="宋体" w:hAnsi="宋体" w:cs="Times New Roman"/>
              </w:rPr>
            </w:pPr>
            <w:r>
              <w:rPr>
                <w:rFonts w:ascii="宋体" w:hAnsi="宋体" w:cs="Times New Roman"/>
              </w:rPr>
              <w:t>二级□</w:t>
            </w:r>
          </w:p>
        </w:tc>
        <w:tc>
          <w:tcPr>
            <w:tcW w:w="1222" w:type="pct"/>
            <w:gridSpan w:val="9"/>
            <w:tcBorders>
              <w:top w:val="single" w:color="auto" w:sz="4" w:space="0"/>
              <w:left w:val="nil"/>
              <w:bottom w:val="single" w:color="auto" w:sz="4" w:space="0"/>
              <w:right w:val="single" w:color="auto" w:sz="4" w:space="0"/>
            </w:tcBorders>
            <w:noWrap/>
            <w:vAlign w:val="center"/>
          </w:tcPr>
          <w:p w14:paraId="57BA985A">
            <w:pPr>
              <w:pStyle w:val="179"/>
              <w:rPr>
                <w:rFonts w:ascii="宋体" w:hAnsi="宋体" w:cs="Times New Roman"/>
              </w:rPr>
            </w:pPr>
            <w:r>
              <w:rPr>
                <w:rFonts w:ascii="宋体" w:hAnsi="宋体" w:cs="Times New Roman"/>
              </w:rPr>
              <w:t>三级□</w:t>
            </w:r>
          </w:p>
        </w:tc>
        <w:tc>
          <w:tcPr>
            <w:tcW w:w="1222" w:type="pct"/>
            <w:gridSpan w:val="7"/>
            <w:tcBorders>
              <w:top w:val="single" w:color="auto" w:sz="4" w:space="0"/>
              <w:left w:val="nil"/>
              <w:bottom w:val="single" w:color="auto" w:sz="4" w:space="0"/>
              <w:right w:val="single" w:color="auto" w:sz="12" w:space="0"/>
            </w:tcBorders>
            <w:noWrap/>
            <w:vAlign w:val="center"/>
          </w:tcPr>
          <w:p w14:paraId="3D37DD80">
            <w:pPr>
              <w:pStyle w:val="179"/>
              <w:rPr>
                <w:rFonts w:cs="Times New Roman"/>
              </w:rPr>
            </w:pPr>
            <w:r>
              <w:rPr>
                <w:rFonts w:cs="Times New Roman"/>
              </w:rPr>
              <w:t>简单分析</w:t>
            </w:r>
            <w:r>
              <w:rPr>
                <w:rFonts w:hint="eastAsia" w:ascii="MS Mincho" w:hAnsi="MS Mincho" w:eastAsia="MS Mincho" w:cs="MS Mincho"/>
              </w:rPr>
              <w:t>☑</w:t>
            </w:r>
          </w:p>
        </w:tc>
      </w:tr>
      <w:tr w14:paraId="6FE09FF7">
        <w:tblPrEx>
          <w:tblCellMar>
            <w:top w:w="0" w:type="dxa"/>
            <w:left w:w="57" w:type="dxa"/>
            <w:bottom w:w="0" w:type="dxa"/>
            <w:right w:w="57" w:type="dxa"/>
          </w:tblCellMar>
        </w:tblPrEx>
        <w:trPr>
          <w:trHeight w:val="397" w:hRule="atLeast"/>
        </w:trPr>
        <w:tc>
          <w:tcPr>
            <w:tcW w:w="141" w:type="pct"/>
            <w:vMerge w:val="restart"/>
            <w:tcBorders>
              <w:top w:val="nil"/>
              <w:left w:val="single" w:color="auto" w:sz="12" w:space="0"/>
              <w:bottom w:val="single" w:color="auto" w:sz="4" w:space="0"/>
              <w:right w:val="single" w:color="auto" w:sz="4" w:space="0"/>
            </w:tcBorders>
            <w:noWrap/>
            <w:vAlign w:val="center"/>
          </w:tcPr>
          <w:p w14:paraId="2347522A">
            <w:pPr>
              <w:pStyle w:val="179"/>
              <w:rPr>
                <w:rFonts w:cs="Times New Roman"/>
              </w:rPr>
            </w:pPr>
            <w:r>
              <w:rPr>
                <w:rFonts w:cs="Times New Roman"/>
              </w:rPr>
              <w:t>风</w:t>
            </w:r>
          </w:p>
          <w:p w14:paraId="7FC14ACD">
            <w:pPr>
              <w:pStyle w:val="179"/>
              <w:rPr>
                <w:rFonts w:cs="Times New Roman"/>
              </w:rPr>
            </w:pPr>
            <w:r>
              <w:rPr>
                <w:rFonts w:cs="Times New Roman"/>
              </w:rPr>
              <w:t>险</w:t>
            </w:r>
          </w:p>
          <w:p w14:paraId="2684A2A2">
            <w:pPr>
              <w:pStyle w:val="179"/>
              <w:rPr>
                <w:rFonts w:cs="Times New Roman"/>
              </w:rPr>
            </w:pPr>
            <w:r>
              <w:rPr>
                <w:rFonts w:cs="Times New Roman"/>
              </w:rPr>
              <w:t>识</w:t>
            </w:r>
          </w:p>
          <w:p w14:paraId="33D1D92D">
            <w:pPr>
              <w:pStyle w:val="179"/>
              <w:rPr>
                <w:rFonts w:cs="Times New Roman"/>
              </w:rPr>
            </w:pPr>
            <w:r>
              <w:rPr>
                <w:rFonts w:cs="Times New Roman"/>
              </w:rPr>
              <w:t>别</w:t>
            </w:r>
          </w:p>
        </w:tc>
        <w:tc>
          <w:tcPr>
            <w:tcW w:w="734" w:type="pct"/>
            <w:gridSpan w:val="3"/>
            <w:tcBorders>
              <w:top w:val="single" w:color="auto" w:sz="4" w:space="0"/>
              <w:left w:val="nil"/>
              <w:bottom w:val="single" w:color="auto" w:sz="4" w:space="0"/>
              <w:right w:val="single" w:color="auto" w:sz="4" w:space="0"/>
            </w:tcBorders>
            <w:noWrap/>
            <w:vAlign w:val="center"/>
          </w:tcPr>
          <w:p w14:paraId="295ACC45">
            <w:pPr>
              <w:pStyle w:val="179"/>
              <w:rPr>
                <w:rFonts w:cs="Times New Roman"/>
              </w:rPr>
            </w:pPr>
            <w:r>
              <w:rPr>
                <w:rFonts w:cs="Times New Roman"/>
              </w:rPr>
              <w:t>物质危险性</w:t>
            </w:r>
          </w:p>
        </w:tc>
        <w:tc>
          <w:tcPr>
            <w:tcW w:w="1682" w:type="pct"/>
            <w:gridSpan w:val="8"/>
            <w:tcBorders>
              <w:top w:val="single" w:color="auto" w:sz="4" w:space="0"/>
              <w:left w:val="nil"/>
              <w:bottom w:val="single" w:color="auto" w:sz="4" w:space="0"/>
              <w:right w:val="single" w:color="auto" w:sz="4" w:space="0"/>
            </w:tcBorders>
            <w:noWrap/>
            <w:vAlign w:val="center"/>
          </w:tcPr>
          <w:p w14:paraId="195CB49E">
            <w:pPr>
              <w:pStyle w:val="179"/>
              <w:rPr>
                <w:rFonts w:cs="Times New Roman"/>
              </w:rPr>
            </w:pPr>
            <w:r>
              <w:rPr>
                <w:rFonts w:cs="Times New Roman"/>
              </w:rPr>
              <w:t>有毒有害</w:t>
            </w:r>
            <w:r>
              <w:rPr>
                <w:rFonts w:ascii="宋体" w:hAnsi="宋体" w:cs="Times New Roman"/>
              </w:rPr>
              <w:t>□</w:t>
            </w:r>
          </w:p>
        </w:tc>
        <w:tc>
          <w:tcPr>
            <w:tcW w:w="2444" w:type="pct"/>
            <w:gridSpan w:val="16"/>
            <w:tcBorders>
              <w:top w:val="single" w:color="auto" w:sz="4" w:space="0"/>
              <w:left w:val="nil"/>
              <w:bottom w:val="single" w:color="auto" w:sz="4" w:space="0"/>
              <w:right w:val="single" w:color="auto" w:sz="12" w:space="0"/>
            </w:tcBorders>
            <w:noWrap/>
            <w:vAlign w:val="center"/>
          </w:tcPr>
          <w:p w14:paraId="36C4D480">
            <w:pPr>
              <w:pStyle w:val="179"/>
              <w:rPr>
                <w:rFonts w:cs="Times New Roman"/>
              </w:rPr>
            </w:pPr>
            <w:r>
              <w:rPr>
                <w:rFonts w:cs="Times New Roman"/>
              </w:rPr>
              <w:t>易燃易爆</w:t>
            </w:r>
            <w:r>
              <w:rPr>
                <w:rFonts w:ascii="宋体" w:hAnsi="宋体" w:cs="Times New Roman"/>
              </w:rPr>
              <w:t>□</w:t>
            </w:r>
          </w:p>
        </w:tc>
      </w:tr>
      <w:tr w14:paraId="59FCC2C0">
        <w:tblPrEx>
          <w:tblCellMar>
            <w:top w:w="0" w:type="dxa"/>
            <w:left w:w="57" w:type="dxa"/>
            <w:bottom w:w="0" w:type="dxa"/>
            <w:right w:w="57" w:type="dxa"/>
          </w:tblCellMar>
        </w:tblPrEx>
        <w:trPr>
          <w:trHeight w:val="397" w:hRule="atLeast"/>
        </w:trPr>
        <w:tc>
          <w:tcPr>
            <w:tcW w:w="141" w:type="pct"/>
            <w:vMerge w:val="continue"/>
            <w:tcBorders>
              <w:top w:val="nil"/>
              <w:left w:val="single" w:color="auto" w:sz="12" w:space="0"/>
              <w:bottom w:val="single" w:color="auto" w:sz="4" w:space="0"/>
              <w:right w:val="single" w:color="auto" w:sz="4" w:space="0"/>
            </w:tcBorders>
            <w:noWrap/>
            <w:vAlign w:val="center"/>
          </w:tcPr>
          <w:p w14:paraId="64D2C549">
            <w:pPr>
              <w:pStyle w:val="179"/>
              <w:rPr>
                <w:rFonts w:cs="Times New Roman"/>
              </w:rPr>
            </w:pPr>
          </w:p>
        </w:tc>
        <w:tc>
          <w:tcPr>
            <w:tcW w:w="734" w:type="pct"/>
            <w:gridSpan w:val="3"/>
            <w:tcBorders>
              <w:top w:val="single" w:color="auto" w:sz="4" w:space="0"/>
              <w:left w:val="nil"/>
              <w:bottom w:val="single" w:color="auto" w:sz="4" w:space="0"/>
              <w:right w:val="single" w:color="auto" w:sz="4" w:space="0"/>
            </w:tcBorders>
            <w:noWrap/>
            <w:vAlign w:val="center"/>
          </w:tcPr>
          <w:p w14:paraId="7DAA0514">
            <w:pPr>
              <w:pStyle w:val="179"/>
              <w:rPr>
                <w:rFonts w:cs="Times New Roman"/>
              </w:rPr>
            </w:pPr>
            <w:r>
              <w:rPr>
                <w:rFonts w:cs="Times New Roman"/>
              </w:rPr>
              <w:t>环境风险类型</w:t>
            </w:r>
          </w:p>
        </w:tc>
        <w:tc>
          <w:tcPr>
            <w:tcW w:w="1682" w:type="pct"/>
            <w:gridSpan w:val="8"/>
            <w:tcBorders>
              <w:top w:val="single" w:color="auto" w:sz="4" w:space="0"/>
              <w:left w:val="nil"/>
              <w:bottom w:val="single" w:color="auto" w:sz="4" w:space="0"/>
              <w:right w:val="single" w:color="auto" w:sz="4" w:space="0"/>
            </w:tcBorders>
            <w:noWrap/>
            <w:vAlign w:val="center"/>
          </w:tcPr>
          <w:p w14:paraId="5D3D7BD8">
            <w:pPr>
              <w:pStyle w:val="179"/>
              <w:rPr>
                <w:rFonts w:cs="Times New Roman"/>
              </w:rPr>
            </w:pPr>
            <w:r>
              <w:rPr>
                <w:rFonts w:cs="Times New Roman"/>
              </w:rPr>
              <w:t>泄漏</w:t>
            </w:r>
            <w:r>
              <w:rPr>
                <w:rFonts w:ascii="宋体" w:hAnsi="宋体" w:cs="Times New Roman"/>
              </w:rPr>
              <w:t>□</w:t>
            </w:r>
          </w:p>
        </w:tc>
        <w:tc>
          <w:tcPr>
            <w:tcW w:w="2444" w:type="pct"/>
            <w:gridSpan w:val="16"/>
            <w:tcBorders>
              <w:top w:val="single" w:color="auto" w:sz="4" w:space="0"/>
              <w:left w:val="nil"/>
              <w:bottom w:val="single" w:color="auto" w:sz="4" w:space="0"/>
              <w:right w:val="single" w:color="auto" w:sz="12" w:space="0"/>
            </w:tcBorders>
            <w:noWrap/>
            <w:vAlign w:val="center"/>
          </w:tcPr>
          <w:p w14:paraId="7189DF56">
            <w:pPr>
              <w:pStyle w:val="179"/>
              <w:rPr>
                <w:rFonts w:cs="Times New Roman"/>
              </w:rPr>
            </w:pPr>
            <w:r>
              <w:rPr>
                <w:rFonts w:cs="Times New Roman"/>
              </w:rPr>
              <w:t>火灾、爆炸引发伴生/次生污染物排放</w:t>
            </w:r>
            <w:r>
              <w:rPr>
                <w:rFonts w:ascii="宋体" w:hAnsi="宋体" w:cs="Times New Roman"/>
              </w:rPr>
              <w:t>□</w:t>
            </w:r>
          </w:p>
        </w:tc>
      </w:tr>
      <w:tr w14:paraId="0B77C87E">
        <w:tblPrEx>
          <w:tblCellMar>
            <w:top w:w="0" w:type="dxa"/>
            <w:left w:w="57" w:type="dxa"/>
            <w:bottom w:w="0" w:type="dxa"/>
            <w:right w:w="57" w:type="dxa"/>
          </w:tblCellMar>
        </w:tblPrEx>
        <w:trPr>
          <w:trHeight w:val="397" w:hRule="atLeast"/>
        </w:trPr>
        <w:tc>
          <w:tcPr>
            <w:tcW w:w="141" w:type="pct"/>
            <w:vMerge w:val="continue"/>
            <w:tcBorders>
              <w:top w:val="nil"/>
              <w:left w:val="single" w:color="auto" w:sz="12" w:space="0"/>
              <w:bottom w:val="single" w:color="auto" w:sz="4" w:space="0"/>
              <w:right w:val="single" w:color="auto" w:sz="4" w:space="0"/>
            </w:tcBorders>
            <w:noWrap/>
            <w:vAlign w:val="center"/>
          </w:tcPr>
          <w:p w14:paraId="0C47950B">
            <w:pPr>
              <w:pStyle w:val="179"/>
              <w:rPr>
                <w:rFonts w:cs="Times New Roman"/>
              </w:rPr>
            </w:pPr>
          </w:p>
        </w:tc>
        <w:tc>
          <w:tcPr>
            <w:tcW w:w="734" w:type="pct"/>
            <w:gridSpan w:val="3"/>
            <w:tcBorders>
              <w:top w:val="single" w:color="auto" w:sz="4" w:space="0"/>
              <w:left w:val="nil"/>
              <w:bottom w:val="single" w:color="auto" w:sz="4" w:space="0"/>
              <w:right w:val="single" w:color="auto" w:sz="4" w:space="0"/>
            </w:tcBorders>
            <w:noWrap/>
            <w:vAlign w:val="center"/>
          </w:tcPr>
          <w:p w14:paraId="4587F9AF">
            <w:pPr>
              <w:pStyle w:val="179"/>
              <w:rPr>
                <w:rFonts w:cs="Times New Roman"/>
              </w:rPr>
            </w:pPr>
            <w:r>
              <w:rPr>
                <w:rFonts w:cs="Times New Roman"/>
              </w:rPr>
              <w:t>影响途径</w:t>
            </w:r>
          </w:p>
        </w:tc>
        <w:tc>
          <w:tcPr>
            <w:tcW w:w="1168" w:type="pct"/>
            <w:gridSpan w:val="5"/>
            <w:tcBorders>
              <w:top w:val="single" w:color="auto" w:sz="4" w:space="0"/>
              <w:left w:val="nil"/>
              <w:bottom w:val="single" w:color="auto" w:sz="4" w:space="0"/>
              <w:right w:val="single" w:color="auto" w:sz="4" w:space="0"/>
            </w:tcBorders>
            <w:noWrap/>
            <w:vAlign w:val="center"/>
          </w:tcPr>
          <w:p w14:paraId="6D843C32">
            <w:pPr>
              <w:pStyle w:val="179"/>
              <w:rPr>
                <w:rFonts w:cs="Times New Roman"/>
              </w:rPr>
            </w:pPr>
            <w:r>
              <w:rPr>
                <w:rFonts w:cs="Times New Roman"/>
              </w:rPr>
              <w:t>大气</w:t>
            </w:r>
            <w:r>
              <w:rPr>
                <w:rFonts w:ascii="宋体" w:hAnsi="宋体" w:cs="Times New Roman"/>
              </w:rPr>
              <w:t>□</w:t>
            </w:r>
          </w:p>
        </w:tc>
        <w:tc>
          <w:tcPr>
            <w:tcW w:w="1522" w:type="pct"/>
            <w:gridSpan w:val="10"/>
            <w:tcBorders>
              <w:top w:val="single" w:color="auto" w:sz="4" w:space="0"/>
              <w:left w:val="nil"/>
              <w:bottom w:val="single" w:color="auto" w:sz="4" w:space="0"/>
              <w:right w:val="single" w:color="auto" w:sz="4" w:space="0"/>
            </w:tcBorders>
            <w:noWrap/>
            <w:vAlign w:val="center"/>
          </w:tcPr>
          <w:p w14:paraId="48AA9BDF">
            <w:pPr>
              <w:pStyle w:val="179"/>
              <w:rPr>
                <w:rFonts w:cs="Times New Roman"/>
              </w:rPr>
            </w:pPr>
            <w:r>
              <w:rPr>
                <w:rFonts w:cs="Times New Roman"/>
              </w:rPr>
              <w:t>地表水</w:t>
            </w:r>
            <w:r>
              <w:rPr>
                <w:rFonts w:hint="eastAsia" w:ascii="MS Mincho" w:hAnsi="MS Mincho" w:eastAsia="MS Mincho" w:cs="MS Mincho"/>
              </w:rPr>
              <w:t>☑</w:t>
            </w:r>
          </w:p>
        </w:tc>
        <w:tc>
          <w:tcPr>
            <w:tcW w:w="1435" w:type="pct"/>
            <w:gridSpan w:val="9"/>
            <w:tcBorders>
              <w:top w:val="single" w:color="auto" w:sz="4" w:space="0"/>
              <w:left w:val="nil"/>
              <w:bottom w:val="single" w:color="auto" w:sz="4" w:space="0"/>
              <w:right w:val="single" w:color="auto" w:sz="12" w:space="0"/>
            </w:tcBorders>
            <w:noWrap/>
            <w:vAlign w:val="center"/>
          </w:tcPr>
          <w:p w14:paraId="0F954FDC">
            <w:pPr>
              <w:pStyle w:val="179"/>
              <w:rPr>
                <w:rFonts w:cs="Times New Roman"/>
              </w:rPr>
            </w:pPr>
            <w:r>
              <w:rPr>
                <w:rFonts w:cs="Times New Roman"/>
              </w:rPr>
              <w:t>地下水</w:t>
            </w:r>
            <w:r>
              <w:rPr>
                <w:rFonts w:cs="Times New Roman"/>
              </w:rPr>
              <w:sym w:font="Wingdings 2" w:char="00A3"/>
            </w:r>
          </w:p>
        </w:tc>
      </w:tr>
      <w:tr w14:paraId="0EB11E40">
        <w:tblPrEx>
          <w:tblCellMar>
            <w:top w:w="0" w:type="dxa"/>
            <w:left w:w="57" w:type="dxa"/>
            <w:bottom w:w="0" w:type="dxa"/>
            <w:right w:w="57" w:type="dxa"/>
          </w:tblCellMar>
        </w:tblPrEx>
        <w:trPr>
          <w:trHeight w:val="397" w:hRule="atLeast"/>
        </w:trPr>
        <w:tc>
          <w:tcPr>
            <w:tcW w:w="875" w:type="pct"/>
            <w:gridSpan w:val="4"/>
            <w:tcBorders>
              <w:top w:val="single" w:color="auto" w:sz="4" w:space="0"/>
              <w:left w:val="single" w:color="auto" w:sz="12" w:space="0"/>
              <w:bottom w:val="single" w:color="auto" w:sz="4" w:space="0"/>
              <w:right w:val="single" w:color="auto" w:sz="4" w:space="0"/>
            </w:tcBorders>
            <w:noWrap/>
            <w:vAlign w:val="center"/>
          </w:tcPr>
          <w:p w14:paraId="675CB855">
            <w:pPr>
              <w:pStyle w:val="179"/>
              <w:rPr>
                <w:rFonts w:cs="Times New Roman"/>
              </w:rPr>
            </w:pPr>
            <w:r>
              <w:rPr>
                <w:rFonts w:cs="Times New Roman"/>
              </w:rPr>
              <w:t>事故情形分析</w:t>
            </w:r>
          </w:p>
        </w:tc>
        <w:tc>
          <w:tcPr>
            <w:tcW w:w="841" w:type="pct"/>
            <w:gridSpan w:val="3"/>
            <w:tcBorders>
              <w:top w:val="single" w:color="auto" w:sz="4" w:space="0"/>
              <w:left w:val="nil"/>
              <w:bottom w:val="single" w:color="auto" w:sz="4" w:space="0"/>
              <w:right w:val="single" w:color="auto" w:sz="4" w:space="0"/>
            </w:tcBorders>
            <w:noWrap/>
            <w:vAlign w:val="center"/>
          </w:tcPr>
          <w:p w14:paraId="1AC973B2">
            <w:pPr>
              <w:pStyle w:val="179"/>
              <w:rPr>
                <w:rFonts w:cs="Times New Roman"/>
              </w:rPr>
            </w:pPr>
            <w:r>
              <w:rPr>
                <w:rFonts w:cs="Times New Roman"/>
              </w:rPr>
              <w:t>源强设定方法</w:t>
            </w:r>
          </w:p>
        </w:tc>
        <w:tc>
          <w:tcPr>
            <w:tcW w:w="1111" w:type="pct"/>
            <w:gridSpan w:val="7"/>
            <w:tcBorders>
              <w:top w:val="single" w:color="auto" w:sz="4" w:space="0"/>
              <w:left w:val="nil"/>
              <w:bottom w:val="single" w:color="auto" w:sz="4" w:space="0"/>
              <w:right w:val="single" w:color="auto" w:sz="4" w:space="0"/>
            </w:tcBorders>
            <w:noWrap/>
            <w:vAlign w:val="center"/>
          </w:tcPr>
          <w:p w14:paraId="3CEF0C0E">
            <w:pPr>
              <w:pStyle w:val="179"/>
              <w:rPr>
                <w:rFonts w:ascii="宋体" w:hAnsi="宋体" w:cs="Times New Roman"/>
              </w:rPr>
            </w:pPr>
            <w:r>
              <w:rPr>
                <w:rFonts w:ascii="宋体" w:hAnsi="宋体" w:cs="Times New Roman"/>
              </w:rPr>
              <w:t>计算法□</w:t>
            </w:r>
          </w:p>
        </w:tc>
        <w:tc>
          <w:tcPr>
            <w:tcW w:w="1146" w:type="pct"/>
            <w:gridSpan w:val="9"/>
            <w:tcBorders>
              <w:top w:val="single" w:color="auto" w:sz="4" w:space="0"/>
              <w:left w:val="nil"/>
              <w:bottom w:val="single" w:color="auto" w:sz="4" w:space="0"/>
              <w:right w:val="single" w:color="auto" w:sz="4" w:space="0"/>
            </w:tcBorders>
            <w:noWrap/>
            <w:vAlign w:val="center"/>
          </w:tcPr>
          <w:p w14:paraId="27EE6D94">
            <w:pPr>
              <w:pStyle w:val="179"/>
              <w:rPr>
                <w:rFonts w:ascii="宋体" w:hAnsi="宋体" w:cs="Times New Roman"/>
              </w:rPr>
            </w:pPr>
            <w:r>
              <w:rPr>
                <w:rFonts w:ascii="宋体" w:hAnsi="宋体" w:cs="Times New Roman"/>
              </w:rPr>
              <w:t>经验估算法□</w:t>
            </w:r>
          </w:p>
        </w:tc>
        <w:tc>
          <w:tcPr>
            <w:tcW w:w="1027" w:type="pct"/>
            <w:gridSpan w:val="5"/>
            <w:tcBorders>
              <w:top w:val="single" w:color="auto" w:sz="4" w:space="0"/>
              <w:left w:val="nil"/>
              <w:bottom w:val="single" w:color="auto" w:sz="4" w:space="0"/>
              <w:right w:val="single" w:color="auto" w:sz="12" w:space="0"/>
            </w:tcBorders>
            <w:noWrap/>
            <w:vAlign w:val="center"/>
          </w:tcPr>
          <w:p w14:paraId="5B08BA93">
            <w:pPr>
              <w:pStyle w:val="179"/>
              <w:rPr>
                <w:rFonts w:ascii="宋体" w:hAnsi="宋体" w:cs="Times New Roman"/>
              </w:rPr>
            </w:pPr>
            <w:r>
              <w:rPr>
                <w:rFonts w:ascii="宋体" w:hAnsi="宋体" w:cs="Times New Roman"/>
              </w:rPr>
              <w:t>其他估算法□</w:t>
            </w:r>
          </w:p>
        </w:tc>
      </w:tr>
      <w:tr w14:paraId="4910D182">
        <w:tblPrEx>
          <w:tblCellMar>
            <w:top w:w="0" w:type="dxa"/>
            <w:left w:w="57" w:type="dxa"/>
            <w:bottom w:w="0" w:type="dxa"/>
            <w:right w:w="57" w:type="dxa"/>
          </w:tblCellMar>
        </w:tblPrEx>
        <w:trPr>
          <w:trHeight w:val="397" w:hRule="atLeast"/>
        </w:trPr>
        <w:tc>
          <w:tcPr>
            <w:tcW w:w="341" w:type="pct"/>
            <w:gridSpan w:val="3"/>
            <w:vMerge w:val="restart"/>
            <w:tcBorders>
              <w:top w:val="nil"/>
              <w:left w:val="single" w:color="auto" w:sz="12" w:space="0"/>
              <w:bottom w:val="single" w:color="auto" w:sz="4" w:space="0"/>
              <w:right w:val="single" w:color="auto" w:sz="4" w:space="0"/>
            </w:tcBorders>
            <w:noWrap/>
            <w:vAlign w:val="center"/>
          </w:tcPr>
          <w:p w14:paraId="20E5876D">
            <w:pPr>
              <w:pStyle w:val="179"/>
              <w:rPr>
                <w:rFonts w:cs="Times New Roman"/>
              </w:rPr>
            </w:pPr>
            <w:r>
              <w:rPr>
                <w:rFonts w:cs="Times New Roman"/>
              </w:rPr>
              <w:t>风险预测与评价</w:t>
            </w:r>
          </w:p>
        </w:tc>
        <w:tc>
          <w:tcPr>
            <w:tcW w:w="534" w:type="pct"/>
            <w:vMerge w:val="restart"/>
            <w:tcBorders>
              <w:top w:val="nil"/>
              <w:left w:val="nil"/>
              <w:bottom w:val="single" w:color="auto" w:sz="4" w:space="0"/>
              <w:right w:val="single" w:color="auto" w:sz="4" w:space="0"/>
            </w:tcBorders>
            <w:noWrap/>
            <w:vAlign w:val="center"/>
          </w:tcPr>
          <w:p w14:paraId="753D3975">
            <w:pPr>
              <w:pStyle w:val="179"/>
              <w:rPr>
                <w:rFonts w:cs="Times New Roman"/>
              </w:rPr>
            </w:pPr>
            <w:r>
              <w:rPr>
                <w:rFonts w:cs="Times New Roman"/>
              </w:rPr>
              <w:t>大气</w:t>
            </w:r>
          </w:p>
        </w:tc>
        <w:tc>
          <w:tcPr>
            <w:tcW w:w="841" w:type="pct"/>
            <w:gridSpan w:val="3"/>
            <w:tcBorders>
              <w:top w:val="single" w:color="auto" w:sz="4" w:space="0"/>
              <w:left w:val="nil"/>
              <w:bottom w:val="single" w:color="auto" w:sz="4" w:space="0"/>
              <w:right w:val="single" w:color="auto" w:sz="4" w:space="0"/>
            </w:tcBorders>
            <w:noWrap/>
            <w:vAlign w:val="center"/>
          </w:tcPr>
          <w:p w14:paraId="3E7DEB70">
            <w:pPr>
              <w:pStyle w:val="179"/>
              <w:rPr>
                <w:rFonts w:cs="Times New Roman"/>
              </w:rPr>
            </w:pPr>
            <w:r>
              <w:rPr>
                <w:rFonts w:cs="Times New Roman"/>
              </w:rPr>
              <w:t>预测模型</w:t>
            </w:r>
          </w:p>
        </w:tc>
        <w:tc>
          <w:tcPr>
            <w:tcW w:w="1111" w:type="pct"/>
            <w:gridSpan w:val="7"/>
            <w:tcBorders>
              <w:top w:val="single" w:color="auto" w:sz="4" w:space="0"/>
              <w:left w:val="nil"/>
              <w:bottom w:val="single" w:color="auto" w:sz="4" w:space="0"/>
              <w:right w:val="single" w:color="auto" w:sz="4" w:space="0"/>
            </w:tcBorders>
            <w:noWrap/>
            <w:vAlign w:val="center"/>
          </w:tcPr>
          <w:p w14:paraId="0F0F691A">
            <w:pPr>
              <w:pStyle w:val="179"/>
              <w:rPr>
                <w:rFonts w:ascii="宋体" w:hAnsi="宋体" w:cs="Times New Roman"/>
              </w:rPr>
            </w:pPr>
            <w:r>
              <w:rPr>
                <w:rFonts w:cs="Times New Roman"/>
              </w:rPr>
              <w:t>SLAB</w:t>
            </w:r>
            <w:r>
              <w:rPr>
                <w:rFonts w:ascii="宋体" w:hAnsi="宋体" w:cs="Times New Roman"/>
              </w:rPr>
              <w:t>□</w:t>
            </w:r>
          </w:p>
        </w:tc>
        <w:tc>
          <w:tcPr>
            <w:tcW w:w="1146" w:type="pct"/>
            <w:gridSpan w:val="9"/>
            <w:tcBorders>
              <w:top w:val="single" w:color="auto" w:sz="4" w:space="0"/>
              <w:left w:val="nil"/>
              <w:bottom w:val="single" w:color="auto" w:sz="4" w:space="0"/>
              <w:right w:val="single" w:color="auto" w:sz="4" w:space="0"/>
            </w:tcBorders>
            <w:noWrap/>
            <w:vAlign w:val="center"/>
          </w:tcPr>
          <w:p w14:paraId="70430664">
            <w:pPr>
              <w:pStyle w:val="179"/>
              <w:rPr>
                <w:rFonts w:ascii="宋体" w:hAnsi="宋体" w:cs="Times New Roman"/>
              </w:rPr>
            </w:pPr>
            <w:r>
              <w:rPr>
                <w:rFonts w:cs="Times New Roman"/>
              </w:rPr>
              <w:t>AFTOX</w:t>
            </w:r>
            <w:r>
              <w:rPr>
                <w:rFonts w:ascii="宋体" w:hAnsi="宋体" w:cs="Times New Roman"/>
              </w:rPr>
              <w:t>□</w:t>
            </w:r>
          </w:p>
        </w:tc>
        <w:tc>
          <w:tcPr>
            <w:tcW w:w="1027" w:type="pct"/>
            <w:gridSpan w:val="5"/>
            <w:tcBorders>
              <w:top w:val="single" w:color="auto" w:sz="4" w:space="0"/>
              <w:left w:val="nil"/>
              <w:bottom w:val="single" w:color="auto" w:sz="4" w:space="0"/>
              <w:right w:val="single" w:color="auto" w:sz="12" w:space="0"/>
            </w:tcBorders>
            <w:noWrap/>
            <w:vAlign w:val="center"/>
          </w:tcPr>
          <w:p w14:paraId="0A317D5A">
            <w:pPr>
              <w:pStyle w:val="179"/>
              <w:rPr>
                <w:rFonts w:ascii="宋体" w:hAnsi="宋体" w:cs="Times New Roman"/>
              </w:rPr>
            </w:pPr>
            <w:r>
              <w:rPr>
                <w:rFonts w:ascii="宋体" w:hAnsi="宋体" w:cs="Times New Roman"/>
              </w:rPr>
              <w:t>其他□</w:t>
            </w:r>
          </w:p>
        </w:tc>
      </w:tr>
      <w:tr w14:paraId="137D2F0D">
        <w:tblPrEx>
          <w:tblCellMar>
            <w:top w:w="0" w:type="dxa"/>
            <w:left w:w="57" w:type="dxa"/>
            <w:bottom w:w="0" w:type="dxa"/>
            <w:right w:w="57" w:type="dxa"/>
          </w:tblCellMar>
        </w:tblPrEx>
        <w:trPr>
          <w:trHeight w:val="397" w:hRule="atLeast"/>
        </w:trPr>
        <w:tc>
          <w:tcPr>
            <w:tcW w:w="341" w:type="pct"/>
            <w:gridSpan w:val="3"/>
            <w:vMerge w:val="continue"/>
            <w:tcBorders>
              <w:top w:val="nil"/>
              <w:left w:val="single" w:color="auto" w:sz="12" w:space="0"/>
              <w:bottom w:val="single" w:color="auto" w:sz="4" w:space="0"/>
              <w:right w:val="single" w:color="auto" w:sz="4" w:space="0"/>
            </w:tcBorders>
            <w:noWrap/>
            <w:vAlign w:val="center"/>
          </w:tcPr>
          <w:p w14:paraId="0E406ABA">
            <w:pPr>
              <w:pStyle w:val="179"/>
              <w:rPr>
                <w:rFonts w:cs="Times New Roman"/>
              </w:rPr>
            </w:pPr>
          </w:p>
        </w:tc>
        <w:tc>
          <w:tcPr>
            <w:tcW w:w="534" w:type="pct"/>
            <w:vMerge w:val="continue"/>
            <w:tcBorders>
              <w:top w:val="nil"/>
              <w:left w:val="nil"/>
              <w:bottom w:val="single" w:color="auto" w:sz="4" w:space="0"/>
              <w:right w:val="single" w:color="auto" w:sz="4" w:space="0"/>
            </w:tcBorders>
            <w:noWrap/>
            <w:vAlign w:val="center"/>
          </w:tcPr>
          <w:p w14:paraId="1986010A">
            <w:pPr>
              <w:pStyle w:val="179"/>
              <w:rPr>
                <w:rFonts w:cs="Times New Roman"/>
              </w:rPr>
            </w:pPr>
          </w:p>
        </w:tc>
        <w:tc>
          <w:tcPr>
            <w:tcW w:w="841" w:type="pct"/>
            <w:gridSpan w:val="3"/>
            <w:vMerge w:val="restart"/>
            <w:tcBorders>
              <w:top w:val="nil"/>
              <w:left w:val="nil"/>
              <w:bottom w:val="single" w:color="auto" w:sz="4" w:space="0"/>
              <w:right w:val="single" w:color="auto" w:sz="4" w:space="0"/>
            </w:tcBorders>
            <w:noWrap/>
            <w:vAlign w:val="center"/>
          </w:tcPr>
          <w:p w14:paraId="2A705C44">
            <w:pPr>
              <w:pStyle w:val="179"/>
              <w:rPr>
                <w:rFonts w:cs="Times New Roman"/>
              </w:rPr>
            </w:pPr>
            <w:r>
              <w:rPr>
                <w:rFonts w:cs="Times New Roman"/>
              </w:rPr>
              <w:t>预测结果</w:t>
            </w:r>
          </w:p>
        </w:tc>
        <w:tc>
          <w:tcPr>
            <w:tcW w:w="3284" w:type="pct"/>
            <w:gridSpan w:val="21"/>
            <w:tcBorders>
              <w:top w:val="single" w:color="auto" w:sz="4" w:space="0"/>
              <w:left w:val="nil"/>
              <w:bottom w:val="single" w:color="auto" w:sz="4" w:space="0"/>
              <w:right w:val="single" w:color="auto" w:sz="12" w:space="0"/>
            </w:tcBorders>
            <w:noWrap/>
            <w:vAlign w:val="center"/>
          </w:tcPr>
          <w:p w14:paraId="6B10F43D">
            <w:pPr>
              <w:pStyle w:val="179"/>
              <w:rPr>
                <w:rFonts w:cs="Times New Roman"/>
              </w:rPr>
            </w:pPr>
            <w:r>
              <w:rPr>
                <w:rFonts w:cs="Times New Roman"/>
              </w:rPr>
              <w:t>大气毒性终点浓度-1 最大影响范围m</w:t>
            </w:r>
          </w:p>
        </w:tc>
      </w:tr>
      <w:tr w14:paraId="525244FE">
        <w:tblPrEx>
          <w:tblCellMar>
            <w:top w:w="0" w:type="dxa"/>
            <w:left w:w="57" w:type="dxa"/>
            <w:bottom w:w="0" w:type="dxa"/>
            <w:right w:w="57" w:type="dxa"/>
          </w:tblCellMar>
        </w:tblPrEx>
        <w:trPr>
          <w:trHeight w:val="397" w:hRule="atLeast"/>
        </w:trPr>
        <w:tc>
          <w:tcPr>
            <w:tcW w:w="341" w:type="pct"/>
            <w:gridSpan w:val="3"/>
            <w:vMerge w:val="continue"/>
            <w:tcBorders>
              <w:top w:val="nil"/>
              <w:left w:val="single" w:color="auto" w:sz="12" w:space="0"/>
              <w:bottom w:val="single" w:color="auto" w:sz="4" w:space="0"/>
              <w:right w:val="single" w:color="auto" w:sz="4" w:space="0"/>
            </w:tcBorders>
            <w:noWrap/>
            <w:vAlign w:val="center"/>
          </w:tcPr>
          <w:p w14:paraId="4A4BC788">
            <w:pPr>
              <w:pStyle w:val="179"/>
              <w:rPr>
                <w:rFonts w:cs="Times New Roman"/>
              </w:rPr>
            </w:pPr>
          </w:p>
        </w:tc>
        <w:tc>
          <w:tcPr>
            <w:tcW w:w="534" w:type="pct"/>
            <w:vMerge w:val="continue"/>
            <w:tcBorders>
              <w:top w:val="nil"/>
              <w:left w:val="nil"/>
              <w:bottom w:val="single" w:color="auto" w:sz="4" w:space="0"/>
              <w:right w:val="single" w:color="auto" w:sz="4" w:space="0"/>
            </w:tcBorders>
            <w:noWrap/>
            <w:vAlign w:val="center"/>
          </w:tcPr>
          <w:p w14:paraId="608A9E16">
            <w:pPr>
              <w:pStyle w:val="179"/>
              <w:rPr>
                <w:rFonts w:cs="Times New Roman"/>
              </w:rPr>
            </w:pPr>
          </w:p>
        </w:tc>
        <w:tc>
          <w:tcPr>
            <w:tcW w:w="841" w:type="pct"/>
            <w:gridSpan w:val="3"/>
            <w:vMerge w:val="continue"/>
            <w:tcBorders>
              <w:top w:val="nil"/>
              <w:left w:val="nil"/>
              <w:bottom w:val="single" w:color="auto" w:sz="4" w:space="0"/>
              <w:right w:val="single" w:color="auto" w:sz="4" w:space="0"/>
            </w:tcBorders>
            <w:noWrap/>
            <w:vAlign w:val="center"/>
          </w:tcPr>
          <w:p w14:paraId="28059DB2">
            <w:pPr>
              <w:pStyle w:val="179"/>
              <w:rPr>
                <w:rFonts w:cs="Times New Roman"/>
              </w:rPr>
            </w:pPr>
          </w:p>
        </w:tc>
        <w:tc>
          <w:tcPr>
            <w:tcW w:w="3284" w:type="pct"/>
            <w:gridSpan w:val="21"/>
            <w:tcBorders>
              <w:top w:val="single" w:color="auto" w:sz="4" w:space="0"/>
              <w:left w:val="nil"/>
              <w:bottom w:val="single" w:color="auto" w:sz="4" w:space="0"/>
              <w:right w:val="single" w:color="auto" w:sz="12" w:space="0"/>
            </w:tcBorders>
            <w:noWrap/>
            <w:vAlign w:val="center"/>
          </w:tcPr>
          <w:p w14:paraId="3018306D">
            <w:pPr>
              <w:pStyle w:val="179"/>
              <w:rPr>
                <w:rFonts w:cs="Times New Roman"/>
              </w:rPr>
            </w:pPr>
            <w:r>
              <w:rPr>
                <w:rFonts w:cs="Times New Roman"/>
              </w:rPr>
              <w:t>大气毒性终点浓度-2 最大影响范围m</w:t>
            </w:r>
          </w:p>
        </w:tc>
      </w:tr>
      <w:tr w14:paraId="73074CE9">
        <w:tblPrEx>
          <w:tblCellMar>
            <w:top w:w="0" w:type="dxa"/>
            <w:left w:w="57" w:type="dxa"/>
            <w:bottom w:w="0" w:type="dxa"/>
            <w:right w:w="57" w:type="dxa"/>
          </w:tblCellMar>
        </w:tblPrEx>
        <w:trPr>
          <w:trHeight w:val="397" w:hRule="atLeast"/>
        </w:trPr>
        <w:tc>
          <w:tcPr>
            <w:tcW w:w="341" w:type="pct"/>
            <w:gridSpan w:val="3"/>
            <w:vMerge w:val="continue"/>
            <w:tcBorders>
              <w:top w:val="nil"/>
              <w:left w:val="single" w:color="auto" w:sz="12" w:space="0"/>
              <w:bottom w:val="single" w:color="auto" w:sz="4" w:space="0"/>
              <w:right w:val="single" w:color="auto" w:sz="4" w:space="0"/>
            </w:tcBorders>
            <w:noWrap/>
            <w:vAlign w:val="center"/>
          </w:tcPr>
          <w:p w14:paraId="67C6B9ED">
            <w:pPr>
              <w:pStyle w:val="179"/>
              <w:rPr>
                <w:rFonts w:cs="Times New Roman"/>
              </w:rPr>
            </w:pPr>
          </w:p>
        </w:tc>
        <w:tc>
          <w:tcPr>
            <w:tcW w:w="534" w:type="pct"/>
            <w:tcBorders>
              <w:top w:val="single" w:color="auto" w:sz="4" w:space="0"/>
              <w:left w:val="nil"/>
              <w:bottom w:val="single" w:color="auto" w:sz="4" w:space="0"/>
              <w:right w:val="single" w:color="auto" w:sz="4" w:space="0"/>
            </w:tcBorders>
            <w:noWrap/>
            <w:vAlign w:val="center"/>
          </w:tcPr>
          <w:p w14:paraId="4F64E027">
            <w:pPr>
              <w:pStyle w:val="179"/>
              <w:rPr>
                <w:rFonts w:cs="Times New Roman"/>
              </w:rPr>
            </w:pPr>
            <w:r>
              <w:rPr>
                <w:rFonts w:cs="Times New Roman"/>
              </w:rPr>
              <w:t>地表水</w:t>
            </w:r>
          </w:p>
        </w:tc>
        <w:tc>
          <w:tcPr>
            <w:tcW w:w="4125" w:type="pct"/>
            <w:gridSpan w:val="24"/>
            <w:tcBorders>
              <w:top w:val="single" w:color="auto" w:sz="4" w:space="0"/>
              <w:left w:val="nil"/>
              <w:bottom w:val="single" w:color="auto" w:sz="4" w:space="0"/>
              <w:right w:val="single" w:color="auto" w:sz="12" w:space="0"/>
            </w:tcBorders>
            <w:noWrap/>
            <w:vAlign w:val="center"/>
          </w:tcPr>
          <w:p w14:paraId="550DFDF4">
            <w:pPr>
              <w:pStyle w:val="179"/>
              <w:rPr>
                <w:rFonts w:cs="Times New Roman"/>
              </w:rPr>
            </w:pPr>
            <w:r>
              <w:rPr>
                <w:rFonts w:cs="Times New Roman"/>
              </w:rPr>
              <w:t>最近环境敏感目标，到达时间h</w:t>
            </w:r>
          </w:p>
        </w:tc>
      </w:tr>
      <w:tr w14:paraId="42F55699">
        <w:tblPrEx>
          <w:tblCellMar>
            <w:top w:w="0" w:type="dxa"/>
            <w:left w:w="57" w:type="dxa"/>
            <w:bottom w:w="0" w:type="dxa"/>
            <w:right w:w="57" w:type="dxa"/>
          </w:tblCellMar>
        </w:tblPrEx>
        <w:trPr>
          <w:trHeight w:val="397" w:hRule="atLeast"/>
        </w:trPr>
        <w:tc>
          <w:tcPr>
            <w:tcW w:w="341" w:type="pct"/>
            <w:gridSpan w:val="3"/>
            <w:vMerge w:val="continue"/>
            <w:tcBorders>
              <w:top w:val="nil"/>
              <w:left w:val="single" w:color="auto" w:sz="12" w:space="0"/>
              <w:bottom w:val="single" w:color="auto" w:sz="4" w:space="0"/>
              <w:right w:val="single" w:color="auto" w:sz="4" w:space="0"/>
            </w:tcBorders>
            <w:noWrap/>
            <w:vAlign w:val="center"/>
          </w:tcPr>
          <w:p w14:paraId="1900652F">
            <w:pPr>
              <w:pStyle w:val="179"/>
              <w:rPr>
                <w:rFonts w:cs="Times New Roman"/>
              </w:rPr>
            </w:pPr>
          </w:p>
        </w:tc>
        <w:tc>
          <w:tcPr>
            <w:tcW w:w="534" w:type="pct"/>
            <w:vMerge w:val="restart"/>
            <w:tcBorders>
              <w:top w:val="nil"/>
              <w:left w:val="nil"/>
              <w:bottom w:val="single" w:color="auto" w:sz="4" w:space="0"/>
              <w:right w:val="single" w:color="auto" w:sz="4" w:space="0"/>
            </w:tcBorders>
            <w:noWrap/>
            <w:vAlign w:val="center"/>
          </w:tcPr>
          <w:p w14:paraId="4931A68E">
            <w:pPr>
              <w:pStyle w:val="179"/>
              <w:rPr>
                <w:rFonts w:cs="Times New Roman"/>
              </w:rPr>
            </w:pPr>
            <w:r>
              <w:rPr>
                <w:rFonts w:cs="Times New Roman"/>
              </w:rPr>
              <w:t>地下水</w:t>
            </w:r>
          </w:p>
        </w:tc>
        <w:tc>
          <w:tcPr>
            <w:tcW w:w="4125" w:type="pct"/>
            <w:gridSpan w:val="24"/>
            <w:tcBorders>
              <w:top w:val="single" w:color="auto" w:sz="4" w:space="0"/>
              <w:left w:val="nil"/>
              <w:bottom w:val="single" w:color="auto" w:sz="4" w:space="0"/>
              <w:right w:val="single" w:color="auto" w:sz="12" w:space="0"/>
            </w:tcBorders>
            <w:noWrap/>
            <w:vAlign w:val="center"/>
          </w:tcPr>
          <w:p w14:paraId="01039670">
            <w:pPr>
              <w:pStyle w:val="179"/>
              <w:rPr>
                <w:rFonts w:cs="Times New Roman"/>
              </w:rPr>
            </w:pPr>
            <w:r>
              <w:rPr>
                <w:rFonts w:cs="Times New Roman"/>
              </w:rPr>
              <w:t>下游厂区边界到达时间d</w:t>
            </w:r>
          </w:p>
        </w:tc>
      </w:tr>
      <w:tr w14:paraId="3EDD9BF8">
        <w:tblPrEx>
          <w:tblCellMar>
            <w:top w:w="0" w:type="dxa"/>
            <w:left w:w="57" w:type="dxa"/>
            <w:bottom w:w="0" w:type="dxa"/>
            <w:right w:w="57" w:type="dxa"/>
          </w:tblCellMar>
        </w:tblPrEx>
        <w:trPr>
          <w:trHeight w:val="397" w:hRule="atLeast"/>
        </w:trPr>
        <w:tc>
          <w:tcPr>
            <w:tcW w:w="341" w:type="pct"/>
            <w:gridSpan w:val="3"/>
            <w:vMerge w:val="continue"/>
            <w:tcBorders>
              <w:top w:val="nil"/>
              <w:left w:val="single" w:color="auto" w:sz="12" w:space="0"/>
              <w:bottom w:val="single" w:color="auto" w:sz="4" w:space="0"/>
              <w:right w:val="single" w:color="auto" w:sz="4" w:space="0"/>
            </w:tcBorders>
            <w:noWrap/>
            <w:vAlign w:val="center"/>
          </w:tcPr>
          <w:p w14:paraId="434BFC8E">
            <w:pPr>
              <w:pStyle w:val="179"/>
              <w:rPr>
                <w:rFonts w:cs="Times New Roman"/>
              </w:rPr>
            </w:pPr>
          </w:p>
        </w:tc>
        <w:tc>
          <w:tcPr>
            <w:tcW w:w="534" w:type="pct"/>
            <w:vMerge w:val="continue"/>
            <w:tcBorders>
              <w:top w:val="nil"/>
              <w:left w:val="nil"/>
              <w:bottom w:val="single" w:color="auto" w:sz="4" w:space="0"/>
              <w:right w:val="single" w:color="auto" w:sz="4" w:space="0"/>
            </w:tcBorders>
            <w:noWrap/>
            <w:vAlign w:val="center"/>
          </w:tcPr>
          <w:p w14:paraId="6A08B6E5">
            <w:pPr>
              <w:pStyle w:val="179"/>
              <w:rPr>
                <w:rFonts w:cs="Times New Roman"/>
              </w:rPr>
            </w:pPr>
          </w:p>
        </w:tc>
        <w:tc>
          <w:tcPr>
            <w:tcW w:w="4125" w:type="pct"/>
            <w:gridSpan w:val="24"/>
            <w:tcBorders>
              <w:top w:val="single" w:color="auto" w:sz="4" w:space="0"/>
              <w:left w:val="nil"/>
              <w:bottom w:val="single" w:color="auto" w:sz="4" w:space="0"/>
              <w:right w:val="single" w:color="auto" w:sz="12" w:space="0"/>
            </w:tcBorders>
            <w:noWrap/>
            <w:vAlign w:val="center"/>
          </w:tcPr>
          <w:p w14:paraId="59C46C96">
            <w:pPr>
              <w:pStyle w:val="179"/>
              <w:rPr>
                <w:rFonts w:cs="Times New Roman"/>
              </w:rPr>
            </w:pPr>
            <w:r>
              <w:rPr>
                <w:rFonts w:cs="Times New Roman"/>
              </w:rPr>
              <w:t>最近环境敏感目标，到达时间d</w:t>
            </w:r>
          </w:p>
        </w:tc>
      </w:tr>
      <w:tr w14:paraId="1276F1BB">
        <w:tblPrEx>
          <w:tblCellMar>
            <w:top w:w="0" w:type="dxa"/>
            <w:left w:w="57" w:type="dxa"/>
            <w:bottom w:w="0" w:type="dxa"/>
            <w:right w:w="57" w:type="dxa"/>
          </w:tblCellMar>
        </w:tblPrEx>
        <w:trPr>
          <w:trHeight w:val="397" w:hRule="atLeast"/>
        </w:trPr>
        <w:tc>
          <w:tcPr>
            <w:tcW w:w="875" w:type="pct"/>
            <w:gridSpan w:val="4"/>
            <w:tcBorders>
              <w:top w:val="single" w:color="auto" w:sz="4" w:space="0"/>
              <w:left w:val="single" w:color="auto" w:sz="12" w:space="0"/>
              <w:bottom w:val="single" w:color="auto" w:sz="4" w:space="0"/>
              <w:right w:val="single" w:color="auto" w:sz="4" w:space="0"/>
            </w:tcBorders>
            <w:noWrap/>
            <w:vAlign w:val="center"/>
          </w:tcPr>
          <w:p w14:paraId="50805B4F">
            <w:pPr>
              <w:pStyle w:val="179"/>
              <w:rPr>
                <w:rFonts w:cs="Times New Roman"/>
              </w:rPr>
            </w:pPr>
            <w:r>
              <w:rPr>
                <w:rFonts w:cs="Times New Roman"/>
              </w:rPr>
              <w:t>重点风险防范措施</w:t>
            </w:r>
          </w:p>
        </w:tc>
        <w:tc>
          <w:tcPr>
            <w:tcW w:w="4125" w:type="pct"/>
            <w:gridSpan w:val="24"/>
            <w:tcBorders>
              <w:top w:val="single" w:color="auto" w:sz="4" w:space="0"/>
              <w:left w:val="nil"/>
              <w:bottom w:val="single" w:color="auto" w:sz="4" w:space="0"/>
              <w:right w:val="single" w:color="auto" w:sz="12" w:space="0"/>
            </w:tcBorders>
            <w:noWrap/>
            <w:vAlign w:val="center"/>
          </w:tcPr>
          <w:p w14:paraId="3F6975B6">
            <w:pPr>
              <w:pStyle w:val="179"/>
              <w:rPr>
                <w:rFonts w:cs="Times New Roman"/>
              </w:rPr>
            </w:pPr>
            <w:r>
              <w:rPr>
                <w:rFonts w:cs="Times New Roman"/>
              </w:rPr>
              <w:t>应采取的火灾等应急处理、防护措施、急救措施</w:t>
            </w:r>
          </w:p>
        </w:tc>
      </w:tr>
      <w:tr w14:paraId="3D56519C">
        <w:tblPrEx>
          <w:tblCellMar>
            <w:top w:w="0" w:type="dxa"/>
            <w:left w:w="57" w:type="dxa"/>
            <w:bottom w:w="0" w:type="dxa"/>
            <w:right w:w="57" w:type="dxa"/>
          </w:tblCellMar>
        </w:tblPrEx>
        <w:trPr>
          <w:trHeight w:val="397" w:hRule="atLeast"/>
        </w:trPr>
        <w:tc>
          <w:tcPr>
            <w:tcW w:w="875" w:type="pct"/>
            <w:gridSpan w:val="4"/>
            <w:tcBorders>
              <w:top w:val="single" w:color="auto" w:sz="4" w:space="0"/>
              <w:left w:val="single" w:color="auto" w:sz="12" w:space="0"/>
              <w:bottom w:val="single" w:color="auto" w:sz="4" w:space="0"/>
              <w:right w:val="single" w:color="auto" w:sz="4" w:space="0"/>
            </w:tcBorders>
            <w:noWrap/>
            <w:vAlign w:val="center"/>
          </w:tcPr>
          <w:p w14:paraId="17117A00">
            <w:pPr>
              <w:pStyle w:val="179"/>
              <w:rPr>
                <w:rFonts w:cs="Times New Roman"/>
              </w:rPr>
            </w:pPr>
            <w:r>
              <w:rPr>
                <w:rFonts w:cs="Times New Roman"/>
              </w:rPr>
              <w:t>评价结论与建议</w:t>
            </w:r>
          </w:p>
        </w:tc>
        <w:tc>
          <w:tcPr>
            <w:tcW w:w="4125" w:type="pct"/>
            <w:gridSpan w:val="24"/>
            <w:tcBorders>
              <w:top w:val="single" w:color="auto" w:sz="4" w:space="0"/>
              <w:left w:val="nil"/>
              <w:bottom w:val="single" w:color="auto" w:sz="4" w:space="0"/>
              <w:right w:val="single" w:color="auto" w:sz="12" w:space="0"/>
            </w:tcBorders>
            <w:noWrap/>
            <w:vAlign w:val="center"/>
          </w:tcPr>
          <w:p w14:paraId="5FB3F5B6">
            <w:pPr>
              <w:pStyle w:val="179"/>
              <w:rPr>
                <w:rFonts w:cs="Times New Roman"/>
              </w:rPr>
            </w:pPr>
            <w:r>
              <w:rPr>
                <w:rFonts w:cs="Times New Roman"/>
              </w:rPr>
              <w:t>项目拟采取的风险防范措施基本能满足拟建工程环境风险防范的要求，通过制定并严格执行风险防范措施及应急预案，在日常生产中加强风险管理，发现问题及时处理解决，项目的环境风险能够得到有效控制。</w:t>
            </w:r>
          </w:p>
        </w:tc>
      </w:tr>
      <w:tr w14:paraId="70BF2FE1">
        <w:tblPrEx>
          <w:tblCellMar>
            <w:top w:w="0" w:type="dxa"/>
            <w:left w:w="57" w:type="dxa"/>
            <w:bottom w:w="0" w:type="dxa"/>
            <w:right w:w="57" w:type="dxa"/>
          </w:tblCellMar>
        </w:tblPrEx>
        <w:trPr>
          <w:trHeight w:val="397" w:hRule="atLeast"/>
        </w:trPr>
        <w:tc>
          <w:tcPr>
            <w:tcW w:w="5000" w:type="pct"/>
            <w:gridSpan w:val="28"/>
            <w:tcBorders>
              <w:top w:val="single" w:color="auto" w:sz="4" w:space="0"/>
              <w:left w:val="single" w:color="auto" w:sz="12" w:space="0"/>
              <w:bottom w:val="single" w:color="auto" w:sz="12" w:space="0"/>
              <w:right w:val="single" w:color="auto" w:sz="12" w:space="0"/>
            </w:tcBorders>
            <w:noWrap/>
            <w:vAlign w:val="center"/>
          </w:tcPr>
          <w:p w14:paraId="6528927D">
            <w:pPr>
              <w:pStyle w:val="179"/>
              <w:rPr>
                <w:rFonts w:cs="Times New Roman"/>
              </w:rPr>
            </w:pPr>
            <w:r>
              <w:rPr>
                <w:rFonts w:cs="Times New Roman"/>
              </w:rPr>
              <w:t>注：“□”为勾选项，“ ”为填写项。</w:t>
            </w:r>
          </w:p>
        </w:tc>
      </w:tr>
    </w:tbl>
    <w:p w14:paraId="78D257AD">
      <w:pPr>
        <w:spacing w:line="520" w:lineRule="exact"/>
        <w:ind w:firstLine="480"/>
        <w:rPr>
          <w:rFonts w:hAnsi="Times New Roman" w:cs="Times New Roman"/>
        </w:rPr>
        <w:sectPr>
          <w:headerReference r:id="rId22" w:type="first"/>
          <w:footerReference r:id="rId24" w:type="first"/>
          <w:headerReference r:id="rId20" w:type="default"/>
          <w:headerReference r:id="rId21" w:type="even"/>
          <w:footerReference r:id="rId23" w:type="even"/>
          <w:pgSz w:w="11906" w:h="16838"/>
          <w:pgMar w:top="1440" w:right="1797" w:bottom="1440" w:left="1797" w:header="851" w:footer="992" w:gutter="0"/>
          <w:cols w:space="720" w:num="1"/>
          <w:docGrid w:linePitch="312" w:charSpace="0"/>
        </w:sectPr>
      </w:pPr>
    </w:p>
    <w:p w14:paraId="27FA6092">
      <w:pPr>
        <w:pStyle w:val="3"/>
        <w:numPr>
          <w:ilvl w:val="0"/>
          <w:numId w:val="0"/>
        </w:numPr>
        <w:spacing w:before="180" w:after="120" w:line="240" w:lineRule="auto"/>
        <w:ind w:left="142"/>
        <w:jc w:val="center"/>
        <w:rPr>
          <w:rFonts w:cs="Times New Roman"/>
          <w:sz w:val="24"/>
        </w:rPr>
      </w:pPr>
      <w:bookmarkStart w:id="870" w:name="_Toc29760"/>
      <w:bookmarkStart w:id="871" w:name="_Toc234927737"/>
      <w:r>
        <w:rPr>
          <w:rFonts w:cs="Times New Roman"/>
          <w:sz w:val="24"/>
        </w:rPr>
        <w:t>附表4 地表水环境影响评价自查表</w:t>
      </w:r>
      <w:bookmarkEnd w:id="870"/>
      <w:bookmarkEnd w:id="871"/>
    </w:p>
    <w:tbl>
      <w:tblPr>
        <w:tblStyle w:val="36"/>
        <w:tblW w:w="14786"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936"/>
        <w:gridCol w:w="3004"/>
        <w:gridCol w:w="2141"/>
        <w:gridCol w:w="473"/>
        <w:gridCol w:w="843"/>
        <w:gridCol w:w="659"/>
        <w:gridCol w:w="1029"/>
        <w:gridCol w:w="1029"/>
        <w:gridCol w:w="211"/>
        <w:gridCol w:w="369"/>
        <w:gridCol w:w="1276"/>
        <w:gridCol w:w="127"/>
        <w:gridCol w:w="789"/>
        <w:gridCol w:w="1900"/>
      </w:tblGrid>
      <w:tr w14:paraId="742624D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940" w:type="dxa"/>
            <w:gridSpan w:val="2"/>
            <w:noWrap/>
            <w:vAlign w:val="center"/>
          </w:tcPr>
          <w:p w14:paraId="7A825CD4">
            <w:pPr>
              <w:pStyle w:val="179"/>
              <w:rPr>
                <w:rFonts w:cs="Times New Roman"/>
                <w:b/>
                <w:kern w:val="0"/>
              </w:rPr>
            </w:pPr>
            <w:r>
              <w:rPr>
                <w:rFonts w:cs="Times New Roman"/>
                <w:b/>
                <w:kern w:val="0"/>
              </w:rPr>
              <w:t>工作内容</w:t>
            </w:r>
          </w:p>
        </w:tc>
        <w:tc>
          <w:tcPr>
            <w:tcW w:w="10846" w:type="dxa"/>
            <w:gridSpan w:val="12"/>
            <w:noWrap/>
            <w:vAlign w:val="center"/>
          </w:tcPr>
          <w:p w14:paraId="469AE5B5">
            <w:pPr>
              <w:pStyle w:val="179"/>
              <w:rPr>
                <w:rFonts w:cs="Times New Roman"/>
                <w:b/>
                <w:kern w:val="0"/>
              </w:rPr>
            </w:pPr>
            <w:r>
              <w:rPr>
                <w:rFonts w:cs="Times New Roman"/>
                <w:b/>
                <w:kern w:val="0"/>
              </w:rPr>
              <w:t>自查项目</w:t>
            </w:r>
          </w:p>
        </w:tc>
      </w:tr>
      <w:tr w14:paraId="0A90FF8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936" w:type="dxa"/>
            <w:vMerge w:val="restart"/>
            <w:noWrap/>
            <w:vAlign w:val="center"/>
          </w:tcPr>
          <w:p w14:paraId="49926953">
            <w:pPr>
              <w:pStyle w:val="179"/>
              <w:rPr>
                <w:rFonts w:cs="Times New Roman"/>
                <w:kern w:val="0"/>
              </w:rPr>
            </w:pPr>
            <w:r>
              <w:rPr>
                <w:rFonts w:cs="Times New Roman"/>
                <w:kern w:val="0"/>
              </w:rPr>
              <w:t>影响识别</w:t>
            </w:r>
          </w:p>
        </w:tc>
        <w:tc>
          <w:tcPr>
            <w:tcW w:w="3004" w:type="dxa"/>
            <w:noWrap/>
            <w:vAlign w:val="center"/>
          </w:tcPr>
          <w:p w14:paraId="03BACE05">
            <w:pPr>
              <w:pStyle w:val="179"/>
              <w:rPr>
                <w:rFonts w:cs="Times New Roman"/>
                <w:kern w:val="0"/>
              </w:rPr>
            </w:pPr>
            <w:r>
              <w:rPr>
                <w:rFonts w:cs="Times New Roman"/>
                <w:kern w:val="0"/>
              </w:rPr>
              <w:t>影响类型</w:t>
            </w:r>
          </w:p>
        </w:tc>
        <w:tc>
          <w:tcPr>
            <w:tcW w:w="10846" w:type="dxa"/>
            <w:gridSpan w:val="12"/>
            <w:noWrap/>
            <w:vAlign w:val="center"/>
          </w:tcPr>
          <w:p w14:paraId="40F6AB4A">
            <w:pPr>
              <w:pStyle w:val="179"/>
              <w:rPr>
                <w:rFonts w:cs="Times New Roman"/>
                <w:kern w:val="0"/>
              </w:rPr>
            </w:pPr>
            <w:r>
              <w:rPr>
                <w:rFonts w:cs="Times New Roman"/>
                <w:kern w:val="0"/>
              </w:rPr>
              <w:t xml:space="preserve">水污染影响型 </w:t>
            </w:r>
            <w:r>
              <w:rPr>
                <w:rFonts w:hint="eastAsia" w:ascii="MS Mincho" w:hAnsi="MS Mincho" w:eastAsia="MS Mincho" w:cs="MS Mincho"/>
                <w:kern w:val="0"/>
              </w:rPr>
              <w:t>☑</w:t>
            </w:r>
            <w:r>
              <w:rPr>
                <w:rFonts w:cs="Times New Roman"/>
              </w:rPr>
              <w:t xml:space="preserve">；水文要素影响型 </w:t>
            </w:r>
            <w:r>
              <w:rPr>
                <w:rFonts w:cs="Times New Roman"/>
                <w:kern w:val="0"/>
              </w:rPr>
              <w:t>□</w:t>
            </w:r>
          </w:p>
        </w:tc>
      </w:tr>
      <w:tr w14:paraId="0C256B5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936" w:type="dxa"/>
            <w:vMerge w:val="continue"/>
            <w:noWrap/>
            <w:vAlign w:val="center"/>
          </w:tcPr>
          <w:p w14:paraId="71551AA4">
            <w:pPr>
              <w:pStyle w:val="179"/>
              <w:rPr>
                <w:rFonts w:cs="Times New Roman"/>
                <w:kern w:val="0"/>
              </w:rPr>
            </w:pPr>
          </w:p>
        </w:tc>
        <w:tc>
          <w:tcPr>
            <w:tcW w:w="3004" w:type="dxa"/>
            <w:noWrap/>
            <w:vAlign w:val="center"/>
          </w:tcPr>
          <w:p w14:paraId="377B6540">
            <w:pPr>
              <w:pStyle w:val="179"/>
              <w:rPr>
                <w:rFonts w:cs="Times New Roman"/>
                <w:kern w:val="0"/>
              </w:rPr>
            </w:pPr>
            <w:r>
              <w:rPr>
                <w:rFonts w:cs="Times New Roman"/>
                <w:kern w:val="0"/>
              </w:rPr>
              <w:t>水环境保护目标</w:t>
            </w:r>
          </w:p>
        </w:tc>
        <w:tc>
          <w:tcPr>
            <w:tcW w:w="10846" w:type="dxa"/>
            <w:gridSpan w:val="12"/>
            <w:noWrap/>
            <w:vAlign w:val="center"/>
          </w:tcPr>
          <w:p w14:paraId="6D3554F6">
            <w:pPr>
              <w:pStyle w:val="179"/>
              <w:jc w:val="left"/>
              <w:rPr>
                <w:rFonts w:cs="Times New Roman"/>
                <w:kern w:val="0"/>
              </w:rPr>
            </w:pPr>
            <w:r>
              <w:rPr>
                <w:rFonts w:cs="Times New Roman"/>
                <w:kern w:val="0"/>
              </w:rPr>
              <w:t>饮用水水源保</w:t>
            </w:r>
            <w:r>
              <w:rPr>
                <w:rFonts w:ascii="宋体" w:hAnsi="宋体" w:cs="Times New Roman"/>
                <w:kern w:val="0"/>
              </w:rPr>
              <w:t>护区 □；饮用水取水口 □；涉水的自然保护区 □；涉水的风景名胜区 □；重要湿地 □；</w:t>
            </w:r>
            <w:r>
              <w:rPr>
                <w:rFonts w:ascii="宋体" w:hAnsi="宋体" w:cs="Times New Roman"/>
                <w:kern w:val="0"/>
              </w:rPr>
              <w:br w:type="textWrapping"/>
            </w:r>
            <w:r>
              <w:rPr>
                <w:rFonts w:ascii="宋体" w:hAnsi="宋体" w:cs="Times New Roman"/>
                <w:kern w:val="0"/>
              </w:rPr>
              <w:t>重点保护与珍稀水生生物的栖息地 □；重要水生生物的自然产卵场及索饵场、越冬场和洄游通道□；天然渔场等渔业水体 □；水产种质资源保护区□；其他 □</w:t>
            </w:r>
          </w:p>
        </w:tc>
      </w:tr>
      <w:tr w14:paraId="7CBD4FB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936" w:type="dxa"/>
            <w:vMerge w:val="continue"/>
            <w:noWrap/>
            <w:vAlign w:val="center"/>
          </w:tcPr>
          <w:p w14:paraId="26A5A360">
            <w:pPr>
              <w:pStyle w:val="179"/>
              <w:rPr>
                <w:rFonts w:cs="Times New Roman"/>
                <w:kern w:val="0"/>
              </w:rPr>
            </w:pPr>
          </w:p>
        </w:tc>
        <w:tc>
          <w:tcPr>
            <w:tcW w:w="3004" w:type="dxa"/>
            <w:vMerge w:val="restart"/>
            <w:noWrap/>
            <w:vAlign w:val="center"/>
          </w:tcPr>
          <w:p w14:paraId="228F9C47">
            <w:pPr>
              <w:pStyle w:val="179"/>
              <w:rPr>
                <w:rFonts w:ascii="宋体" w:hAnsi="宋体" w:cs="Times New Roman"/>
                <w:kern w:val="0"/>
              </w:rPr>
            </w:pPr>
            <w:r>
              <w:rPr>
                <w:rFonts w:ascii="宋体" w:hAnsi="宋体" w:cs="Times New Roman"/>
                <w:kern w:val="0"/>
              </w:rPr>
              <w:t>影响途径</w:t>
            </w:r>
          </w:p>
        </w:tc>
        <w:tc>
          <w:tcPr>
            <w:tcW w:w="5145" w:type="dxa"/>
            <w:gridSpan w:val="5"/>
            <w:noWrap/>
            <w:vAlign w:val="center"/>
          </w:tcPr>
          <w:p w14:paraId="728DFF28">
            <w:pPr>
              <w:pStyle w:val="179"/>
              <w:rPr>
                <w:rFonts w:ascii="宋体" w:hAnsi="宋体" w:cs="Times New Roman"/>
                <w:kern w:val="0"/>
              </w:rPr>
            </w:pPr>
            <w:r>
              <w:rPr>
                <w:rFonts w:ascii="宋体" w:hAnsi="宋体" w:cs="Times New Roman"/>
                <w:kern w:val="0"/>
              </w:rPr>
              <w:t>水污染影响型</w:t>
            </w:r>
          </w:p>
        </w:tc>
        <w:tc>
          <w:tcPr>
            <w:tcW w:w="5701" w:type="dxa"/>
            <w:gridSpan w:val="7"/>
            <w:noWrap/>
            <w:vAlign w:val="center"/>
          </w:tcPr>
          <w:p w14:paraId="4476015C">
            <w:pPr>
              <w:pStyle w:val="179"/>
              <w:rPr>
                <w:rFonts w:ascii="宋体" w:hAnsi="宋体" w:cs="Times New Roman"/>
                <w:kern w:val="0"/>
              </w:rPr>
            </w:pPr>
            <w:r>
              <w:rPr>
                <w:rFonts w:ascii="宋体" w:hAnsi="宋体" w:cs="Times New Roman"/>
                <w:kern w:val="0"/>
              </w:rPr>
              <w:t>水文要素影响型</w:t>
            </w:r>
          </w:p>
        </w:tc>
      </w:tr>
      <w:tr w14:paraId="15E6F76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936" w:type="dxa"/>
            <w:vMerge w:val="continue"/>
            <w:noWrap/>
            <w:vAlign w:val="center"/>
          </w:tcPr>
          <w:p w14:paraId="01BB5097">
            <w:pPr>
              <w:pStyle w:val="179"/>
              <w:rPr>
                <w:rFonts w:cs="Times New Roman"/>
                <w:kern w:val="0"/>
              </w:rPr>
            </w:pPr>
          </w:p>
        </w:tc>
        <w:tc>
          <w:tcPr>
            <w:tcW w:w="3004" w:type="dxa"/>
            <w:vMerge w:val="continue"/>
            <w:noWrap/>
            <w:vAlign w:val="center"/>
          </w:tcPr>
          <w:p w14:paraId="66BC81A9">
            <w:pPr>
              <w:pStyle w:val="179"/>
              <w:rPr>
                <w:rFonts w:ascii="宋体" w:hAnsi="宋体" w:cs="Times New Roman"/>
                <w:kern w:val="0"/>
              </w:rPr>
            </w:pPr>
          </w:p>
        </w:tc>
        <w:tc>
          <w:tcPr>
            <w:tcW w:w="5145" w:type="dxa"/>
            <w:gridSpan w:val="5"/>
            <w:noWrap/>
            <w:vAlign w:val="center"/>
          </w:tcPr>
          <w:p w14:paraId="5FA96DB6">
            <w:pPr>
              <w:pStyle w:val="179"/>
              <w:rPr>
                <w:rFonts w:ascii="宋体" w:hAnsi="宋体" w:cs="Times New Roman"/>
                <w:kern w:val="0"/>
              </w:rPr>
            </w:pPr>
            <w:r>
              <w:rPr>
                <w:rFonts w:ascii="宋体" w:hAnsi="宋体" w:cs="Times New Roman"/>
                <w:kern w:val="0"/>
              </w:rPr>
              <w:t>直接排放□；间接排放□</w:t>
            </w:r>
            <w:r>
              <w:rPr>
                <w:rFonts w:ascii="宋体" w:hAnsi="宋体" w:cs="Times New Roman"/>
              </w:rPr>
              <w:t>；</w:t>
            </w:r>
            <w:r>
              <w:rPr>
                <w:rFonts w:ascii="宋体" w:hAnsi="宋体" w:cs="Times New Roman"/>
                <w:kern w:val="0"/>
              </w:rPr>
              <w:t>其他□</w:t>
            </w:r>
          </w:p>
        </w:tc>
        <w:tc>
          <w:tcPr>
            <w:tcW w:w="5701" w:type="dxa"/>
            <w:gridSpan w:val="7"/>
            <w:noWrap/>
            <w:vAlign w:val="center"/>
          </w:tcPr>
          <w:p w14:paraId="135BBA35">
            <w:pPr>
              <w:pStyle w:val="179"/>
              <w:rPr>
                <w:rFonts w:ascii="宋体" w:hAnsi="宋体" w:cs="Times New Roman"/>
                <w:kern w:val="0"/>
              </w:rPr>
            </w:pPr>
            <w:r>
              <w:rPr>
                <w:rFonts w:ascii="宋体" w:hAnsi="宋体" w:cs="Times New Roman"/>
                <w:kern w:val="0"/>
              </w:rPr>
              <w:t>水温 □；径流 □；水域面积 □</w:t>
            </w:r>
          </w:p>
        </w:tc>
      </w:tr>
      <w:tr w14:paraId="6DB011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936" w:type="dxa"/>
            <w:vMerge w:val="continue"/>
            <w:noWrap/>
            <w:vAlign w:val="center"/>
          </w:tcPr>
          <w:p w14:paraId="1DA4A0E5">
            <w:pPr>
              <w:pStyle w:val="179"/>
              <w:rPr>
                <w:rFonts w:cs="Times New Roman"/>
                <w:kern w:val="0"/>
              </w:rPr>
            </w:pPr>
          </w:p>
        </w:tc>
        <w:tc>
          <w:tcPr>
            <w:tcW w:w="3004" w:type="dxa"/>
            <w:noWrap/>
            <w:vAlign w:val="center"/>
          </w:tcPr>
          <w:p w14:paraId="6F8205BE">
            <w:pPr>
              <w:pStyle w:val="179"/>
              <w:rPr>
                <w:rFonts w:ascii="宋体" w:hAnsi="宋体" w:cs="Times New Roman"/>
                <w:kern w:val="0"/>
              </w:rPr>
            </w:pPr>
            <w:r>
              <w:rPr>
                <w:rFonts w:ascii="宋体" w:hAnsi="宋体" w:cs="Times New Roman"/>
                <w:kern w:val="0"/>
              </w:rPr>
              <w:t>影响因子</w:t>
            </w:r>
          </w:p>
        </w:tc>
        <w:tc>
          <w:tcPr>
            <w:tcW w:w="5145" w:type="dxa"/>
            <w:gridSpan w:val="5"/>
            <w:noWrap/>
            <w:vAlign w:val="center"/>
          </w:tcPr>
          <w:p w14:paraId="27491F75">
            <w:pPr>
              <w:pStyle w:val="179"/>
              <w:rPr>
                <w:rFonts w:ascii="宋体" w:hAnsi="宋体" w:cs="Times New Roman"/>
                <w:kern w:val="0"/>
              </w:rPr>
            </w:pPr>
            <w:r>
              <w:rPr>
                <w:rFonts w:ascii="宋体" w:hAnsi="宋体" w:cs="Times New Roman"/>
                <w:kern w:val="0"/>
              </w:rPr>
              <w:t>持久性污染物□；有毒有害污染物□；非持久性污染物</w:t>
            </w:r>
            <w:r>
              <w:rPr>
                <w:rFonts w:hint="eastAsia" w:ascii="宋体" w:hAnsi="MS Mincho" w:eastAsia="MS Mincho" w:cs="MS Mincho"/>
                <w:kern w:val="0"/>
              </w:rPr>
              <w:t>☑</w:t>
            </w:r>
            <w:r>
              <w:rPr>
                <w:rFonts w:ascii="宋体" w:hAnsi="宋体" w:cs="Times New Roman"/>
              </w:rPr>
              <w:t>；</w:t>
            </w:r>
            <w:r>
              <w:rPr>
                <w:rFonts w:ascii="宋体" w:hAnsi="宋体" w:cs="Times New Roman"/>
                <w:kern w:val="0"/>
              </w:rPr>
              <w:t>pH值□；热污染□；富营养化□；其他□</w:t>
            </w:r>
          </w:p>
        </w:tc>
        <w:tc>
          <w:tcPr>
            <w:tcW w:w="5701" w:type="dxa"/>
            <w:gridSpan w:val="7"/>
            <w:noWrap/>
            <w:vAlign w:val="center"/>
          </w:tcPr>
          <w:p w14:paraId="192B22DC">
            <w:pPr>
              <w:pStyle w:val="179"/>
              <w:rPr>
                <w:rFonts w:ascii="宋体" w:hAnsi="宋体" w:cs="Times New Roman"/>
                <w:kern w:val="0"/>
              </w:rPr>
            </w:pPr>
            <w:r>
              <w:rPr>
                <w:rFonts w:ascii="宋体" w:hAnsi="宋体" w:cs="Times New Roman"/>
                <w:kern w:val="0"/>
              </w:rPr>
              <w:t>水温 □；水位（水深） □；流速 □；流量 □；其他 □</w:t>
            </w:r>
          </w:p>
        </w:tc>
      </w:tr>
      <w:tr w14:paraId="4794181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940" w:type="dxa"/>
            <w:gridSpan w:val="2"/>
            <w:vMerge w:val="restart"/>
            <w:noWrap/>
            <w:vAlign w:val="center"/>
          </w:tcPr>
          <w:p w14:paraId="1DCDF52E">
            <w:pPr>
              <w:pStyle w:val="179"/>
              <w:rPr>
                <w:rFonts w:ascii="宋体" w:hAnsi="宋体" w:cs="Times New Roman"/>
                <w:kern w:val="0"/>
              </w:rPr>
            </w:pPr>
            <w:r>
              <w:rPr>
                <w:rFonts w:ascii="宋体" w:hAnsi="宋体" w:cs="Times New Roman"/>
                <w:kern w:val="0"/>
              </w:rPr>
              <w:t>评价等级</w:t>
            </w:r>
          </w:p>
        </w:tc>
        <w:tc>
          <w:tcPr>
            <w:tcW w:w="5145" w:type="dxa"/>
            <w:gridSpan w:val="5"/>
            <w:noWrap/>
            <w:vAlign w:val="center"/>
          </w:tcPr>
          <w:p w14:paraId="05C69A30">
            <w:pPr>
              <w:pStyle w:val="179"/>
              <w:rPr>
                <w:rFonts w:ascii="宋体" w:hAnsi="宋体" w:cs="Times New Roman"/>
                <w:kern w:val="0"/>
              </w:rPr>
            </w:pPr>
            <w:r>
              <w:rPr>
                <w:rFonts w:ascii="宋体" w:hAnsi="宋体" w:cs="Times New Roman"/>
                <w:kern w:val="0"/>
              </w:rPr>
              <w:t>水污染影响型</w:t>
            </w:r>
          </w:p>
        </w:tc>
        <w:tc>
          <w:tcPr>
            <w:tcW w:w="5701" w:type="dxa"/>
            <w:gridSpan w:val="7"/>
            <w:noWrap/>
            <w:vAlign w:val="center"/>
          </w:tcPr>
          <w:p w14:paraId="0EA7AE61">
            <w:pPr>
              <w:pStyle w:val="179"/>
              <w:rPr>
                <w:rFonts w:ascii="宋体" w:hAnsi="宋体" w:cs="Times New Roman"/>
                <w:kern w:val="0"/>
              </w:rPr>
            </w:pPr>
            <w:r>
              <w:rPr>
                <w:rFonts w:ascii="宋体" w:hAnsi="宋体" w:cs="Times New Roman"/>
                <w:kern w:val="0"/>
              </w:rPr>
              <w:t>水文要素影响型</w:t>
            </w:r>
          </w:p>
        </w:tc>
      </w:tr>
      <w:tr w14:paraId="45D072D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940" w:type="dxa"/>
            <w:gridSpan w:val="2"/>
            <w:vMerge w:val="continue"/>
            <w:noWrap/>
            <w:vAlign w:val="center"/>
          </w:tcPr>
          <w:p w14:paraId="697361E1">
            <w:pPr>
              <w:pStyle w:val="179"/>
              <w:rPr>
                <w:rFonts w:ascii="宋体" w:hAnsi="宋体" w:cs="Times New Roman"/>
                <w:kern w:val="0"/>
              </w:rPr>
            </w:pPr>
          </w:p>
        </w:tc>
        <w:tc>
          <w:tcPr>
            <w:tcW w:w="5145" w:type="dxa"/>
            <w:gridSpan w:val="5"/>
            <w:noWrap/>
            <w:vAlign w:val="center"/>
          </w:tcPr>
          <w:p w14:paraId="05BC59E0">
            <w:pPr>
              <w:pStyle w:val="179"/>
              <w:rPr>
                <w:rFonts w:ascii="宋体" w:hAnsi="宋体" w:cs="Times New Roman"/>
                <w:szCs w:val="21"/>
              </w:rPr>
            </w:pPr>
            <w:r>
              <w:rPr>
                <w:rFonts w:ascii="宋体" w:hAnsi="宋体" w:cs="Times New Roman"/>
                <w:kern w:val="0"/>
              </w:rPr>
              <w:t>一级□；二级□；三级A□；三级B</w:t>
            </w:r>
            <w:r>
              <w:rPr>
                <w:rFonts w:hint="eastAsia" w:ascii="宋体" w:hAnsi="MS Mincho" w:eastAsia="MS Mincho" w:cs="MS Mincho"/>
                <w:kern w:val="0"/>
              </w:rPr>
              <w:t>☑</w:t>
            </w:r>
          </w:p>
        </w:tc>
        <w:tc>
          <w:tcPr>
            <w:tcW w:w="5701" w:type="dxa"/>
            <w:gridSpan w:val="7"/>
            <w:noWrap/>
            <w:vAlign w:val="center"/>
          </w:tcPr>
          <w:p w14:paraId="5E70F079">
            <w:pPr>
              <w:pStyle w:val="179"/>
              <w:rPr>
                <w:rFonts w:ascii="宋体" w:hAnsi="宋体" w:cs="Times New Roman"/>
                <w:kern w:val="0"/>
              </w:rPr>
            </w:pPr>
            <w:r>
              <w:rPr>
                <w:rFonts w:ascii="宋体" w:hAnsi="宋体" w:cs="Times New Roman"/>
                <w:kern w:val="0"/>
              </w:rPr>
              <w:t>一级□；二级□；三级□</w:t>
            </w:r>
          </w:p>
        </w:tc>
      </w:tr>
      <w:tr w14:paraId="4BF73A3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936" w:type="dxa"/>
            <w:vMerge w:val="restart"/>
            <w:noWrap/>
            <w:vAlign w:val="center"/>
          </w:tcPr>
          <w:p w14:paraId="2E0E3018">
            <w:pPr>
              <w:pStyle w:val="179"/>
              <w:rPr>
                <w:rFonts w:cs="Times New Roman"/>
                <w:kern w:val="0"/>
              </w:rPr>
            </w:pPr>
            <w:r>
              <w:rPr>
                <w:rFonts w:cs="Times New Roman"/>
                <w:kern w:val="0"/>
              </w:rPr>
              <w:t>现状调查</w:t>
            </w:r>
          </w:p>
        </w:tc>
        <w:tc>
          <w:tcPr>
            <w:tcW w:w="3004" w:type="dxa"/>
            <w:vMerge w:val="restart"/>
            <w:noWrap/>
            <w:vAlign w:val="center"/>
          </w:tcPr>
          <w:p w14:paraId="52E6B8FC">
            <w:pPr>
              <w:pStyle w:val="179"/>
              <w:rPr>
                <w:rFonts w:ascii="宋体" w:hAnsi="宋体" w:cs="Times New Roman"/>
                <w:kern w:val="0"/>
              </w:rPr>
            </w:pPr>
            <w:r>
              <w:rPr>
                <w:rFonts w:ascii="宋体" w:hAnsi="宋体" w:cs="Times New Roman"/>
                <w:kern w:val="0"/>
              </w:rPr>
              <w:t>区域污染源</w:t>
            </w:r>
          </w:p>
        </w:tc>
        <w:tc>
          <w:tcPr>
            <w:tcW w:w="5145" w:type="dxa"/>
            <w:gridSpan w:val="5"/>
            <w:noWrap/>
            <w:vAlign w:val="center"/>
          </w:tcPr>
          <w:p w14:paraId="15086271">
            <w:pPr>
              <w:pStyle w:val="179"/>
              <w:rPr>
                <w:rFonts w:ascii="宋体" w:hAnsi="宋体" w:cs="Times New Roman"/>
                <w:kern w:val="0"/>
              </w:rPr>
            </w:pPr>
            <w:r>
              <w:rPr>
                <w:rFonts w:ascii="宋体" w:hAnsi="宋体" w:cs="Times New Roman"/>
                <w:kern w:val="0"/>
              </w:rPr>
              <w:t>调查项目</w:t>
            </w:r>
          </w:p>
        </w:tc>
        <w:tc>
          <w:tcPr>
            <w:tcW w:w="5701" w:type="dxa"/>
            <w:gridSpan w:val="7"/>
            <w:noWrap/>
            <w:vAlign w:val="center"/>
          </w:tcPr>
          <w:p w14:paraId="7461595F">
            <w:pPr>
              <w:pStyle w:val="179"/>
              <w:rPr>
                <w:rFonts w:ascii="宋体" w:hAnsi="宋体" w:cs="Times New Roman"/>
                <w:kern w:val="0"/>
              </w:rPr>
            </w:pPr>
            <w:r>
              <w:rPr>
                <w:rFonts w:ascii="宋体" w:hAnsi="宋体" w:cs="Times New Roman"/>
                <w:kern w:val="0"/>
              </w:rPr>
              <w:t>数据来源</w:t>
            </w:r>
          </w:p>
        </w:tc>
      </w:tr>
      <w:tr w14:paraId="1EC7DBF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936" w:type="dxa"/>
            <w:vMerge w:val="continue"/>
            <w:noWrap/>
            <w:vAlign w:val="center"/>
          </w:tcPr>
          <w:p w14:paraId="7B690405">
            <w:pPr>
              <w:pStyle w:val="179"/>
              <w:rPr>
                <w:rFonts w:cs="Times New Roman"/>
                <w:kern w:val="0"/>
              </w:rPr>
            </w:pPr>
          </w:p>
        </w:tc>
        <w:tc>
          <w:tcPr>
            <w:tcW w:w="3004" w:type="dxa"/>
            <w:vMerge w:val="continue"/>
            <w:noWrap/>
            <w:vAlign w:val="center"/>
          </w:tcPr>
          <w:p w14:paraId="68C6282C">
            <w:pPr>
              <w:pStyle w:val="179"/>
              <w:rPr>
                <w:rFonts w:ascii="宋体" w:hAnsi="宋体" w:cs="Times New Roman"/>
                <w:kern w:val="0"/>
              </w:rPr>
            </w:pPr>
          </w:p>
        </w:tc>
        <w:tc>
          <w:tcPr>
            <w:tcW w:w="2614" w:type="dxa"/>
            <w:gridSpan w:val="2"/>
            <w:noWrap/>
            <w:vAlign w:val="center"/>
          </w:tcPr>
          <w:p w14:paraId="2D1A7F36">
            <w:pPr>
              <w:pStyle w:val="179"/>
              <w:rPr>
                <w:rFonts w:ascii="宋体" w:hAnsi="宋体" w:cs="Times New Roman"/>
                <w:kern w:val="0"/>
              </w:rPr>
            </w:pPr>
            <w:r>
              <w:rPr>
                <w:rFonts w:ascii="宋体" w:hAnsi="宋体" w:cs="Times New Roman"/>
                <w:kern w:val="0"/>
              </w:rPr>
              <w:t>已建□；在建□；拟建□；其他□</w:t>
            </w:r>
          </w:p>
        </w:tc>
        <w:tc>
          <w:tcPr>
            <w:tcW w:w="2531" w:type="dxa"/>
            <w:gridSpan w:val="3"/>
            <w:noWrap/>
            <w:vAlign w:val="center"/>
          </w:tcPr>
          <w:p w14:paraId="5106DE83">
            <w:pPr>
              <w:pStyle w:val="179"/>
              <w:rPr>
                <w:rFonts w:ascii="宋体" w:hAnsi="宋体" w:cs="Times New Roman"/>
                <w:kern w:val="0"/>
              </w:rPr>
            </w:pPr>
            <w:r>
              <w:rPr>
                <w:rFonts w:ascii="宋体" w:hAnsi="宋体" w:cs="Times New Roman"/>
                <w:kern w:val="0"/>
              </w:rPr>
              <w:t>拟替代的污染源 □</w:t>
            </w:r>
          </w:p>
        </w:tc>
        <w:tc>
          <w:tcPr>
            <w:tcW w:w="5701" w:type="dxa"/>
            <w:gridSpan w:val="7"/>
            <w:noWrap/>
            <w:vAlign w:val="center"/>
          </w:tcPr>
          <w:p w14:paraId="43410423">
            <w:pPr>
              <w:pStyle w:val="179"/>
              <w:rPr>
                <w:rFonts w:ascii="宋体" w:hAnsi="宋体" w:cs="Times New Roman"/>
                <w:kern w:val="0"/>
              </w:rPr>
            </w:pPr>
            <w:r>
              <w:rPr>
                <w:rFonts w:ascii="宋体" w:hAnsi="宋体" w:cs="Times New Roman"/>
                <w:kern w:val="0"/>
              </w:rPr>
              <w:t>排污许可证□；环评□；环保验收□；既有实测□；现场监测 □；入河排放口数据□；其他 □</w:t>
            </w:r>
          </w:p>
        </w:tc>
      </w:tr>
      <w:tr w14:paraId="02EE727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936" w:type="dxa"/>
            <w:vMerge w:val="continue"/>
            <w:noWrap/>
            <w:vAlign w:val="center"/>
          </w:tcPr>
          <w:p w14:paraId="2614C16D">
            <w:pPr>
              <w:pStyle w:val="179"/>
              <w:rPr>
                <w:rFonts w:cs="Times New Roman"/>
                <w:kern w:val="0"/>
              </w:rPr>
            </w:pPr>
          </w:p>
        </w:tc>
        <w:tc>
          <w:tcPr>
            <w:tcW w:w="3004" w:type="dxa"/>
            <w:vMerge w:val="restart"/>
            <w:noWrap/>
            <w:vAlign w:val="center"/>
          </w:tcPr>
          <w:p w14:paraId="02EA08ED">
            <w:pPr>
              <w:pStyle w:val="179"/>
              <w:rPr>
                <w:rFonts w:ascii="宋体" w:hAnsi="宋体" w:cs="Times New Roman"/>
                <w:kern w:val="0"/>
              </w:rPr>
            </w:pPr>
            <w:r>
              <w:rPr>
                <w:rFonts w:ascii="宋体" w:hAnsi="宋体" w:cs="Times New Roman"/>
                <w:kern w:val="0"/>
              </w:rPr>
              <w:t xml:space="preserve">受影响水体水环境质量 </w:t>
            </w:r>
          </w:p>
        </w:tc>
        <w:tc>
          <w:tcPr>
            <w:tcW w:w="5145" w:type="dxa"/>
            <w:gridSpan w:val="5"/>
            <w:noWrap/>
            <w:vAlign w:val="center"/>
          </w:tcPr>
          <w:p w14:paraId="0902694A">
            <w:pPr>
              <w:pStyle w:val="179"/>
              <w:rPr>
                <w:rFonts w:ascii="宋体" w:hAnsi="宋体" w:cs="Times New Roman"/>
                <w:kern w:val="0"/>
              </w:rPr>
            </w:pPr>
            <w:r>
              <w:rPr>
                <w:rFonts w:ascii="宋体" w:hAnsi="宋体" w:cs="Times New Roman"/>
                <w:kern w:val="0"/>
              </w:rPr>
              <w:t>调查时期</w:t>
            </w:r>
          </w:p>
        </w:tc>
        <w:tc>
          <w:tcPr>
            <w:tcW w:w="5701" w:type="dxa"/>
            <w:gridSpan w:val="7"/>
            <w:noWrap/>
            <w:vAlign w:val="center"/>
          </w:tcPr>
          <w:p w14:paraId="31F0AFCA">
            <w:pPr>
              <w:pStyle w:val="179"/>
              <w:rPr>
                <w:rFonts w:ascii="宋体" w:hAnsi="宋体" w:cs="Times New Roman"/>
                <w:kern w:val="0"/>
              </w:rPr>
            </w:pPr>
            <w:r>
              <w:rPr>
                <w:rFonts w:ascii="宋体" w:hAnsi="宋体" w:cs="Times New Roman"/>
                <w:kern w:val="0"/>
              </w:rPr>
              <w:t>数据来源</w:t>
            </w:r>
          </w:p>
        </w:tc>
      </w:tr>
      <w:tr w14:paraId="75A33C1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936" w:type="dxa"/>
            <w:vMerge w:val="continue"/>
            <w:noWrap/>
            <w:vAlign w:val="center"/>
          </w:tcPr>
          <w:p w14:paraId="51406C17">
            <w:pPr>
              <w:pStyle w:val="179"/>
              <w:rPr>
                <w:rFonts w:cs="Times New Roman"/>
                <w:kern w:val="0"/>
              </w:rPr>
            </w:pPr>
          </w:p>
        </w:tc>
        <w:tc>
          <w:tcPr>
            <w:tcW w:w="3004" w:type="dxa"/>
            <w:vMerge w:val="continue"/>
            <w:noWrap/>
            <w:vAlign w:val="center"/>
          </w:tcPr>
          <w:p w14:paraId="1A3C6522">
            <w:pPr>
              <w:pStyle w:val="179"/>
              <w:rPr>
                <w:rFonts w:ascii="宋体" w:hAnsi="宋体" w:cs="Times New Roman"/>
                <w:kern w:val="0"/>
              </w:rPr>
            </w:pPr>
          </w:p>
        </w:tc>
        <w:tc>
          <w:tcPr>
            <w:tcW w:w="5145" w:type="dxa"/>
            <w:gridSpan w:val="5"/>
            <w:noWrap/>
            <w:vAlign w:val="center"/>
          </w:tcPr>
          <w:p w14:paraId="4D42C165">
            <w:pPr>
              <w:pStyle w:val="179"/>
              <w:rPr>
                <w:rFonts w:ascii="宋体" w:hAnsi="宋体" w:cs="Times New Roman"/>
                <w:kern w:val="0"/>
              </w:rPr>
            </w:pPr>
            <w:r>
              <w:rPr>
                <w:rFonts w:ascii="宋体" w:hAnsi="宋体" w:cs="Times New Roman"/>
                <w:kern w:val="0"/>
              </w:rPr>
              <w:t>丰水期□；平水期□；枯水期□；冰封期□</w:t>
            </w:r>
            <w:r>
              <w:rPr>
                <w:rFonts w:ascii="宋体" w:hAnsi="宋体" w:cs="Times New Roman"/>
                <w:kern w:val="0"/>
              </w:rPr>
              <w:br w:type="textWrapping"/>
            </w:r>
            <w:r>
              <w:rPr>
                <w:rFonts w:ascii="宋体" w:hAnsi="宋体" w:cs="Times New Roman"/>
                <w:kern w:val="0"/>
              </w:rPr>
              <w:t>春季□；夏季□；秋季□；冬季□</w:t>
            </w:r>
          </w:p>
        </w:tc>
        <w:tc>
          <w:tcPr>
            <w:tcW w:w="5701" w:type="dxa"/>
            <w:gridSpan w:val="7"/>
            <w:noWrap/>
            <w:vAlign w:val="center"/>
          </w:tcPr>
          <w:p w14:paraId="00E0103F">
            <w:pPr>
              <w:pStyle w:val="179"/>
              <w:rPr>
                <w:rFonts w:ascii="宋体" w:hAnsi="宋体" w:cs="Times New Roman"/>
                <w:kern w:val="0"/>
              </w:rPr>
            </w:pPr>
            <w:r>
              <w:rPr>
                <w:rFonts w:ascii="宋体" w:hAnsi="宋体" w:cs="Times New Roman"/>
                <w:kern w:val="0"/>
              </w:rPr>
              <w:t>生态环境保护主管部门</w:t>
            </w:r>
            <w:r>
              <w:rPr>
                <w:rFonts w:hint="eastAsia" w:ascii="宋体" w:hAnsi="MS Mincho" w:eastAsia="MS Mincho" w:cs="MS Mincho"/>
                <w:kern w:val="0"/>
              </w:rPr>
              <w:t>☑</w:t>
            </w:r>
            <w:r>
              <w:rPr>
                <w:rFonts w:ascii="宋体" w:hAnsi="宋体" w:cs="Times New Roman"/>
                <w:kern w:val="0"/>
              </w:rPr>
              <w:t>；补充监测□；其他□</w:t>
            </w:r>
          </w:p>
        </w:tc>
      </w:tr>
      <w:tr w14:paraId="61D9E04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936" w:type="dxa"/>
            <w:vMerge w:val="continue"/>
            <w:noWrap/>
            <w:vAlign w:val="center"/>
          </w:tcPr>
          <w:p w14:paraId="73DEB499">
            <w:pPr>
              <w:pStyle w:val="179"/>
              <w:rPr>
                <w:rFonts w:cs="Times New Roman"/>
                <w:kern w:val="0"/>
              </w:rPr>
            </w:pPr>
          </w:p>
        </w:tc>
        <w:tc>
          <w:tcPr>
            <w:tcW w:w="3004" w:type="dxa"/>
            <w:noWrap/>
            <w:vAlign w:val="center"/>
          </w:tcPr>
          <w:p w14:paraId="3586D3EA">
            <w:pPr>
              <w:pStyle w:val="179"/>
              <w:rPr>
                <w:rFonts w:ascii="宋体" w:hAnsi="宋体" w:cs="Times New Roman"/>
                <w:kern w:val="0"/>
              </w:rPr>
            </w:pPr>
            <w:r>
              <w:rPr>
                <w:rFonts w:ascii="宋体" w:hAnsi="宋体" w:cs="Times New Roman"/>
                <w:kern w:val="0"/>
              </w:rPr>
              <w:t>区域水资源开发利用状况</w:t>
            </w:r>
          </w:p>
        </w:tc>
        <w:tc>
          <w:tcPr>
            <w:tcW w:w="10846" w:type="dxa"/>
            <w:gridSpan w:val="12"/>
            <w:noWrap/>
            <w:vAlign w:val="center"/>
          </w:tcPr>
          <w:p w14:paraId="5830F326">
            <w:pPr>
              <w:pStyle w:val="179"/>
              <w:rPr>
                <w:rFonts w:ascii="宋体" w:hAnsi="宋体" w:cs="Times New Roman"/>
                <w:kern w:val="0"/>
              </w:rPr>
            </w:pPr>
            <w:r>
              <w:rPr>
                <w:rFonts w:ascii="宋体" w:hAnsi="宋体" w:cs="Times New Roman"/>
                <w:kern w:val="0"/>
              </w:rPr>
              <w:t>未开发□；开发量40%以下□；开发量40%以上□</w:t>
            </w:r>
          </w:p>
        </w:tc>
      </w:tr>
      <w:tr w14:paraId="060243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936" w:type="dxa"/>
            <w:vMerge w:val="continue"/>
            <w:noWrap/>
            <w:vAlign w:val="center"/>
          </w:tcPr>
          <w:p w14:paraId="640FF299">
            <w:pPr>
              <w:pStyle w:val="179"/>
              <w:rPr>
                <w:rFonts w:cs="Times New Roman"/>
                <w:kern w:val="0"/>
              </w:rPr>
            </w:pPr>
          </w:p>
        </w:tc>
        <w:tc>
          <w:tcPr>
            <w:tcW w:w="3004" w:type="dxa"/>
            <w:vMerge w:val="restart"/>
            <w:noWrap/>
            <w:vAlign w:val="center"/>
          </w:tcPr>
          <w:p w14:paraId="17709610">
            <w:pPr>
              <w:pStyle w:val="179"/>
              <w:rPr>
                <w:rFonts w:ascii="宋体" w:hAnsi="宋体" w:cs="Times New Roman"/>
                <w:kern w:val="0"/>
              </w:rPr>
            </w:pPr>
            <w:r>
              <w:rPr>
                <w:rFonts w:ascii="宋体" w:hAnsi="宋体" w:cs="Times New Roman"/>
                <w:kern w:val="0"/>
              </w:rPr>
              <w:t xml:space="preserve">水文情势调查 </w:t>
            </w:r>
          </w:p>
        </w:tc>
        <w:tc>
          <w:tcPr>
            <w:tcW w:w="5145" w:type="dxa"/>
            <w:gridSpan w:val="5"/>
            <w:noWrap/>
            <w:vAlign w:val="center"/>
          </w:tcPr>
          <w:p w14:paraId="7868D424">
            <w:pPr>
              <w:pStyle w:val="179"/>
              <w:rPr>
                <w:rFonts w:ascii="宋体" w:hAnsi="宋体" w:cs="Times New Roman"/>
                <w:kern w:val="0"/>
              </w:rPr>
            </w:pPr>
            <w:r>
              <w:rPr>
                <w:rFonts w:ascii="宋体" w:hAnsi="宋体" w:cs="Times New Roman"/>
                <w:kern w:val="0"/>
              </w:rPr>
              <w:t>调查时期</w:t>
            </w:r>
          </w:p>
        </w:tc>
        <w:tc>
          <w:tcPr>
            <w:tcW w:w="5701" w:type="dxa"/>
            <w:gridSpan w:val="7"/>
            <w:noWrap/>
            <w:vAlign w:val="center"/>
          </w:tcPr>
          <w:p w14:paraId="3A46CCA4">
            <w:pPr>
              <w:pStyle w:val="179"/>
              <w:rPr>
                <w:rFonts w:ascii="宋体" w:hAnsi="宋体" w:cs="Times New Roman"/>
                <w:kern w:val="0"/>
              </w:rPr>
            </w:pPr>
            <w:r>
              <w:rPr>
                <w:rFonts w:ascii="宋体" w:hAnsi="宋体" w:cs="Times New Roman"/>
                <w:kern w:val="0"/>
              </w:rPr>
              <w:t>数据来源</w:t>
            </w:r>
          </w:p>
        </w:tc>
      </w:tr>
      <w:tr w14:paraId="34F20DD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936" w:type="dxa"/>
            <w:vMerge w:val="continue"/>
            <w:noWrap/>
            <w:vAlign w:val="center"/>
          </w:tcPr>
          <w:p w14:paraId="280B4066">
            <w:pPr>
              <w:pStyle w:val="179"/>
              <w:rPr>
                <w:rFonts w:cs="Times New Roman"/>
                <w:kern w:val="0"/>
              </w:rPr>
            </w:pPr>
          </w:p>
        </w:tc>
        <w:tc>
          <w:tcPr>
            <w:tcW w:w="3004" w:type="dxa"/>
            <w:vMerge w:val="continue"/>
            <w:noWrap/>
            <w:vAlign w:val="center"/>
          </w:tcPr>
          <w:p w14:paraId="712135A8">
            <w:pPr>
              <w:pStyle w:val="179"/>
              <w:rPr>
                <w:rFonts w:ascii="宋体" w:hAnsi="宋体" w:cs="Times New Roman"/>
                <w:kern w:val="0"/>
              </w:rPr>
            </w:pPr>
          </w:p>
        </w:tc>
        <w:tc>
          <w:tcPr>
            <w:tcW w:w="5145" w:type="dxa"/>
            <w:gridSpan w:val="5"/>
            <w:noWrap/>
            <w:vAlign w:val="center"/>
          </w:tcPr>
          <w:p w14:paraId="5D8EFD25">
            <w:pPr>
              <w:pStyle w:val="179"/>
              <w:rPr>
                <w:rFonts w:ascii="宋体" w:hAnsi="宋体" w:cs="Times New Roman"/>
                <w:kern w:val="0"/>
              </w:rPr>
            </w:pPr>
            <w:r>
              <w:rPr>
                <w:rFonts w:ascii="宋体" w:hAnsi="宋体" w:cs="Times New Roman"/>
                <w:kern w:val="0"/>
              </w:rPr>
              <w:t>丰水期 □；平水期 □；枯水期 □；冰封期 □</w:t>
            </w:r>
            <w:r>
              <w:rPr>
                <w:rFonts w:ascii="宋体" w:hAnsi="宋体" w:cs="Times New Roman"/>
                <w:kern w:val="0"/>
              </w:rPr>
              <w:br w:type="textWrapping"/>
            </w:r>
            <w:r>
              <w:rPr>
                <w:rFonts w:ascii="宋体" w:hAnsi="宋体" w:cs="Times New Roman"/>
                <w:kern w:val="0"/>
              </w:rPr>
              <w:t>春季 □；夏季 □；秋季 □；冬季 □</w:t>
            </w:r>
          </w:p>
        </w:tc>
        <w:tc>
          <w:tcPr>
            <w:tcW w:w="5701" w:type="dxa"/>
            <w:gridSpan w:val="7"/>
            <w:noWrap/>
            <w:vAlign w:val="center"/>
          </w:tcPr>
          <w:p w14:paraId="2E8DAA64">
            <w:pPr>
              <w:pStyle w:val="179"/>
              <w:rPr>
                <w:rFonts w:ascii="宋体" w:hAnsi="宋体" w:cs="Times New Roman"/>
                <w:kern w:val="0"/>
              </w:rPr>
            </w:pPr>
            <w:r>
              <w:rPr>
                <w:rFonts w:ascii="宋体" w:hAnsi="宋体" w:cs="Times New Roman"/>
                <w:kern w:val="0"/>
              </w:rPr>
              <w:t>水行政主管部门 □；补充监测 □；其他 □</w:t>
            </w:r>
          </w:p>
        </w:tc>
      </w:tr>
      <w:tr w14:paraId="3D17DEF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936" w:type="dxa"/>
            <w:vMerge w:val="continue"/>
            <w:noWrap/>
            <w:vAlign w:val="center"/>
          </w:tcPr>
          <w:p w14:paraId="6145A268">
            <w:pPr>
              <w:pStyle w:val="179"/>
              <w:rPr>
                <w:rFonts w:cs="Times New Roman"/>
                <w:kern w:val="0"/>
              </w:rPr>
            </w:pPr>
          </w:p>
        </w:tc>
        <w:tc>
          <w:tcPr>
            <w:tcW w:w="3004" w:type="dxa"/>
            <w:vMerge w:val="restart"/>
            <w:noWrap/>
            <w:vAlign w:val="center"/>
          </w:tcPr>
          <w:p w14:paraId="4B3A531C">
            <w:pPr>
              <w:pStyle w:val="179"/>
              <w:rPr>
                <w:rFonts w:ascii="宋体" w:hAnsi="宋体" w:cs="Times New Roman"/>
                <w:kern w:val="0"/>
              </w:rPr>
            </w:pPr>
            <w:r>
              <w:rPr>
                <w:rFonts w:ascii="宋体" w:hAnsi="宋体" w:cs="Times New Roman"/>
                <w:kern w:val="0"/>
              </w:rPr>
              <w:t xml:space="preserve">补充监测 </w:t>
            </w:r>
          </w:p>
        </w:tc>
        <w:tc>
          <w:tcPr>
            <w:tcW w:w="5145" w:type="dxa"/>
            <w:gridSpan w:val="5"/>
            <w:noWrap/>
            <w:vAlign w:val="center"/>
          </w:tcPr>
          <w:p w14:paraId="4736D909">
            <w:pPr>
              <w:pStyle w:val="179"/>
              <w:rPr>
                <w:rFonts w:ascii="宋体" w:hAnsi="宋体" w:cs="Times New Roman"/>
                <w:kern w:val="0"/>
              </w:rPr>
            </w:pPr>
            <w:r>
              <w:rPr>
                <w:rFonts w:ascii="宋体" w:hAnsi="宋体" w:cs="Times New Roman"/>
                <w:kern w:val="0"/>
              </w:rPr>
              <w:t>监测时期</w:t>
            </w:r>
          </w:p>
        </w:tc>
        <w:tc>
          <w:tcPr>
            <w:tcW w:w="2885" w:type="dxa"/>
            <w:gridSpan w:val="4"/>
            <w:noWrap/>
            <w:vAlign w:val="center"/>
          </w:tcPr>
          <w:p w14:paraId="3BC8227A">
            <w:pPr>
              <w:pStyle w:val="179"/>
              <w:rPr>
                <w:rFonts w:ascii="宋体" w:hAnsi="宋体" w:cs="Times New Roman"/>
                <w:kern w:val="0"/>
              </w:rPr>
            </w:pPr>
            <w:r>
              <w:rPr>
                <w:rFonts w:ascii="宋体" w:hAnsi="宋体" w:cs="Times New Roman"/>
                <w:kern w:val="0"/>
              </w:rPr>
              <w:t>监测因子</w:t>
            </w:r>
          </w:p>
        </w:tc>
        <w:tc>
          <w:tcPr>
            <w:tcW w:w="2816" w:type="dxa"/>
            <w:gridSpan w:val="3"/>
            <w:noWrap/>
            <w:vAlign w:val="center"/>
          </w:tcPr>
          <w:p w14:paraId="5699989A">
            <w:pPr>
              <w:pStyle w:val="179"/>
              <w:rPr>
                <w:rFonts w:ascii="宋体" w:hAnsi="宋体" w:cs="Times New Roman"/>
                <w:kern w:val="0"/>
              </w:rPr>
            </w:pPr>
            <w:r>
              <w:rPr>
                <w:rFonts w:ascii="宋体" w:hAnsi="宋体" w:cs="Times New Roman"/>
                <w:kern w:val="0"/>
              </w:rPr>
              <w:t>监测断面或点位</w:t>
            </w:r>
          </w:p>
        </w:tc>
      </w:tr>
      <w:tr w14:paraId="4416894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936" w:type="dxa"/>
            <w:vMerge w:val="continue"/>
            <w:noWrap/>
            <w:vAlign w:val="center"/>
          </w:tcPr>
          <w:p w14:paraId="035E11B7">
            <w:pPr>
              <w:pStyle w:val="179"/>
              <w:rPr>
                <w:rFonts w:cs="Times New Roman"/>
                <w:kern w:val="0"/>
              </w:rPr>
            </w:pPr>
          </w:p>
        </w:tc>
        <w:tc>
          <w:tcPr>
            <w:tcW w:w="3004" w:type="dxa"/>
            <w:vMerge w:val="continue"/>
            <w:noWrap/>
            <w:vAlign w:val="center"/>
          </w:tcPr>
          <w:p w14:paraId="13A482C5">
            <w:pPr>
              <w:pStyle w:val="179"/>
              <w:rPr>
                <w:rFonts w:ascii="宋体" w:hAnsi="宋体" w:cs="Times New Roman"/>
                <w:kern w:val="0"/>
              </w:rPr>
            </w:pPr>
          </w:p>
        </w:tc>
        <w:tc>
          <w:tcPr>
            <w:tcW w:w="5145" w:type="dxa"/>
            <w:gridSpan w:val="5"/>
            <w:noWrap/>
            <w:vAlign w:val="center"/>
          </w:tcPr>
          <w:p w14:paraId="4AAC6469">
            <w:pPr>
              <w:pStyle w:val="179"/>
              <w:rPr>
                <w:rFonts w:ascii="宋体" w:hAnsi="宋体" w:cs="Times New Roman"/>
                <w:kern w:val="0"/>
              </w:rPr>
            </w:pPr>
            <w:r>
              <w:rPr>
                <w:rFonts w:ascii="宋体" w:hAnsi="宋体" w:cs="Times New Roman"/>
                <w:kern w:val="0"/>
              </w:rPr>
              <w:t>丰水期□；平水期□；枯水期□；冰封期□</w:t>
            </w:r>
            <w:r>
              <w:rPr>
                <w:rFonts w:ascii="宋体" w:hAnsi="宋体" w:cs="Times New Roman"/>
                <w:kern w:val="0"/>
              </w:rPr>
              <w:br w:type="textWrapping"/>
            </w:r>
            <w:r>
              <w:rPr>
                <w:rFonts w:ascii="宋体" w:hAnsi="宋体" w:cs="Times New Roman"/>
                <w:kern w:val="0"/>
              </w:rPr>
              <w:t>春季□；夏季□；秋季□；冬季□</w:t>
            </w:r>
          </w:p>
        </w:tc>
        <w:tc>
          <w:tcPr>
            <w:tcW w:w="2885" w:type="dxa"/>
            <w:gridSpan w:val="4"/>
            <w:noWrap/>
            <w:vAlign w:val="center"/>
          </w:tcPr>
          <w:p w14:paraId="206A31EA">
            <w:pPr>
              <w:pStyle w:val="179"/>
              <w:rPr>
                <w:rFonts w:ascii="宋体" w:hAnsi="宋体" w:cs="Times New Roman"/>
                <w:kern w:val="0"/>
              </w:rPr>
            </w:pPr>
            <w:r>
              <w:rPr>
                <w:rFonts w:ascii="宋体" w:hAnsi="宋体" w:cs="Times New Roman"/>
                <w:kern w:val="0"/>
              </w:rPr>
              <w:t>（）</w:t>
            </w:r>
          </w:p>
        </w:tc>
        <w:tc>
          <w:tcPr>
            <w:tcW w:w="2816" w:type="dxa"/>
            <w:gridSpan w:val="3"/>
            <w:noWrap/>
            <w:vAlign w:val="center"/>
          </w:tcPr>
          <w:p w14:paraId="5C1FFD58">
            <w:pPr>
              <w:pStyle w:val="179"/>
              <w:rPr>
                <w:rFonts w:ascii="宋体" w:hAnsi="宋体" w:cs="Times New Roman"/>
                <w:kern w:val="0"/>
              </w:rPr>
            </w:pPr>
            <w:r>
              <w:rPr>
                <w:rFonts w:ascii="宋体" w:hAnsi="宋体" w:cs="Times New Roman"/>
                <w:kern w:val="0"/>
              </w:rPr>
              <w:t>监测断面或点位个数（）个</w:t>
            </w:r>
          </w:p>
        </w:tc>
      </w:tr>
      <w:tr w14:paraId="427450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936" w:type="dxa"/>
            <w:vMerge w:val="restart"/>
            <w:noWrap/>
            <w:vAlign w:val="center"/>
          </w:tcPr>
          <w:p w14:paraId="577B4DD7">
            <w:pPr>
              <w:pStyle w:val="179"/>
              <w:rPr>
                <w:rFonts w:cs="Times New Roman"/>
                <w:kern w:val="0"/>
              </w:rPr>
            </w:pPr>
            <w:r>
              <w:rPr>
                <w:rFonts w:cs="Times New Roman"/>
                <w:kern w:val="0"/>
              </w:rPr>
              <w:t>现状评价</w:t>
            </w:r>
          </w:p>
        </w:tc>
        <w:tc>
          <w:tcPr>
            <w:tcW w:w="3004" w:type="dxa"/>
            <w:noWrap/>
            <w:vAlign w:val="center"/>
          </w:tcPr>
          <w:p w14:paraId="51972C68">
            <w:pPr>
              <w:pStyle w:val="179"/>
              <w:rPr>
                <w:rFonts w:cs="Times New Roman"/>
                <w:kern w:val="0"/>
              </w:rPr>
            </w:pPr>
            <w:r>
              <w:rPr>
                <w:rFonts w:cs="Times New Roman"/>
                <w:kern w:val="0"/>
              </w:rPr>
              <w:t>评价范围</w:t>
            </w:r>
          </w:p>
        </w:tc>
        <w:tc>
          <w:tcPr>
            <w:tcW w:w="10846" w:type="dxa"/>
            <w:gridSpan w:val="12"/>
            <w:noWrap/>
            <w:vAlign w:val="center"/>
          </w:tcPr>
          <w:p w14:paraId="3BB58075">
            <w:pPr>
              <w:pStyle w:val="179"/>
              <w:rPr>
                <w:rFonts w:cs="Times New Roman"/>
                <w:kern w:val="0"/>
              </w:rPr>
            </w:pPr>
            <w:r>
              <w:rPr>
                <w:rFonts w:cs="Times New Roman"/>
                <w:kern w:val="0"/>
              </w:rPr>
              <w:t>河流：长度（）km；湖库、河口及近岸海域：面积（   ）km</w:t>
            </w:r>
            <w:r>
              <w:rPr>
                <w:rFonts w:cs="Times New Roman"/>
                <w:kern w:val="0"/>
                <w:vertAlign w:val="superscript"/>
              </w:rPr>
              <w:t>2</w:t>
            </w:r>
          </w:p>
        </w:tc>
      </w:tr>
      <w:tr w14:paraId="525816B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936" w:type="dxa"/>
            <w:vMerge w:val="continue"/>
            <w:noWrap/>
            <w:vAlign w:val="center"/>
          </w:tcPr>
          <w:p w14:paraId="69F2695F">
            <w:pPr>
              <w:pStyle w:val="179"/>
              <w:rPr>
                <w:rFonts w:cs="Times New Roman"/>
                <w:kern w:val="0"/>
              </w:rPr>
            </w:pPr>
          </w:p>
        </w:tc>
        <w:tc>
          <w:tcPr>
            <w:tcW w:w="3004" w:type="dxa"/>
            <w:noWrap/>
            <w:vAlign w:val="center"/>
          </w:tcPr>
          <w:p w14:paraId="6930AC5F">
            <w:pPr>
              <w:pStyle w:val="179"/>
              <w:rPr>
                <w:rFonts w:cs="Times New Roman"/>
                <w:kern w:val="0"/>
              </w:rPr>
            </w:pPr>
            <w:r>
              <w:rPr>
                <w:rFonts w:cs="Times New Roman"/>
                <w:kern w:val="0"/>
              </w:rPr>
              <w:t>评价因子</w:t>
            </w:r>
          </w:p>
        </w:tc>
        <w:tc>
          <w:tcPr>
            <w:tcW w:w="10846" w:type="dxa"/>
            <w:gridSpan w:val="12"/>
            <w:noWrap/>
            <w:vAlign w:val="center"/>
          </w:tcPr>
          <w:p w14:paraId="2CDD13F1">
            <w:pPr>
              <w:pStyle w:val="179"/>
              <w:rPr>
                <w:rFonts w:cs="Times New Roman"/>
                <w:kern w:val="0"/>
              </w:rPr>
            </w:pPr>
            <w:r>
              <w:rPr>
                <w:rFonts w:cs="Times New Roman"/>
                <w:kern w:val="0"/>
              </w:rPr>
              <w:t>（化学需氧量、氨氮等）</w:t>
            </w:r>
          </w:p>
        </w:tc>
      </w:tr>
      <w:tr w14:paraId="1FBBDFD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936" w:type="dxa"/>
            <w:vMerge w:val="continue"/>
            <w:noWrap/>
            <w:vAlign w:val="center"/>
          </w:tcPr>
          <w:p w14:paraId="1D7F8ACB">
            <w:pPr>
              <w:pStyle w:val="179"/>
              <w:rPr>
                <w:rFonts w:cs="Times New Roman"/>
                <w:kern w:val="0"/>
              </w:rPr>
            </w:pPr>
          </w:p>
        </w:tc>
        <w:tc>
          <w:tcPr>
            <w:tcW w:w="3004" w:type="dxa"/>
            <w:noWrap/>
            <w:vAlign w:val="center"/>
          </w:tcPr>
          <w:p w14:paraId="3BF87809">
            <w:pPr>
              <w:pStyle w:val="179"/>
              <w:rPr>
                <w:rFonts w:cs="Times New Roman"/>
                <w:kern w:val="0"/>
              </w:rPr>
            </w:pPr>
            <w:r>
              <w:rPr>
                <w:rFonts w:cs="Times New Roman"/>
                <w:kern w:val="0"/>
              </w:rPr>
              <w:t>评价标准</w:t>
            </w:r>
          </w:p>
        </w:tc>
        <w:tc>
          <w:tcPr>
            <w:tcW w:w="10846" w:type="dxa"/>
            <w:gridSpan w:val="12"/>
            <w:noWrap/>
            <w:vAlign w:val="center"/>
          </w:tcPr>
          <w:p w14:paraId="1B0EA5E9">
            <w:pPr>
              <w:pStyle w:val="179"/>
              <w:jc w:val="left"/>
              <w:rPr>
                <w:rFonts w:ascii="宋体" w:hAnsi="宋体" w:cs="Times New Roman"/>
                <w:kern w:val="0"/>
              </w:rPr>
            </w:pPr>
            <w:r>
              <w:rPr>
                <w:rFonts w:ascii="宋体" w:hAnsi="宋体" w:cs="Times New Roman"/>
                <w:kern w:val="0"/>
              </w:rPr>
              <w:t>河流、湖库、河口：Ⅰ类 □；Ⅱ类 □；Ⅲ类</w:t>
            </w:r>
            <w:r>
              <w:rPr>
                <w:rFonts w:hint="eastAsia" w:ascii="宋体" w:hAnsi="宋体" w:eastAsia="MS Mincho" w:cs="MS Mincho"/>
                <w:kern w:val="0"/>
              </w:rPr>
              <w:t>☑</w:t>
            </w:r>
            <w:r>
              <w:rPr>
                <w:rFonts w:ascii="宋体" w:hAnsi="宋体" w:cs="Times New Roman"/>
              </w:rPr>
              <w:t>；</w:t>
            </w:r>
            <w:r>
              <w:rPr>
                <w:rFonts w:ascii="宋体" w:hAnsi="宋体" w:cs="Times New Roman"/>
                <w:kern w:val="0"/>
              </w:rPr>
              <w:t>Ⅳ类□；Ⅴ类 □</w:t>
            </w:r>
          </w:p>
          <w:p w14:paraId="07B69775">
            <w:pPr>
              <w:pStyle w:val="179"/>
              <w:jc w:val="left"/>
              <w:rPr>
                <w:rFonts w:ascii="宋体" w:hAnsi="宋体" w:cs="Times New Roman"/>
                <w:kern w:val="0"/>
              </w:rPr>
            </w:pPr>
            <w:r>
              <w:rPr>
                <w:rFonts w:ascii="宋体" w:hAnsi="宋体" w:cs="Times New Roman"/>
                <w:kern w:val="0"/>
              </w:rPr>
              <w:t>近岸海域：第一类 □；第二类 □；第三类 □；第四类 □</w:t>
            </w:r>
          </w:p>
          <w:p w14:paraId="02D111A4">
            <w:pPr>
              <w:pStyle w:val="179"/>
              <w:jc w:val="left"/>
              <w:rPr>
                <w:rFonts w:ascii="宋体" w:hAnsi="宋体" w:cs="Times New Roman"/>
                <w:kern w:val="0"/>
              </w:rPr>
            </w:pPr>
            <w:r>
              <w:rPr>
                <w:rFonts w:ascii="宋体" w:hAnsi="宋体" w:cs="Times New Roman"/>
                <w:kern w:val="0"/>
              </w:rPr>
              <w:t>规划年评价标准（   ）</w:t>
            </w:r>
          </w:p>
        </w:tc>
      </w:tr>
      <w:tr w14:paraId="024C23C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936" w:type="dxa"/>
            <w:vMerge w:val="continue"/>
            <w:noWrap/>
            <w:vAlign w:val="center"/>
          </w:tcPr>
          <w:p w14:paraId="084EDFCF">
            <w:pPr>
              <w:pStyle w:val="179"/>
              <w:rPr>
                <w:rFonts w:cs="Times New Roman"/>
                <w:kern w:val="0"/>
              </w:rPr>
            </w:pPr>
          </w:p>
        </w:tc>
        <w:tc>
          <w:tcPr>
            <w:tcW w:w="3004" w:type="dxa"/>
            <w:noWrap/>
            <w:vAlign w:val="center"/>
          </w:tcPr>
          <w:p w14:paraId="3C1937A7">
            <w:pPr>
              <w:pStyle w:val="179"/>
              <w:rPr>
                <w:rFonts w:cs="Times New Roman"/>
                <w:kern w:val="0"/>
              </w:rPr>
            </w:pPr>
            <w:r>
              <w:rPr>
                <w:rFonts w:cs="Times New Roman"/>
                <w:kern w:val="0"/>
              </w:rPr>
              <w:t>评价时期</w:t>
            </w:r>
          </w:p>
        </w:tc>
        <w:tc>
          <w:tcPr>
            <w:tcW w:w="10846" w:type="dxa"/>
            <w:gridSpan w:val="12"/>
            <w:noWrap/>
            <w:vAlign w:val="center"/>
          </w:tcPr>
          <w:p w14:paraId="668B8D15">
            <w:pPr>
              <w:pStyle w:val="179"/>
              <w:rPr>
                <w:rFonts w:ascii="宋体" w:hAnsi="宋体" w:cs="Times New Roman"/>
                <w:kern w:val="0"/>
              </w:rPr>
            </w:pPr>
            <w:r>
              <w:rPr>
                <w:rFonts w:ascii="宋体" w:hAnsi="宋体" w:cs="Times New Roman"/>
                <w:kern w:val="0"/>
              </w:rPr>
              <w:t>丰水期 □；平水期 □；枯水期 □；冰封期□</w:t>
            </w:r>
            <w:r>
              <w:rPr>
                <w:rFonts w:ascii="宋体" w:hAnsi="宋体" w:cs="Times New Roman"/>
                <w:kern w:val="0"/>
              </w:rPr>
              <w:br w:type="textWrapping"/>
            </w:r>
            <w:r>
              <w:rPr>
                <w:rFonts w:ascii="宋体" w:hAnsi="宋体" w:cs="Times New Roman"/>
                <w:kern w:val="0"/>
              </w:rPr>
              <w:t>春季 □；夏季 □；秋季 □；冬季□</w:t>
            </w:r>
          </w:p>
        </w:tc>
      </w:tr>
      <w:tr w14:paraId="6872CFE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936" w:type="dxa"/>
            <w:vMerge w:val="continue"/>
            <w:noWrap/>
            <w:vAlign w:val="center"/>
          </w:tcPr>
          <w:p w14:paraId="652EEBBD">
            <w:pPr>
              <w:pStyle w:val="179"/>
              <w:rPr>
                <w:rFonts w:cs="Times New Roman"/>
                <w:kern w:val="0"/>
              </w:rPr>
            </w:pPr>
          </w:p>
        </w:tc>
        <w:tc>
          <w:tcPr>
            <w:tcW w:w="3004" w:type="dxa"/>
            <w:noWrap/>
            <w:vAlign w:val="center"/>
          </w:tcPr>
          <w:p w14:paraId="641D3219">
            <w:pPr>
              <w:pStyle w:val="179"/>
              <w:rPr>
                <w:rFonts w:cs="Times New Roman"/>
                <w:kern w:val="0"/>
              </w:rPr>
            </w:pPr>
            <w:r>
              <w:rPr>
                <w:rFonts w:cs="Times New Roman"/>
                <w:kern w:val="0"/>
              </w:rPr>
              <w:t>评价结论</w:t>
            </w:r>
          </w:p>
        </w:tc>
        <w:tc>
          <w:tcPr>
            <w:tcW w:w="8946" w:type="dxa"/>
            <w:gridSpan w:val="11"/>
            <w:noWrap/>
            <w:vAlign w:val="center"/>
          </w:tcPr>
          <w:p w14:paraId="14B186BB">
            <w:pPr>
              <w:pStyle w:val="179"/>
              <w:jc w:val="left"/>
              <w:rPr>
                <w:rFonts w:cs="Times New Roman"/>
                <w:kern w:val="0"/>
              </w:rPr>
            </w:pPr>
            <w:r>
              <w:rPr>
                <w:rFonts w:cs="Times New Roman"/>
                <w:kern w:val="0"/>
              </w:rPr>
              <w:t>水环境功能区或水功能区、近岸海域环境功能区水质达标状况 ：达标</w:t>
            </w:r>
            <w:r>
              <w:rPr>
                <w:rFonts w:hint="eastAsia" w:ascii="宋体" w:hAnsi="宋体" w:eastAsia="MS Mincho" w:cs="MS Mincho"/>
                <w:kern w:val="0"/>
              </w:rPr>
              <w:t>☑</w:t>
            </w:r>
            <w:r>
              <w:rPr>
                <w:rFonts w:cs="Times New Roman"/>
                <w:kern w:val="0"/>
              </w:rPr>
              <w:t>；不达标 □</w:t>
            </w:r>
            <w:r>
              <w:rPr>
                <w:rFonts w:cs="Times New Roman"/>
                <w:kern w:val="0"/>
              </w:rPr>
              <w:br w:type="textWrapping"/>
            </w:r>
            <w:r>
              <w:rPr>
                <w:rFonts w:cs="Times New Roman"/>
                <w:kern w:val="0"/>
              </w:rPr>
              <w:t>水环境控制单元或断面水质达标状况 ：达标 □；不达标 □</w:t>
            </w:r>
            <w:r>
              <w:rPr>
                <w:rFonts w:cs="Times New Roman"/>
                <w:kern w:val="0"/>
              </w:rPr>
              <w:br w:type="textWrapping"/>
            </w:r>
            <w:r>
              <w:rPr>
                <w:rFonts w:cs="Times New Roman"/>
                <w:kern w:val="0"/>
              </w:rPr>
              <w:t>水环境保护目标质量状况 ：达标 □；不达标 □</w:t>
            </w:r>
            <w:r>
              <w:rPr>
                <w:rFonts w:cs="Times New Roman"/>
                <w:kern w:val="0"/>
              </w:rPr>
              <w:br w:type="textWrapping"/>
            </w:r>
            <w:r>
              <w:rPr>
                <w:rFonts w:cs="Times New Roman"/>
                <w:kern w:val="0"/>
              </w:rPr>
              <w:t>对照断面、控制断面等代表性断面的水质状况 ：达标 □；不达标 □</w:t>
            </w:r>
          </w:p>
          <w:p w14:paraId="2305D90A">
            <w:pPr>
              <w:pStyle w:val="179"/>
              <w:jc w:val="left"/>
              <w:rPr>
                <w:rFonts w:cs="Times New Roman"/>
                <w:kern w:val="0"/>
              </w:rPr>
            </w:pPr>
            <w:r>
              <w:rPr>
                <w:rFonts w:cs="Times New Roman"/>
                <w:kern w:val="0"/>
              </w:rPr>
              <w:t>底泥污染评价 □</w:t>
            </w:r>
            <w:r>
              <w:rPr>
                <w:rFonts w:cs="Times New Roman"/>
                <w:kern w:val="0"/>
              </w:rPr>
              <w:br w:type="textWrapping"/>
            </w:r>
            <w:r>
              <w:rPr>
                <w:rFonts w:cs="Times New Roman"/>
                <w:kern w:val="0"/>
              </w:rPr>
              <w:t>水资源与开发利用程度及其水文情势评价 □</w:t>
            </w:r>
            <w:r>
              <w:rPr>
                <w:rFonts w:cs="Times New Roman"/>
                <w:kern w:val="0"/>
              </w:rPr>
              <w:br w:type="textWrapping"/>
            </w:r>
            <w:r>
              <w:rPr>
                <w:rFonts w:cs="Times New Roman"/>
                <w:kern w:val="0"/>
              </w:rPr>
              <w:t>水环境质量回顾评价 □</w:t>
            </w:r>
            <w:r>
              <w:rPr>
                <w:rFonts w:cs="Times New Roman"/>
                <w:kern w:val="0"/>
              </w:rPr>
              <w:br w:type="textWrapping"/>
            </w:r>
            <w:r>
              <w:rPr>
                <w:rFonts w:cs="Times New Roman"/>
                <w:kern w:val="0"/>
              </w:rPr>
              <w:t>流域（区域）水资源（包括水能资源）与开发利用总体状况、生态流量管理要求与现状满足程度、建设项目占用水域空间的水流状况与河湖演变状况 □</w:t>
            </w:r>
          </w:p>
          <w:p w14:paraId="11CD67BC">
            <w:pPr>
              <w:pStyle w:val="179"/>
              <w:jc w:val="left"/>
              <w:rPr>
                <w:rFonts w:cs="Times New Roman"/>
                <w:kern w:val="0"/>
              </w:rPr>
            </w:pPr>
            <w:r>
              <w:rPr>
                <w:rFonts w:cs="Times New Roman"/>
                <w:kern w:val="0"/>
              </w:rPr>
              <w:t>依托污水处理设施稳定达标排放评价</w:t>
            </w:r>
            <w:r>
              <w:rPr>
                <w:rFonts w:ascii="宋体" w:hAnsi="宋体" w:cs="Times New Roman"/>
                <w:kern w:val="0"/>
              </w:rPr>
              <w:t>□</w:t>
            </w:r>
          </w:p>
        </w:tc>
        <w:tc>
          <w:tcPr>
            <w:tcW w:w="1900" w:type="dxa"/>
            <w:noWrap/>
            <w:vAlign w:val="center"/>
          </w:tcPr>
          <w:p w14:paraId="1867A6F2">
            <w:pPr>
              <w:pStyle w:val="179"/>
              <w:rPr>
                <w:rFonts w:cs="Times New Roman"/>
                <w:kern w:val="0"/>
              </w:rPr>
            </w:pPr>
            <w:r>
              <w:rPr>
                <w:rFonts w:cs="Times New Roman"/>
                <w:kern w:val="0"/>
              </w:rPr>
              <w:t>达标区</w:t>
            </w:r>
            <w:r>
              <w:rPr>
                <w:rFonts w:hint="eastAsia" w:ascii="宋体" w:hAnsi="宋体" w:eastAsia="MS Mincho" w:cs="MS Mincho"/>
                <w:kern w:val="0"/>
              </w:rPr>
              <w:t>☑</w:t>
            </w:r>
          </w:p>
          <w:p w14:paraId="522BD097">
            <w:pPr>
              <w:pStyle w:val="179"/>
              <w:rPr>
                <w:rFonts w:cs="Times New Roman"/>
                <w:kern w:val="0"/>
              </w:rPr>
            </w:pPr>
            <w:r>
              <w:rPr>
                <w:rFonts w:cs="Times New Roman"/>
                <w:kern w:val="0"/>
              </w:rPr>
              <w:t>不达标区 □</w:t>
            </w:r>
          </w:p>
        </w:tc>
      </w:tr>
      <w:tr w14:paraId="6964A4C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936" w:type="dxa"/>
            <w:vMerge w:val="restart"/>
            <w:noWrap/>
            <w:vAlign w:val="center"/>
          </w:tcPr>
          <w:p w14:paraId="2F68A239">
            <w:pPr>
              <w:pStyle w:val="179"/>
              <w:rPr>
                <w:rFonts w:cs="Times New Roman"/>
                <w:kern w:val="0"/>
              </w:rPr>
            </w:pPr>
            <w:r>
              <w:rPr>
                <w:rFonts w:cs="Times New Roman"/>
                <w:kern w:val="0"/>
              </w:rPr>
              <w:t>影响预测</w:t>
            </w:r>
          </w:p>
        </w:tc>
        <w:tc>
          <w:tcPr>
            <w:tcW w:w="3004" w:type="dxa"/>
            <w:noWrap/>
            <w:vAlign w:val="center"/>
          </w:tcPr>
          <w:p w14:paraId="46240527">
            <w:pPr>
              <w:pStyle w:val="179"/>
              <w:rPr>
                <w:rFonts w:cs="Times New Roman"/>
                <w:kern w:val="0"/>
              </w:rPr>
            </w:pPr>
            <w:r>
              <w:rPr>
                <w:rFonts w:cs="Times New Roman"/>
                <w:kern w:val="0"/>
              </w:rPr>
              <w:t>预测范围</w:t>
            </w:r>
          </w:p>
        </w:tc>
        <w:tc>
          <w:tcPr>
            <w:tcW w:w="10846" w:type="dxa"/>
            <w:gridSpan w:val="12"/>
            <w:noWrap/>
            <w:vAlign w:val="center"/>
          </w:tcPr>
          <w:p w14:paraId="505BA727">
            <w:pPr>
              <w:pStyle w:val="179"/>
              <w:rPr>
                <w:rFonts w:cs="Times New Roman"/>
                <w:kern w:val="0"/>
              </w:rPr>
            </w:pPr>
            <w:r>
              <w:rPr>
                <w:rFonts w:cs="Times New Roman"/>
                <w:kern w:val="0"/>
              </w:rPr>
              <w:t>河流：长度（）km；湖库、河口及近岸海域：面积（   ）km</w:t>
            </w:r>
            <w:r>
              <w:rPr>
                <w:rFonts w:cs="Times New Roman"/>
                <w:kern w:val="0"/>
                <w:vertAlign w:val="superscript"/>
              </w:rPr>
              <w:t>2</w:t>
            </w:r>
          </w:p>
        </w:tc>
      </w:tr>
      <w:tr w14:paraId="06B9413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936" w:type="dxa"/>
            <w:vMerge w:val="continue"/>
            <w:noWrap/>
            <w:vAlign w:val="center"/>
          </w:tcPr>
          <w:p w14:paraId="05BDCADC">
            <w:pPr>
              <w:pStyle w:val="179"/>
              <w:rPr>
                <w:rFonts w:cs="Times New Roman"/>
                <w:kern w:val="0"/>
              </w:rPr>
            </w:pPr>
          </w:p>
        </w:tc>
        <w:tc>
          <w:tcPr>
            <w:tcW w:w="3004" w:type="dxa"/>
            <w:noWrap/>
            <w:vAlign w:val="center"/>
          </w:tcPr>
          <w:p w14:paraId="427DEFF2">
            <w:pPr>
              <w:pStyle w:val="179"/>
              <w:rPr>
                <w:rFonts w:cs="Times New Roman"/>
                <w:kern w:val="0"/>
              </w:rPr>
            </w:pPr>
            <w:r>
              <w:rPr>
                <w:rFonts w:cs="Times New Roman"/>
                <w:kern w:val="0"/>
              </w:rPr>
              <w:t>预测因子</w:t>
            </w:r>
          </w:p>
        </w:tc>
        <w:tc>
          <w:tcPr>
            <w:tcW w:w="10846" w:type="dxa"/>
            <w:gridSpan w:val="12"/>
            <w:noWrap/>
            <w:vAlign w:val="center"/>
          </w:tcPr>
          <w:p w14:paraId="568B32A8">
            <w:pPr>
              <w:pStyle w:val="179"/>
              <w:rPr>
                <w:rFonts w:cs="Times New Roman"/>
                <w:kern w:val="0"/>
              </w:rPr>
            </w:pPr>
            <w:r>
              <w:rPr>
                <w:rFonts w:cs="Times New Roman"/>
                <w:kern w:val="0"/>
              </w:rPr>
              <w:t>（）</w:t>
            </w:r>
          </w:p>
        </w:tc>
      </w:tr>
      <w:tr w14:paraId="0BEF22D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936" w:type="dxa"/>
            <w:vMerge w:val="continue"/>
            <w:noWrap/>
            <w:vAlign w:val="center"/>
          </w:tcPr>
          <w:p w14:paraId="3EBECC82">
            <w:pPr>
              <w:pStyle w:val="179"/>
              <w:rPr>
                <w:rFonts w:cs="Times New Roman"/>
                <w:kern w:val="0"/>
              </w:rPr>
            </w:pPr>
          </w:p>
        </w:tc>
        <w:tc>
          <w:tcPr>
            <w:tcW w:w="3004" w:type="dxa"/>
            <w:noWrap/>
            <w:vAlign w:val="center"/>
          </w:tcPr>
          <w:p w14:paraId="0EDC9157">
            <w:pPr>
              <w:pStyle w:val="179"/>
              <w:rPr>
                <w:rFonts w:cs="Times New Roman"/>
                <w:kern w:val="0"/>
              </w:rPr>
            </w:pPr>
            <w:r>
              <w:rPr>
                <w:rFonts w:cs="Times New Roman"/>
                <w:kern w:val="0"/>
              </w:rPr>
              <w:t>预测时期</w:t>
            </w:r>
          </w:p>
        </w:tc>
        <w:tc>
          <w:tcPr>
            <w:tcW w:w="10846" w:type="dxa"/>
            <w:gridSpan w:val="12"/>
            <w:noWrap/>
            <w:vAlign w:val="center"/>
          </w:tcPr>
          <w:p w14:paraId="6F0BCBD1">
            <w:pPr>
              <w:pStyle w:val="179"/>
              <w:jc w:val="left"/>
              <w:rPr>
                <w:rFonts w:ascii="宋体" w:hAnsi="宋体" w:cs="Times New Roman"/>
                <w:kern w:val="0"/>
              </w:rPr>
            </w:pPr>
            <w:r>
              <w:rPr>
                <w:rFonts w:ascii="宋体" w:hAnsi="宋体" w:cs="Times New Roman"/>
                <w:kern w:val="0"/>
              </w:rPr>
              <w:t>丰水期□；平水期 □；枯水期□；冰封期 □</w:t>
            </w:r>
            <w:r>
              <w:rPr>
                <w:rFonts w:ascii="宋体" w:hAnsi="宋体" w:cs="Times New Roman"/>
                <w:kern w:val="0"/>
              </w:rPr>
              <w:br w:type="textWrapping"/>
            </w:r>
            <w:r>
              <w:rPr>
                <w:rFonts w:ascii="宋体" w:hAnsi="宋体" w:cs="Times New Roman"/>
                <w:kern w:val="0"/>
              </w:rPr>
              <w:t>春季 □；夏季 □；秋季 □；冬季 □</w:t>
            </w:r>
            <w:r>
              <w:rPr>
                <w:rFonts w:ascii="宋体" w:hAnsi="宋体" w:cs="Times New Roman"/>
                <w:kern w:val="0"/>
              </w:rPr>
              <w:br w:type="textWrapping"/>
            </w:r>
            <w:r>
              <w:rPr>
                <w:rFonts w:ascii="宋体" w:hAnsi="宋体" w:cs="Times New Roman"/>
                <w:kern w:val="0"/>
              </w:rPr>
              <w:t>设计水文条件 □</w:t>
            </w:r>
          </w:p>
        </w:tc>
      </w:tr>
      <w:tr w14:paraId="6841EF1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936" w:type="dxa"/>
            <w:vMerge w:val="continue"/>
            <w:noWrap/>
            <w:vAlign w:val="center"/>
          </w:tcPr>
          <w:p w14:paraId="237F0527">
            <w:pPr>
              <w:pStyle w:val="179"/>
              <w:rPr>
                <w:rFonts w:cs="Times New Roman"/>
                <w:kern w:val="0"/>
              </w:rPr>
            </w:pPr>
          </w:p>
        </w:tc>
        <w:tc>
          <w:tcPr>
            <w:tcW w:w="3004" w:type="dxa"/>
            <w:noWrap/>
            <w:vAlign w:val="center"/>
          </w:tcPr>
          <w:p w14:paraId="79CCD251">
            <w:pPr>
              <w:pStyle w:val="179"/>
              <w:rPr>
                <w:rFonts w:cs="Times New Roman"/>
                <w:kern w:val="0"/>
              </w:rPr>
            </w:pPr>
            <w:r>
              <w:rPr>
                <w:rFonts w:cs="Times New Roman"/>
                <w:kern w:val="0"/>
              </w:rPr>
              <w:t>预测情景</w:t>
            </w:r>
          </w:p>
        </w:tc>
        <w:tc>
          <w:tcPr>
            <w:tcW w:w="10846" w:type="dxa"/>
            <w:gridSpan w:val="12"/>
            <w:noWrap/>
            <w:vAlign w:val="center"/>
          </w:tcPr>
          <w:p w14:paraId="5F122844">
            <w:pPr>
              <w:pStyle w:val="179"/>
              <w:jc w:val="left"/>
              <w:rPr>
                <w:rFonts w:ascii="宋体" w:hAnsi="宋体" w:cs="Times New Roman"/>
                <w:kern w:val="0"/>
              </w:rPr>
            </w:pPr>
            <w:r>
              <w:rPr>
                <w:rFonts w:ascii="宋体" w:hAnsi="宋体" w:cs="Times New Roman"/>
                <w:kern w:val="0"/>
              </w:rPr>
              <w:t>建设期 □；生产运行期 □；服务期满后 □</w:t>
            </w:r>
            <w:r>
              <w:rPr>
                <w:rFonts w:ascii="宋体" w:hAnsi="宋体" w:cs="Times New Roman"/>
                <w:kern w:val="0"/>
              </w:rPr>
              <w:br w:type="textWrapping"/>
            </w:r>
            <w:r>
              <w:rPr>
                <w:rFonts w:ascii="宋体" w:hAnsi="宋体" w:cs="Times New Roman"/>
                <w:kern w:val="0"/>
              </w:rPr>
              <w:t>正常工况 □；非正常工况 □</w:t>
            </w:r>
            <w:r>
              <w:rPr>
                <w:rFonts w:ascii="宋体" w:hAnsi="宋体" w:cs="Times New Roman"/>
                <w:kern w:val="0"/>
              </w:rPr>
              <w:br w:type="textWrapping"/>
            </w:r>
            <w:r>
              <w:rPr>
                <w:rFonts w:ascii="宋体" w:hAnsi="宋体" w:cs="Times New Roman"/>
                <w:kern w:val="0"/>
              </w:rPr>
              <w:t>污染控制和减缓措施方案 □</w:t>
            </w:r>
            <w:r>
              <w:rPr>
                <w:rFonts w:ascii="宋体" w:hAnsi="宋体" w:cs="Times New Roman"/>
                <w:kern w:val="0"/>
              </w:rPr>
              <w:br w:type="textWrapping"/>
            </w:r>
            <w:r>
              <w:rPr>
                <w:rFonts w:ascii="宋体" w:hAnsi="宋体" w:cs="Times New Roman"/>
                <w:kern w:val="0"/>
              </w:rPr>
              <w:t>区（流）域环境质量改善目标要求情景 □</w:t>
            </w:r>
          </w:p>
        </w:tc>
      </w:tr>
      <w:tr w14:paraId="38D6783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936" w:type="dxa"/>
            <w:vMerge w:val="continue"/>
            <w:noWrap/>
            <w:vAlign w:val="center"/>
          </w:tcPr>
          <w:p w14:paraId="3217A359">
            <w:pPr>
              <w:pStyle w:val="179"/>
              <w:rPr>
                <w:rFonts w:cs="Times New Roman"/>
                <w:kern w:val="0"/>
              </w:rPr>
            </w:pPr>
          </w:p>
        </w:tc>
        <w:tc>
          <w:tcPr>
            <w:tcW w:w="3004" w:type="dxa"/>
            <w:noWrap/>
            <w:vAlign w:val="center"/>
          </w:tcPr>
          <w:p w14:paraId="05EB7EA7">
            <w:pPr>
              <w:pStyle w:val="179"/>
              <w:rPr>
                <w:rFonts w:cs="Times New Roman"/>
                <w:kern w:val="0"/>
              </w:rPr>
            </w:pPr>
            <w:r>
              <w:rPr>
                <w:rFonts w:cs="Times New Roman"/>
                <w:kern w:val="0"/>
              </w:rPr>
              <w:t>预测方法</w:t>
            </w:r>
          </w:p>
        </w:tc>
        <w:tc>
          <w:tcPr>
            <w:tcW w:w="10846" w:type="dxa"/>
            <w:gridSpan w:val="12"/>
            <w:noWrap/>
            <w:vAlign w:val="center"/>
          </w:tcPr>
          <w:p w14:paraId="631EB124">
            <w:pPr>
              <w:pStyle w:val="179"/>
              <w:jc w:val="left"/>
              <w:rPr>
                <w:rFonts w:ascii="宋体" w:hAnsi="宋体" w:cs="Times New Roman"/>
                <w:kern w:val="0"/>
              </w:rPr>
            </w:pPr>
            <w:r>
              <w:rPr>
                <w:rFonts w:ascii="宋体" w:hAnsi="宋体" w:cs="Times New Roman"/>
                <w:kern w:val="0"/>
              </w:rPr>
              <w:t>数值解 □：解析解□；其他 □</w:t>
            </w:r>
          </w:p>
          <w:p w14:paraId="75B8C4E3">
            <w:pPr>
              <w:pStyle w:val="179"/>
              <w:jc w:val="left"/>
              <w:rPr>
                <w:rFonts w:ascii="宋体" w:hAnsi="宋体" w:cs="Times New Roman"/>
                <w:kern w:val="0"/>
              </w:rPr>
            </w:pPr>
            <w:r>
              <w:rPr>
                <w:rFonts w:ascii="宋体" w:hAnsi="宋体" w:cs="Times New Roman"/>
                <w:kern w:val="0"/>
              </w:rPr>
              <w:t>导则推荐模式 □：其他 □</w:t>
            </w:r>
          </w:p>
        </w:tc>
      </w:tr>
      <w:tr w14:paraId="4CEF736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936" w:type="dxa"/>
            <w:vMerge w:val="restart"/>
            <w:noWrap/>
            <w:vAlign w:val="center"/>
          </w:tcPr>
          <w:p w14:paraId="469B80F7">
            <w:pPr>
              <w:pStyle w:val="179"/>
              <w:rPr>
                <w:rFonts w:cs="Times New Roman"/>
                <w:kern w:val="0"/>
              </w:rPr>
            </w:pPr>
            <w:r>
              <w:rPr>
                <w:rFonts w:cs="Times New Roman"/>
                <w:kern w:val="0"/>
              </w:rPr>
              <w:t>影响评价</w:t>
            </w:r>
          </w:p>
        </w:tc>
        <w:tc>
          <w:tcPr>
            <w:tcW w:w="3004" w:type="dxa"/>
            <w:noWrap/>
            <w:vAlign w:val="center"/>
          </w:tcPr>
          <w:p w14:paraId="4B2DB117">
            <w:pPr>
              <w:pStyle w:val="179"/>
              <w:rPr>
                <w:rFonts w:cs="Times New Roman"/>
                <w:kern w:val="0"/>
              </w:rPr>
            </w:pPr>
            <w:r>
              <w:rPr>
                <w:rFonts w:cs="Times New Roman"/>
                <w:kern w:val="0"/>
              </w:rPr>
              <w:t>水污染控制和水环境影响减缓措施有效性评价</w:t>
            </w:r>
          </w:p>
        </w:tc>
        <w:tc>
          <w:tcPr>
            <w:tcW w:w="10846" w:type="dxa"/>
            <w:gridSpan w:val="12"/>
            <w:noWrap/>
            <w:vAlign w:val="center"/>
          </w:tcPr>
          <w:p w14:paraId="41481FC3">
            <w:pPr>
              <w:pStyle w:val="179"/>
              <w:jc w:val="left"/>
              <w:rPr>
                <w:rFonts w:ascii="宋体" w:hAnsi="宋体" w:cs="Times New Roman"/>
                <w:kern w:val="0"/>
              </w:rPr>
            </w:pPr>
            <w:r>
              <w:rPr>
                <w:rFonts w:ascii="宋体" w:hAnsi="宋体" w:cs="Times New Roman"/>
                <w:kern w:val="0"/>
              </w:rPr>
              <w:t>区（流）域水环境质量改善目标 □；替代削减源  □</w:t>
            </w:r>
          </w:p>
        </w:tc>
      </w:tr>
      <w:tr w14:paraId="0A96BB6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936" w:type="dxa"/>
            <w:vMerge w:val="continue"/>
            <w:noWrap/>
            <w:vAlign w:val="center"/>
          </w:tcPr>
          <w:p w14:paraId="757E00F4">
            <w:pPr>
              <w:pStyle w:val="179"/>
              <w:rPr>
                <w:rFonts w:cs="Times New Roman"/>
                <w:kern w:val="0"/>
              </w:rPr>
            </w:pPr>
          </w:p>
        </w:tc>
        <w:tc>
          <w:tcPr>
            <w:tcW w:w="3004" w:type="dxa"/>
            <w:noWrap/>
            <w:vAlign w:val="center"/>
          </w:tcPr>
          <w:p w14:paraId="2638EF96">
            <w:pPr>
              <w:pStyle w:val="179"/>
              <w:rPr>
                <w:rFonts w:cs="Times New Roman"/>
                <w:kern w:val="0"/>
              </w:rPr>
            </w:pPr>
            <w:r>
              <w:rPr>
                <w:rFonts w:cs="Times New Roman"/>
                <w:kern w:val="0"/>
              </w:rPr>
              <w:t>水环境影响评价</w:t>
            </w:r>
          </w:p>
        </w:tc>
        <w:tc>
          <w:tcPr>
            <w:tcW w:w="10846" w:type="dxa"/>
            <w:gridSpan w:val="12"/>
            <w:noWrap/>
            <w:vAlign w:val="center"/>
          </w:tcPr>
          <w:p w14:paraId="2FFA45B2">
            <w:pPr>
              <w:pStyle w:val="179"/>
              <w:jc w:val="left"/>
              <w:rPr>
                <w:rFonts w:ascii="宋体" w:hAnsi="宋体" w:cs="Times New Roman"/>
                <w:kern w:val="0"/>
              </w:rPr>
            </w:pPr>
            <w:r>
              <w:rPr>
                <w:rFonts w:ascii="宋体" w:hAnsi="宋体" w:cs="Times New Roman"/>
                <w:kern w:val="0"/>
              </w:rPr>
              <w:t>排放口混合区外满足水环境管理要求 □</w:t>
            </w:r>
            <w:r>
              <w:rPr>
                <w:rFonts w:ascii="宋体" w:hAnsi="宋体" w:cs="Times New Roman"/>
                <w:kern w:val="0"/>
              </w:rPr>
              <w:br w:type="textWrapping"/>
            </w:r>
            <w:r>
              <w:rPr>
                <w:rFonts w:ascii="宋体" w:hAnsi="宋体" w:cs="Times New Roman"/>
                <w:kern w:val="0"/>
              </w:rPr>
              <w:t>水环境功能区或水功能区、近岸海域环境功能区水质达标 □</w:t>
            </w:r>
            <w:r>
              <w:rPr>
                <w:rFonts w:ascii="宋体" w:hAnsi="宋体" w:cs="Times New Roman"/>
                <w:kern w:val="0"/>
              </w:rPr>
              <w:br w:type="textWrapping"/>
            </w:r>
            <w:r>
              <w:rPr>
                <w:rFonts w:ascii="宋体" w:hAnsi="宋体" w:cs="Times New Roman"/>
                <w:kern w:val="0"/>
              </w:rPr>
              <w:t>满足水环境保护目标水域水环境质量要求 □</w:t>
            </w:r>
            <w:r>
              <w:rPr>
                <w:rFonts w:ascii="宋体" w:hAnsi="宋体" w:cs="Times New Roman"/>
                <w:kern w:val="0"/>
              </w:rPr>
              <w:br w:type="textWrapping"/>
            </w:r>
            <w:r>
              <w:rPr>
                <w:rFonts w:ascii="宋体" w:hAnsi="宋体" w:cs="Times New Roman"/>
                <w:kern w:val="0"/>
              </w:rPr>
              <w:t>水环境控制单元或断面水质达标 □</w:t>
            </w:r>
            <w:r>
              <w:rPr>
                <w:rFonts w:ascii="宋体" w:hAnsi="宋体" w:cs="Times New Roman"/>
                <w:kern w:val="0"/>
              </w:rPr>
              <w:br w:type="textWrapping"/>
            </w:r>
            <w:r>
              <w:rPr>
                <w:rFonts w:ascii="宋体" w:hAnsi="宋体" w:cs="Times New Roman"/>
                <w:kern w:val="0"/>
              </w:rPr>
              <w:t>满足重点水污染物排放总量控制指标要求，重点行业建设项目， 主要污染物排放满足等量或减量替代要求 □</w:t>
            </w:r>
          </w:p>
          <w:p w14:paraId="10119D11">
            <w:pPr>
              <w:pStyle w:val="179"/>
              <w:jc w:val="left"/>
              <w:rPr>
                <w:rFonts w:ascii="宋体" w:hAnsi="宋体" w:cs="Times New Roman"/>
                <w:kern w:val="0"/>
              </w:rPr>
            </w:pPr>
            <w:r>
              <w:rPr>
                <w:rFonts w:ascii="宋体" w:hAnsi="宋体" w:cs="Times New Roman"/>
                <w:kern w:val="0"/>
              </w:rPr>
              <w:t>满足区（流）域水环境质量改善目标要求 □</w:t>
            </w:r>
            <w:r>
              <w:rPr>
                <w:rFonts w:ascii="宋体" w:hAnsi="宋体" w:cs="Times New Roman"/>
                <w:kern w:val="0"/>
              </w:rPr>
              <w:br w:type="textWrapping"/>
            </w:r>
            <w:r>
              <w:rPr>
                <w:rFonts w:ascii="宋体" w:hAnsi="宋体" w:cs="Times New Roman"/>
                <w:kern w:val="0"/>
              </w:rPr>
              <w:t>水文要素影响型建设项目同时应包括水文情势变化评价、主要水文特征值影响评价、生态流量符合性评价 □</w:t>
            </w:r>
            <w:r>
              <w:rPr>
                <w:rFonts w:ascii="宋体" w:hAnsi="宋体" w:cs="Times New Roman"/>
                <w:kern w:val="0"/>
              </w:rPr>
              <w:br w:type="textWrapping"/>
            </w:r>
            <w:r>
              <w:rPr>
                <w:rFonts w:ascii="宋体" w:hAnsi="宋体" w:cs="Times New Roman"/>
                <w:kern w:val="0"/>
              </w:rPr>
              <w:t>对于新设或调整入河（湖库、近岸海域）排放口的建设项目，应包括排放口设置的环境合理性评价 □</w:t>
            </w:r>
            <w:r>
              <w:rPr>
                <w:rFonts w:ascii="宋体" w:hAnsi="宋体" w:cs="Times New Roman"/>
                <w:kern w:val="0"/>
              </w:rPr>
              <w:br w:type="textWrapping"/>
            </w:r>
            <w:r>
              <w:rPr>
                <w:rFonts w:ascii="宋体" w:hAnsi="宋体" w:cs="Times New Roman"/>
                <w:kern w:val="0"/>
              </w:rPr>
              <w:t>满足生态保护红线、水环境质量底线、资源利用上线和环境准入清单管理要求 □</w:t>
            </w:r>
          </w:p>
        </w:tc>
      </w:tr>
      <w:tr w14:paraId="13DC3B4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936" w:type="dxa"/>
            <w:vMerge w:val="continue"/>
            <w:noWrap/>
            <w:vAlign w:val="center"/>
          </w:tcPr>
          <w:p w14:paraId="1576A69C">
            <w:pPr>
              <w:pStyle w:val="179"/>
              <w:rPr>
                <w:rFonts w:cs="Times New Roman"/>
                <w:kern w:val="0"/>
              </w:rPr>
            </w:pPr>
          </w:p>
        </w:tc>
        <w:tc>
          <w:tcPr>
            <w:tcW w:w="3004" w:type="dxa"/>
            <w:vMerge w:val="restart"/>
            <w:noWrap/>
            <w:vAlign w:val="center"/>
          </w:tcPr>
          <w:p w14:paraId="2F52F1CC">
            <w:pPr>
              <w:pStyle w:val="179"/>
              <w:rPr>
                <w:rFonts w:cs="Times New Roman"/>
                <w:kern w:val="0"/>
              </w:rPr>
            </w:pPr>
            <w:r>
              <w:rPr>
                <w:rFonts w:cs="Times New Roman"/>
                <w:kern w:val="0"/>
              </w:rPr>
              <w:t>污染源排放量核算</w:t>
            </w:r>
          </w:p>
        </w:tc>
        <w:tc>
          <w:tcPr>
            <w:tcW w:w="3457" w:type="dxa"/>
            <w:gridSpan w:val="3"/>
            <w:noWrap/>
            <w:vAlign w:val="center"/>
          </w:tcPr>
          <w:p w14:paraId="675648A7">
            <w:pPr>
              <w:pStyle w:val="179"/>
              <w:rPr>
                <w:rFonts w:cs="Times New Roman"/>
                <w:kern w:val="0"/>
              </w:rPr>
            </w:pPr>
            <w:r>
              <w:rPr>
                <w:rFonts w:cs="Times New Roman"/>
                <w:kern w:val="0"/>
              </w:rPr>
              <w:t>污染物名称</w:t>
            </w:r>
          </w:p>
        </w:tc>
        <w:tc>
          <w:tcPr>
            <w:tcW w:w="3297" w:type="dxa"/>
            <w:gridSpan w:val="5"/>
            <w:noWrap/>
            <w:vAlign w:val="center"/>
          </w:tcPr>
          <w:p w14:paraId="06FE46BB">
            <w:pPr>
              <w:pStyle w:val="179"/>
              <w:rPr>
                <w:rFonts w:cs="Times New Roman"/>
                <w:kern w:val="0"/>
              </w:rPr>
            </w:pPr>
            <w:r>
              <w:rPr>
                <w:rFonts w:cs="Times New Roman"/>
                <w:kern w:val="0"/>
              </w:rPr>
              <w:t>排放量/（</w:t>
            </w:r>
            <w:r>
              <w:rPr>
                <w:rFonts w:cs="Times New Roman"/>
              </w:rPr>
              <w:t>t/a</w:t>
            </w:r>
            <w:r>
              <w:rPr>
                <w:rFonts w:cs="Times New Roman"/>
                <w:kern w:val="0"/>
              </w:rPr>
              <w:t>）</w:t>
            </w:r>
          </w:p>
        </w:tc>
        <w:tc>
          <w:tcPr>
            <w:tcW w:w="4092" w:type="dxa"/>
            <w:gridSpan w:val="4"/>
            <w:noWrap/>
            <w:vAlign w:val="center"/>
          </w:tcPr>
          <w:p w14:paraId="0EF1A688">
            <w:pPr>
              <w:pStyle w:val="179"/>
              <w:rPr>
                <w:rFonts w:cs="Times New Roman"/>
                <w:kern w:val="0"/>
              </w:rPr>
            </w:pPr>
            <w:r>
              <w:rPr>
                <w:rFonts w:cs="Times New Roman"/>
                <w:kern w:val="0"/>
              </w:rPr>
              <w:t>排放浓度/（mg/L）</w:t>
            </w:r>
          </w:p>
        </w:tc>
      </w:tr>
      <w:tr w14:paraId="39677C2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936" w:type="dxa"/>
            <w:vMerge w:val="continue"/>
            <w:noWrap/>
            <w:vAlign w:val="center"/>
          </w:tcPr>
          <w:p w14:paraId="2CFDDC17">
            <w:pPr>
              <w:pStyle w:val="179"/>
              <w:rPr>
                <w:rFonts w:cs="Times New Roman"/>
                <w:kern w:val="0"/>
              </w:rPr>
            </w:pPr>
          </w:p>
        </w:tc>
        <w:tc>
          <w:tcPr>
            <w:tcW w:w="3004" w:type="dxa"/>
            <w:vMerge w:val="continue"/>
            <w:noWrap/>
            <w:vAlign w:val="center"/>
          </w:tcPr>
          <w:p w14:paraId="2C447EF9">
            <w:pPr>
              <w:pStyle w:val="179"/>
              <w:rPr>
                <w:rFonts w:cs="Times New Roman"/>
                <w:kern w:val="0"/>
              </w:rPr>
            </w:pPr>
          </w:p>
        </w:tc>
        <w:tc>
          <w:tcPr>
            <w:tcW w:w="3457" w:type="dxa"/>
            <w:gridSpan w:val="3"/>
            <w:noWrap/>
            <w:vAlign w:val="center"/>
          </w:tcPr>
          <w:p w14:paraId="25530CEB">
            <w:pPr>
              <w:pStyle w:val="179"/>
              <w:rPr>
                <w:rFonts w:cs="Times New Roman"/>
                <w:kern w:val="0"/>
              </w:rPr>
            </w:pPr>
          </w:p>
        </w:tc>
        <w:tc>
          <w:tcPr>
            <w:tcW w:w="3297" w:type="dxa"/>
            <w:gridSpan w:val="5"/>
            <w:noWrap/>
            <w:vAlign w:val="center"/>
          </w:tcPr>
          <w:p w14:paraId="65E7154B">
            <w:pPr>
              <w:pStyle w:val="179"/>
              <w:rPr>
                <w:rFonts w:cs="Times New Roman"/>
                <w:kern w:val="0"/>
              </w:rPr>
            </w:pPr>
          </w:p>
        </w:tc>
        <w:tc>
          <w:tcPr>
            <w:tcW w:w="4092" w:type="dxa"/>
            <w:gridSpan w:val="4"/>
            <w:noWrap/>
            <w:vAlign w:val="center"/>
          </w:tcPr>
          <w:p w14:paraId="3CF65BF4">
            <w:pPr>
              <w:pStyle w:val="179"/>
              <w:rPr>
                <w:rFonts w:cs="Times New Roman"/>
                <w:kern w:val="0"/>
              </w:rPr>
            </w:pPr>
          </w:p>
        </w:tc>
      </w:tr>
      <w:tr w14:paraId="4D42502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936" w:type="dxa"/>
            <w:vMerge w:val="continue"/>
            <w:noWrap/>
            <w:vAlign w:val="center"/>
          </w:tcPr>
          <w:p w14:paraId="59B87250">
            <w:pPr>
              <w:pStyle w:val="179"/>
              <w:rPr>
                <w:rFonts w:cs="Times New Roman"/>
                <w:kern w:val="0"/>
              </w:rPr>
            </w:pPr>
          </w:p>
        </w:tc>
        <w:tc>
          <w:tcPr>
            <w:tcW w:w="3004" w:type="dxa"/>
            <w:vMerge w:val="restart"/>
            <w:noWrap/>
            <w:vAlign w:val="center"/>
          </w:tcPr>
          <w:p w14:paraId="7EDE65AC">
            <w:pPr>
              <w:pStyle w:val="179"/>
              <w:rPr>
                <w:rFonts w:cs="Times New Roman"/>
                <w:kern w:val="0"/>
              </w:rPr>
            </w:pPr>
            <w:r>
              <w:rPr>
                <w:rFonts w:cs="Times New Roman"/>
                <w:kern w:val="0"/>
              </w:rPr>
              <w:t>替代源排放情况</w:t>
            </w:r>
          </w:p>
        </w:tc>
        <w:tc>
          <w:tcPr>
            <w:tcW w:w="2141" w:type="dxa"/>
            <w:noWrap/>
            <w:vAlign w:val="center"/>
          </w:tcPr>
          <w:p w14:paraId="21AF83CD">
            <w:pPr>
              <w:pStyle w:val="179"/>
              <w:rPr>
                <w:rFonts w:cs="Times New Roman"/>
                <w:kern w:val="0"/>
              </w:rPr>
            </w:pPr>
            <w:r>
              <w:rPr>
                <w:rFonts w:cs="Times New Roman"/>
                <w:kern w:val="0"/>
              </w:rPr>
              <w:t>污染源名称</w:t>
            </w:r>
          </w:p>
        </w:tc>
        <w:tc>
          <w:tcPr>
            <w:tcW w:w="1975" w:type="dxa"/>
            <w:gridSpan w:val="3"/>
            <w:noWrap/>
            <w:vAlign w:val="center"/>
          </w:tcPr>
          <w:p w14:paraId="64EC5A03">
            <w:pPr>
              <w:pStyle w:val="179"/>
              <w:rPr>
                <w:rFonts w:cs="Times New Roman"/>
                <w:kern w:val="0"/>
              </w:rPr>
            </w:pPr>
            <w:r>
              <w:rPr>
                <w:rFonts w:cs="Times New Roman"/>
                <w:kern w:val="0"/>
              </w:rPr>
              <w:t>排污许可证编号</w:t>
            </w:r>
          </w:p>
        </w:tc>
        <w:tc>
          <w:tcPr>
            <w:tcW w:w="2058" w:type="dxa"/>
            <w:gridSpan w:val="2"/>
            <w:noWrap/>
            <w:vAlign w:val="center"/>
          </w:tcPr>
          <w:p w14:paraId="264F6BEA">
            <w:pPr>
              <w:pStyle w:val="179"/>
              <w:rPr>
                <w:rFonts w:cs="Times New Roman"/>
                <w:kern w:val="0"/>
              </w:rPr>
            </w:pPr>
            <w:r>
              <w:rPr>
                <w:rFonts w:cs="Times New Roman"/>
                <w:kern w:val="0"/>
              </w:rPr>
              <w:t>污染物名称</w:t>
            </w:r>
          </w:p>
        </w:tc>
        <w:tc>
          <w:tcPr>
            <w:tcW w:w="1983" w:type="dxa"/>
            <w:gridSpan w:val="4"/>
            <w:noWrap/>
            <w:vAlign w:val="center"/>
          </w:tcPr>
          <w:p w14:paraId="2955239E">
            <w:pPr>
              <w:pStyle w:val="179"/>
              <w:rPr>
                <w:rFonts w:cs="Times New Roman"/>
                <w:kern w:val="0"/>
              </w:rPr>
            </w:pPr>
            <w:r>
              <w:rPr>
                <w:rFonts w:cs="Times New Roman"/>
                <w:kern w:val="0"/>
              </w:rPr>
              <w:t>排放量/（</w:t>
            </w:r>
            <w:r>
              <w:rPr>
                <w:rFonts w:cs="Times New Roman"/>
              </w:rPr>
              <w:t>t/a</w:t>
            </w:r>
            <w:r>
              <w:rPr>
                <w:rFonts w:cs="Times New Roman"/>
                <w:kern w:val="0"/>
              </w:rPr>
              <w:t>）</w:t>
            </w:r>
          </w:p>
        </w:tc>
        <w:tc>
          <w:tcPr>
            <w:tcW w:w="2689" w:type="dxa"/>
            <w:gridSpan w:val="2"/>
            <w:noWrap/>
            <w:vAlign w:val="center"/>
          </w:tcPr>
          <w:p w14:paraId="43CC4159">
            <w:pPr>
              <w:pStyle w:val="179"/>
              <w:rPr>
                <w:rFonts w:cs="Times New Roman"/>
                <w:kern w:val="0"/>
              </w:rPr>
            </w:pPr>
            <w:r>
              <w:rPr>
                <w:rFonts w:cs="Times New Roman"/>
                <w:kern w:val="0"/>
              </w:rPr>
              <w:t>排放浓度/（mg/L）</w:t>
            </w:r>
          </w:p>
        </w:tc>
      </w:tr>
      <w:tr w14:paraId="343179D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936" w:type="dxa"/>
            <w:vMerge w:val="continue"/>
            <w:noWrap/>
            <w:vAlign w:val="center"/>
          </w:tcPr>
          <w:p w14:paraId="31B1C11B">
            <w:pPr>
              <w:pStyle w:val="179"/>
              <w:rPr>
                <w:rFonts w:cs="Times New Roman"/>
                <w:kern w:val="0"/>
              </w:rPr>
            </w:pPr>
          </w:p>
        </w:tc>
        <w:tc>
          <w:tcPr>
            <w:tcW w:w="3004" w:type="dxa"/>
            <w:vMerge w:val="continue"/>
            <w:noWrap/>
            <w:vAlign w:val="center"/>
          </w:tcPr>
          <w:p w14:paraId="42BBF850">
            <w:pPr>
              <w:pStyle w:val="179"/>
              <w:rPr>
                <w:rFonts w:cs="Times New Roman"/>
                <w:kern w:val="0"/>
              </w:rPr>
            </w:pPr>
          </w:p>
        </w:tc>
        <w:tc>
          <w:tcPr>
            <w:tcW w:w="2141" w:type="dxa"/>
            <w:noWrap/>
            <w:vAlign w:val="center"/>
          </w:tcPr>
          <w:p w14:paraId="7A6C2906">
            <w:pPr>
              <w:pStyle w:val="179"/>
              <w:rPr>
                <w:rFonts w:cs="Times New Roman"/>
                <w:kern w:val="0"/>
              </w:rPr>
            </w:pPr>
            <w:r>
              <w:rPr>
                <w:rFonts w:cs="Times New Roman"/>
                <w:kern w:val="0"/>
              </w:rPr>
              <w:t>（   ）</w:t>
            </w:r>
          </w:p>
        </w:tc>
        <w:tc>
          <w:tcPr>
            <w:tcW w:w="1975" w:type="dxa"/>
            <w:gridSpan w:val="3"/>
            <w:noWrap/>
            <w:vAlign w:val="center"/>
          </w:tcPr>
          <w:p w14:paraId="2EEB82DE">
            <w:pPr>
              <w:pStyle w:val="179"/>
              <w:rPr>
                <w:rFonts w:cs="Times New Roman"/>
                <w:kern w:val="0"/>
              </w:rPr>
            </w:pPr>
            <w:r>
              <w:rPr>
                <w:rFonts w:cs="Times New Roman"/>
                <w:kern w:val="0"/>
              </w:rPr>
              <w:t>（   ）</w:t>
            </w:r>
          </w:p>
        </w:tc>
        <w:tc>
          <w:tcPr>
            <w:tcW w:w="2058" w:type="dxa"/>
            <w:gridSpan w:val="2"/>
            <w:noWrap/>
            <w:vAlign w:val="center"/>
          </w:tcPr>
          <w:p w14:paraId="3A7DDF59">
            <w:pPr>
              <w:pStyle w:val="179"/>
              <w:rPr>
                <w:rFonts w:cs="Times New Roman"/>
                <w:kern w:val="0"/>
              </w:rPr>
            </w:pPr>
            <w:r>
              <w:rPr>
                <w:rFonts w:cs="Times New Roman"/>
                <w:kern w:val="0"/>
              </w:rPr>
              <w:t>（   ）</w:t>
            </w:r>
          </w:p>
        </w:tc>
        <w:tc>
          <w:tcPr>
            <w:tcW w:w="1983" w:type="dxa"/>
            <w:gridSpan w:val="4"/>
            <w:noWrap/>
            <w:vAlign w:val="center"/>
          </w:tcPr>
          <w:p w14:paraId="3247C598">
            <w:pPr>
              <w:pStyle w:val="179"/>
              <w:rPr>
                <w:rFonts w:cs="Times New Roman"/>
                <w:kern w:val="0"/>
              </w:rPr>
            </w:pPr>
            <w:r>
              <w:rPr>
                <w:rFonts w:cs="Times New Roman"/>
                <w:kern w:val="0"/>
              </w:rPr>
              <w:t>（   ）</w:t>
            </w:r>
          </w:p>
        </w:tc>
        <w:tc>
          <w:tcPr>
            <w:tcW w:w="2689" w:type="dxa"/>
            <w:gridSpan w:val="2"/>
            <w:noWrap/>
            <w:vAlign w:val="center"/>
          </w:tcPr>
          <w:p w14:paraId="082ADE82">
            <w:pPr>
              <w:pStyle w:val="179"/>
              <w:rPr>
                <w:rFonts w:cs="Times New Roman"/>
                <w:kern w:val="0"/>
              </w:rPr>
            </w:pPr>
            <w:r>
              <w:rPr>
                <w:rFonts w:cs="Times New Roman"/>
                <w:kern w:val="0"/>
              </w:rPr>
              <w:t>（   ）</w:t>
            </w:r>
          </w:p>
        </w:tc>
      </w:tr>
      <w:tr w14:paraId="12C4E9E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936" w:type="dxa"/>
            <w:vMerge w:val="continue"/>
            <w:noWrap/>
            <w:vAlign w:val="center"/>
          </w:tcPr>
          <w:p w14:paraId="6A2A7DE4">
            <w:pPr>
              <w:pStyle w:val="179"/>
              <w:rPr>
                <w:rFonts w:cs="Times New Roman"/>
                <w:kern w:val="0"/>
              </w:rPr>
            </w:pPr>
          </w:p>
        </w:tc>
        <w:tc>
          <w:tcPr>
            <w:tcW w:w="3004" w:type="dxa"/>
            <w:noWrap/>
            <w:vAlign w:val="center"/>
          </w:tcPr>
          <w:p w14:paraId="5B37D0A0">
            <w:pPr>
              <w:pStyle w:val="179"/>
              <w:rPr>
                <w:rFonts w:cs="Times New Roman"/>
                <w:kern w:val="0"/>
              </w:rPr>
            </w:pPr>
            <w:r>
              <w:rPr>
                <w:rFonts w:cs="Times New Roman"/>
                <w:kern w:val="0"/>
              </w:rPr>
              <w:t>生态流量确定</w:t>
            </w:r>
          </w:p>
        </w:tc>
        <w:tc>
          <w:tcPr>
            <w:tcW w:w="10846" w:type="dxa"/>
            <w:gridSpan w:val="12"/>
            <w:noWrap/>
            <w:vAlign w:val="center"/>
          </w:tcPr>
          <w:p w14:paraId="3D03FD1D">
            <w:pPr>
              <w:pStyle w:val="179"/>
              <w:rPr>
                <w:rFonts w:cs="Times New Roman"/>
                <w:kern w:val="0"/>
              </w:rPr>
            </w:pPr>
            <w:r>
              <w:rPr>
                <w:rFonts w:cs="Times New Roman"/>
                <w:kern w:val="0"/>
              </w:rPr>
              <w:t>生态流量：一般水期（   ）m</w:t>
            </w:r>
            <w:r>
              <w:rPr>
                <w:rFonts w:cs="Times New Roman"/>
                <w:kern w:val="0"/>
                <w:vertAlign w:val="superscript"/>
              </w:rPr>
              <w:t>3</w:t>
            </w:r>
            <w:r>
              <w:rPr>
                <w:rFonts w:cs="Times New Roman"/>
                <w:kern w:val="0"/>
              </w:rPr>
              <w:t>/s；鱼类繁殖期（   ）m</w:t>
            </w:r>
            <w:r>
              <w:rPr>
                <w:rFonts w:cs="Times New Roman"/>
                <w:kern w:val="0"/>
                <w:vertAlign w:val="superscript"/>
              </w:rPr>
              <w:t>3</w:t>
            </w:r>
            <w:r>
              <w:rPr>
                <w:rFonts w:cs="Times New Roman"/>
                <w:kern w:val="0"/>
              </w:rPr>
              <w:t>/s；其他（   ）m</w:t>
            </w:r>
            <w:r>
              <w:rPr>
                <w:rFonts w:cs="Times New Roman"/>
                <w:kern w:val="0"/>
                <w:vertAlign w:val="superscript"/>
              </w:rPr>
              <w:t>3</w:t>
            </w:r>
            <w:r>
              <w:rPr>
                <w:rFonts w:cs="Times New Roman"/>
                <w:kern w:val="0"/>
              </w:rPr>
              <w:t>/s</w:t>
            </w:r>
          </w:p>
          <w:p w14:paraId="6ACAFBEF">
            <w:pPr>
              <w:pStyle w:val="179"/>
              <w:rPr>
                <w:rFonts w:cs="Times New Roman"/>
                <w:kern w:val="0"/>
              </w:rPr>
            </w:pPr>
            <w:r>
              <w:rPr>
                <w:rFonts w:cs="Times New Roman"/>
                <w:kern w:val="0"/>
              </w:rPr>
              <w:t>生态水位：一般水期（   ）m；鱼类繁殖期（   ）m；其他（   ）m</w:t>
            </w:r>
          </w:p>
        </w:tc>
      </w:tr>
      <w:tr w14:paraId="1101D6C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936" w:type="dxa"/>
            <w:vMerge w:val="restart"/>
            <w:noWrap/>
            <w:vAlign w:val="center"/>
          </w:tcPr>
          <w:p w14:paraId="0B90A016">
            <w:pPr>
              <w:pStyle w:val="179"/>
              <w:rPr>
                <w:rFonts w:cs="Times New Roman"/>
                <w:kern w:val="0"/>
              </w:rPr>
            </w:pPr>
            <w:r>
              <w:rPr>
                <w:rFonts w:cs="Times New Roman"/>
                <w:kern w:val="0"/>
              </w:rPr>
              <w:t>防治措施</w:t>
            </w:r>
          </w:p>
        </w:tc>
        <w:tc>
          <w:tcPr>
            <w:tcW w:w="3004" w:type="dxa"/>
            <w:noWrap/>
            <w:vAlign w:val="center"/>
          </w:tcPr>
          <w:p w14:paraId="009A6E24">
            <w:pPr>
              <w:pStyle w:val="179"/>
              <w:rPr>
                <w:rFonts w:cs="Times New Roman"/>
                <w:kern w:val="0"/>
              </w:rPr>
            </w:pPr>
            <w:r>
              <w:rPr>
                <w:rFonts w:cs="Times New Roman"/>
                <w:kern w:val="0"/>
              </w:rPr>
              <w:t>环保措施</w:t>
            </w:r>
          </w:p>
        </w:tc>
        <w:tc>
          <w:tcPr>
            <w:tcW w:w="10846" w:type="dxa"/>
            <w:gridSpan w:val="12"/>
            <w:noWrap/>
            <w:vAlign w:val="center"/>
          </w:tcPr>
          <w:p w14:paraId="361A8884">
            <w:pPr>
              <w:pStyle w:val="179"/>
              <w:rPr>
                <w:rFonts w:cs="Times New Roman"/>
                <w:kern w:val="0"/>
              </w:rPr>
            </w:pPr>
            <w:r>
              <w:rPr>
                <w:rFonts w:cs="Times New Roman"/>
                <w:kern w:val="0"/>
              </w:rPr>
              <w:t>污水</w:t>
            </w:r>
            <w:r>
              <w:rPr>
                <w:rFonts w:ascii="宋体" w:hAnsi="宋体" w:cs="Times New Roman"/>
                <w:kern w:val="0"/>
              </w:rPr>
              <w:t>处理设施□；水文减缓设施 □；生态流量保障设施 □；区域削减 □；依托其他工程措施 □；其他</w:t>
            </w:r>
            <w:r>
              <w:rPr>
                <w:rFonts w:hint="eastAsia" w:ascii="宋体" w:hAnsi="MS Mincho" w:eastAsia="MS Mincho" w:cs="MS Mincho"/>
                <w:kern w:val="0"/>
              </w:rPr>
              <w:t>☑</w:t>
            </w:r>
          </w:p>
        </w:tc>
      </w:tr>
      <w:tr w14:paraId="32C9C0B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936" w:type="dxa"/>
            <w:vMerge w:val="continue"/>
            <w:noWrap/>
            <w:vAlign w:val="center"/>
          </w:tcPr>
          <w:p w14:paraId="2044476F">
            <w:pPr>
              <w:pStyle w:val="179"/>
              <w:rPr>
                <w:rFonts w:cs="Times New Roman"/>
                <w:kern w:val="0"/>
              </w:rPr>
            </w:pPr>
          </w:p>
        </w:tc>
        <w:tc>
          <w:tcPr>
            <w:tcW w:w="3004" w:type="dxa"/>
            <w:vMerge w:val="restart"/>
            <w:noWrap/>
            <w:vAlign w:val="center"/>
          </w:tcPr>
          <w:p w14:paraId="5AAA5DDE">
            <w:pPr>
              <w:pStyle w:val="179"/>
              <w:rPr>
                <w:rFonts w:cs="Times New Roman"/>
                <w:kern w:val="0"/>
              </w:rPr>
            </w:pPr>
            <w:r>
              <w:rPr>
                <w:rFonts w:cs="Times New Roman"/>
                <w:kern w:val="0"/>
              </w:rPr>
              <w:t>监测计划</w:t>
            </w:r>
          </w:p>
        </w:tc>
        <w:tc>
          <w:tcPr>
            <w:tcW w:w="2614" w:type="dxa"/>
            <w:gridSpan w:val="2"/>
            <w:noWrap/>
            <w:vAlign w:val="center"/>
          </w:tcPr>
          <w:p w14:paraId="37CD61BC">
            <w:pPr>
              <w:pStyle w:val="179"/>
              <w:rPr>
                <w:rFonts w:cs="Times New Roman"/>
                <w:kern w:val="0"/>
              </w:rPr>
            </w:pPr>
          </w:p>
        </w:tc>
        <w:tc>
          <w:tcPr>
            <w:tcW w:w="3771" w:type="dxa"/>
            <w:gridSpan w:val="5"/>
            <w:noWrap/>
            <w:vAlign w:val="center"/>
          </w:tcPr>
          <w:p w14:paraId="4F9324CE">
            <w:pPr>
              <w:pStyle w:val="179"/>
              <w:rPr>
                <w:rFonts w:cs="Times New Roman"/>
                <w:kern w:val="0"/>
              </w:rPr>
            </w:pPr>
            <w:r>
              <w:rPr>
                <w:rFonts w:cs="Times New Roman"/>
                <w:kern w:val="0"/>
              </w:rPr>
              <w:t>环境质量</w:t>
            </w:r>
          </w:p>
        </w:tc>
        <w:tc>
          <w:tcPr>
            <w:tcW w:w="4461" w:type="dxa"/>
            <w:gridSpan w:val="5"/>
            <w:noWrap/>
            <w:vAlign w:val="center"/>
          </w:tcPr>
          <w:p w14:paraId="57F3A82F">
            <w:pPr>
              <w:pStyle w:val="179"/>
              <w:rPr>
                <w:rFonts w:cs="Times New Roman"/>
                <w:kern w:val="0"/>
              </w:rPr>
            </w:pPr>
            <w:r>
              <w:rPr>
                <w:rFonts w:cs="Times New Roman"/>
                <w:kern w:val="0"/>
              </w:rPr>
              <w:t>污染源</w:t>
            </w:r>
          </w:p>
        </w:tc>
      </w:tr>
      <w:tr w14:paraId="36B2378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936" w:type="dxa"/>
            <w:vMerge w:val="continue"/>
            <w:noWrap/>
            <w:vAlign w:val="center"/>
          </w:tcPr>
          <w:p w14:paraId="0064DFC9">
            <w:pPr>
              <w:pStyle w:val="179"/>
              <w:rPr>
                <w:rFonts w:cs="Times New Roman"/>
                <w:kern w:val="0"/>
              </w:rPr>
            </w:pPr>
          </w:p>
        </w:tc>
        <w:tc>
          <w:tcPr>
            <w:tcW w:w="3004" w:type="dxa"/>
            <w:vMerge w:val="continue"/>
            <w:noWrap/>
            <w:vAlign w:val="center"/>
          </w:tcPr>
          <w:p w14:paraId="2352C8CF">
            <w:pPr>
              <w:pStyle w:val="179"/>
              <w:rPr>
                <w:rFonts w:cs="Times New Roman"/>
                <w:kern w:val="0"/>
              </w:rPr>
            </w:pPr>
          </w:p>
        </w:tc>
        <w:tc>
          <w:tcPr>
            <w:tcW w:w="2614" w:type="dxa"/>
            <w:gridSpan w:val="2"/>
            <w:noWrap/>
            <w:vAlign w:val="center"/>
          </w:tcPr>
          <w:p w14:paraId="6FED9DB2">
            <w:pPr>
              <w:pStyle w:val="179"/>
              <w:rPr>
                <w:rFonts w:cs="Times New Roman"/>
                <w:kern w:val="0"/>
              </w:rPr>
            </w:pPr>
            <w:r>
              <w:rPr>
                <w:rFonts w:cs="Times New Roman"/>
                <w:kern w:val="0"/>
              </w:rPr>
              <w:t>监测方式</w:t>
            </w:r>
          </w:p>
        </w:tc>
        <w:tc>
          <w:tcPr>
            <w:tcW w:w="3771" w:type="dxa"/>
            <w:gridSpan w:val="5"/>
            <w:noWrap/>
            <w:vAlign w:val="center"/>
          </w:tcPr>
          <w:p w14:paraId="1414566F">
            <w:pPr>
              <w:pStyle w:val="179"/>
              <w:rPr>
                <w:rFonts w:cs="Times New Roman"/>
                <w:b/>
                <w:bCs w:val="0"/>
                <w:kern w:val="0"/>
              </w:rPr>
            </w:pPr>
            <w:r>
              <w:rPr>
                <w:rFonts w:cs="Times New Roman"/>
                <w:kern w:val="0"/>
              </w:rPr>
              <w:t xml:space="preserve">手动□；自动 □；无监测 </w:t>
            </w:r>
            <w:r>
              <w:rPr>
                <w:rFonts w:hint="eastAsia" w:ascii="MS Mincho" w:hAnsi="MS Mincho" w:eastAsia="MS Mincho" w:cs="MS Mincho"/>
                <w:kern w:val="0"/>
              </w:rPr>
              <w:t>☑</w:t>
            </w:r>
          </w:p>
        </w:tc>
        <w:tc>
          <w:tcPr>
            <w:tcW w:w="4461" w:type="dxa"/>
            <w:gridSpan w:val="5"/>
            <w:noWrap/>
            <w:vAlign w:val="center"/>
          </w:tcPr>
          <w:p w14:paraId="18EE308E">
            <w:pPr>
              <w:pStyle w:val="179"/>
              <w:rPr>
                <w:rFonts w:cs="Times New Roman"/>
                <w:kern w:val="0"/>
              </w:rPr>
            </w:pPr>
            <w:r>
              <w:rPr>
                <w:rFonts w:cs="Times New Roman"/>
                <w:kern w:val="0"/>
              </w:rPr>
              <w:t>手动□；自动□；无监测</w:t>
            </w:r>
            <w:r>
              <w:rPr>
                <w:rFonts w:hint="eastAsia" w:ascii="MS Mincho" w:hAnsi="MS Mincho" w:eastAsia="MS Mincho" w:cs="MS Mincho"/>
                <w:kern w:val="0"/>
              </w:rPr>
              <w:t>☑</w:t>
            </w:r>
          </w:p>
        </w:tc>
      </w:tr>
      <w:tr w14:paraId="0722725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936" w:type="dxa"/>
            <w:vMerge w:val="continue"/>
            <w:noWrap/>
            <w:vAlign w:val="center"/>
          </w:tcPr>
          <w:p w14:paraId="750CA449">
            <w:pPr>
              <w:pStyle w:val="179"/>
              <w:rPr>
                <w:rFonts w:cs="Times New Roman"/>
                <w:kern w:val="0"/>
              </w:rPr>
            </w:pPr>
          </w:p>
        </w:tc>
        <w:tc>
          <w:tcPr>
            <w:tcW w:w="3004" w:type="dxa"/>
            <w:vMerge w:val="continue"/>
            <w:noWrap/>
            <w:vAlign w:val="center"/>
          </w:tcPr>
          <w:p w14:paraId="3AE49AD7">
            <w:pPr>
              <w:pStyle w:val="179"/>
              <w:rPr>
                <w:rFonts w:cs="Times New Roman"/>
                <w:kern w:val="0"/>
              </w:rPr>
            </w:pPr>
          </w:p>
        </w:tc>
        <w:tc>
          <w:tcPr>
            <w:tcW w:w="2614" w:type="dxa"/>
            <w:gridSpan w:val="2"/>
            <w:noWrap/>
            <w:vAlign w:val="center"/>
          </w:tcPr>
          <w:p w14:paraId="1B69A3C7">
            <w:pPr>
              <w:pStyle w:val="179"/>
              <w:rPr>
                <w:rFonts w:cs="Times New Roman"/>
                <w:kern w:val="0"/>
              </w:rPr>
            </w:pPr>
            <w:r>
              <w:rPr>
                <w:rFonts w:cs="Times New Roman"/>
                <w:kern w:val="0"/>
              </w:rPr>
              <w:t>监测点位</w:t>
            </w:r>
          </w:p>
        </w:tc>
        <w:tc>
          <w:tcPr>
            <w:tcW w:w="3771" w:type="dxa"/>
            <w:gridSpan w:val="5"/>
            <w:noWrap/>
            <w:vAlign w:val="center"/>
          </w:tcPr>
          <w:p w14:paraId="52E2A931">
            <w:pPr>
              <w:pStyle w:val="179"/>
              <w:rPr>
                <w:rFonts w:cs="Times New Roman"/>
                <w:kern w:val="0"/>
              </w:rPr>
            </w:pPr>
            <w:r>
              <w:rPr>
                <w:rFonts w:cs="Times New Roman"/>
                <w:kern w:val="0"/>
              </w:rPr>
              <w:t>（）</w:t>
            </w:r>
          </w:p>
        </w:tc>
        <w:tc>
          <w:tcPr>
            <w:tcW w:w="4461" w:type="dxa"/>
            <w:gridSpan w:val="5"/>
            <w:noWrap/>
            <w:vAlign w:val="center"/>
          </w:tcPr>
          <w:p w14:paraId="3D1E0DFF">
            <w:pPr>
              <w:pStyle w:val="179"/>
              <w:rPr>
                <w:rFonts w:cs="Times New Roman"/>
                <w:kern w:val="0"/>
              </w:rPr>
            </w:pPr>
            <w:r>
              <w:rPr>
                <w:rFonts w:cs="Times New Roman"/>
                <w:kern w:val="0"/>
              </w:rPr>
              <w:t>（）</w:t>
            </w:r>
          </w:p>
        </w:tc>
      </w:tr>
      <w:tr w14:paraId="420515A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936" w:type="dxa"/>
            <w:vMerge w:val="continue"/>
            <w:noWrap/>
            <w:vAlign w:val="center"/>
          </w:tcPr>
          <w:p w14:paraId="59FE263B">
            <w:pPr>
              <w:pStyle w:val="179"/>
              <w:rPr>
                <w:rFonts w:cs="Times New Roman"/>
                <w:kern w:val="0"/>
              </w:rPr>
            </w:pPr>
          </w:p>
        </w:tc>
        <w:tc>
          <w:tcPr>
            <w:tcW w:w="3004" w:type="dxa"/>
            <w:vMerge w:val="continue"/>
            <w:noWrap/>
            <w:vAlign w:val="center"/>
          </w:tcPr>
          <w:p w14:paraId="2824126C">
            <w:pPr>
              <w:pStyle w:val="179"/>
              <w:rPr>
                <w:rFonts w:cs="Times New Roman"/>
                <w:kern w:val="0"/>
              </w:rPr>
            </w:pPr>
          </w:p>
        </w:tc>
        <w:tc>
          <w:tcPr>
            <w:tcW w:w="2614" w:type="dxa"/>
            <w:gridSpan w:val="2"/>
            <w:noWrap/>
            <w:vAlign w:val="center"/>
          </w:tcPr>
          <w:p w14:paraId="1283ADAF">
            <w:pPr>
              <w:pStyle w:val="179"/>
              <w:rPr>
                <w:rFonts w:cs="Times New Roman"/>
                <w:kern w:val="0"/>
              </w:rPr>
            </w:pPr>
            <w:r>
              <w:rPr>
                <w:rFonts w:cs="Times New Roman"/>
                <w:kern w:val="0"/>
              </w:rPr>
              <w:t>监测因子</w:t>
            </w:r>
          </w:p>
        </w:tc>
        <w:tc>
          <w:tcPr>
            <w:tcW w:w="3771" w:type="dxa"/>
            <w:gridSpan w:val="5"/>
            <w:noWrap/>
          </w:tcPr>
          <w:p w14:paraId="630BFB85">
            <w:pPr>
              <w:pStyle w:val="179"/>
              <w:rPr>
                <w:rFonts w:cs="Times New Roman"/>
                <w:kern w:val="0"/>
              </w:rPr>
            </w:pPr>
            <w:r>
              <w:rPr>
                <w:rFonts w:cs="Times New Roman"/>
                <w:kern w:val="0"/>
              </w:rPr>
              <w:t>（）</w:t>
            </w:r>
          </w:p>
        </w:tc>
        <w:tc>
          <w:tcPr>
            <w:tcW w:w="4461" w:type="dxa"/>
            <w:gridSpan w:val="5"/>
            <w:noWrap/>
          </w:tcPr>
          <w:p w14:paraId="482D1D82">
            <w:pPr>
              <w:pStyle w:val="179"/>
              <w:rPr>
                <w:rFonts w:cs="Times New Roman"/>
                <w:kern w:val="0"/>
              </w:rPr>
            </w:pPr>
            <w:r>
              <w:rPr>
                <w:rFonts w:cs="Times New Roman"/>
                <w:kern w:val="0"/>
              </w:rPr>
              <w:t>（）</w:t>
            </w:r>
          </w:p>
        </w:tc>
      </w:tr>
      <w:tr w14:paraId="73DA848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936" w:type="dxa"/>
            <w:vMerge w:val="continue"/>
            <w:noWrap/>
            <w:vAlign w:val="center"/>
          </w:tcPr>
          <w:p w14:paraId="7DEC6B1C">
            <w:pPr>
              <w:pStyle w:val="179"/>
              <w:rPr>
                <w:rFonts w:cs="Times New Roman"/>
                <w:kern w:val="0"/>
              </w:rPr>
            </w:pPr>
          </w:p>
        </w:tc>
        <w:tc>
          <w:tcPr>
            <w:tcW w:w="3004" w:type="dxa"/>
            <w:noWrap/>
            <w:vAlign w:val="center"/>
          </w:tcPr>
          <w:p w14:paraId="7F311E45">
            <w:pPr>
              <w:pStyle w:val="179"/>
              <w:rPr>
                <w:rFonts w:cs="Times New Roman"/>
                <w:kern w:val="0"/>
              </w:rPr>
            </w:pPr>
            <w:r>
              <w:rPr>
                <w:rFonts w:cs="Times New Roman"/>
                <w:kern w:val="0"/>
              </w:rPr>
              <w:t>污染物排放清单</w:t>
            </w:r>
          </w:p>
        </w:tc>
        <w:tc>
          <w:tcPr>
            <w:tcW w:w="10846" w:type="dxa"/>
            <w:gridSpan w:val="12"/>
            <w:noWrap/>
            <w:vAlign w:val="center"/>
          </w:tcPr>
          <w:p w14:paraId="568FD6F4">
            <w:pPr>
              <w:pStyle w:val="179"/>
              <w:rPr>
                <w:rFonts w:cs="Times New Roman"/>
                <w:szCs w:val="21"/>
              </w:rPr>
            </w:pPr>
            <w:r>
              <w:rPr>
                <w:rFonts w:cs="Times New Roman"/>
                <w:kern w:val="0"/>
              </w:rPr>
              <w:t>√</w:t>
            </w:r>
          </w:p>
        </w:tc>
      </w:tr>
      <w:tr w14:paraId="0FFD800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940" w:type="dxa"/>
            <w:gridSpan w:val="2"/>
            <w:noWrap/>
            <w:vAlign w:val="center"/>
          </w:tcPr>
          <w:p w14:paraId="55ADD462">
            <w:pPr>
              <w:pStyle w:val="179"/>
              <w:rPr>
                <w:rFonts w:cs="Times New Roman"/>
                <w:kern w:val="0"/>
              </w:rPr>
            </w:pPr>
            <w:r>
              <w:rPr>
                <w:rFonts w:cs="Times New Roman"/>
                <w:kern w:val="0"/>
              </w:rPr>
              <w:t>评价结论</w:t>
            </w:r>
          </w:p>
        </w:tc>
        <w:tc>
          <w:tcPr>
            <w:tcW w:w="10846" w:type="dxa"/>
            <w:gridSpan w:val="12"/>
            <w:noWrap/>
            <w:vAlign w:val="center"/>
          </w:tcPr>
          <w:p w14:paraId="770D6E32">
            <w:pPr>
              <w:pStyle w:val="179"/>
              <w:rPr>
                <w:rFonts w:cs="Times New Roman"/>
                <w:kern w:val="0"/>
              </w:rPr>
            </w:pPr>
            <w:r>
              <w:rPr>
                <w:rFonts w:cs="Times New Roman"/>
                <w:kern w:val="0"/>
              </w:rPr>
              <w:t>可以接受</w:t>
            </w:r>
            <w:r>
              <w:rPr>
                <w:rFonts w:hint="eastAsia" w:ascii="MS Mincho" w:hAnsi="MS Mincho" w:eastAsia="MS Mincho" w:cs="MS Mincho"/>
                <w:kern w:val="0"/>
              </w:rPr>
              <w:t>☑</w:t>
            </w:r>
            <w:r>
              <w:rPr>
                <w:rFonts w:cs="Times New Roman"/>
              </w:rPr>
              <w:t>；</w:t>
            </w:r>
            <w:r>
              <w:rPr>
                <w:rFonts w:cs="Times New Roman"/>
                <w:kern w:val="0"/>
              </w:rPr>
              <w:t>不可以接受 □</w:t>
            </w:r>
          </w:p>
        </w:tc>
      </w:tr>
      <w:tr w14:paraId="02C1996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14786" w:type="dxa"/>
            <w:gridSpan w:val="14"/>
            <w:noWrap/>
            <w:vAlign w:val="center"/>
          </w:tcPr>
          <w:p w14:paraId="1883A94C">
            <w:pPr>
              <w:pStyle w:val="179"/>
              <w:rPr>
                <w:rFonts w:cs="Times New Roman"/>
                <w:kern w:val="0"/>
              </w:rPr>
            </w:pPr>
            <w:r>
              <w:rPr>
                <w:rFonts w:cs="Times New Roman"/>
                <w:kern w:val="0"/>
              </w:rPr>
              <w:t>注：“□”为勾选项，可打√；“（   ）”为内容填写项；“备注”为其他补充内容。</w:t>
            </w:r>
          </w:p>
        </w:tc>
      </w:tr>
    </w:tbl>
    <w:p w14:paraId="49B2E192">
      <w:pPr>
        <w:spacing w:line="520" w:lineRule="exact"/>
        <w:ind w:firstLine="480"/>
        <w:rPr>
          <w:rFonts w:hAnsi="Times New Roman" w:cs="Times New Roman"/>
        </w:rPr>
        <w:sectPr>
          <w:pgSz w:w="16838" w:h="11906" w:orient="landscape"/>
          <w:pgMar w:top="1440" w:right="1797" w:bottom="1440" w:left="1797" w:header="851" w:footer="992" w:gutter="0"/>
          <w:cols w:space="0" w:num="1"/>
          <w:docGrid w:linePitch="332" w:charSpace="0"/>
        </w:sectPr>
      </w:pPr>
    </w:p>
    <w:p w14:paraId="1AB4FE83">
      <w:pPr>
        <w:pStyle w:val="3"/>
        <w:numPr>
          <w:ilvl w:val="0"/>
          <w:numId w:val="0"/>
        </w:numPr>
        <w:spacing w:before="180" w:after="120" w:line="240" w:lineRule="auto"/>
        <w:ind w:left="142"/>
        <w:jc w:val="center"/>
        <w:rPr>
          <w:rFonts w:cs="Times New Roman"/>
          <w:sz w:val="24"/>
        </w:rPr>
      </w:pPr>
      <w:bookmarkStart w:id="872" w:name="_Toc6392"/>
      <w:bookmarkStart w:id="873" w:name="_Toc234927738"/>
      <w:r>
        <w:rPr>
          <w:rFonts w:cs="Times New Roman"/>
          <w:sz w:val="24"/>
        </w:rPr>
        <w:t>附表5 声环境影响评价自查表</w:t>
      </w:r>
      <w:bookmarkEnd w:id="872"/>
      <w:bookmarkEnd w:id="873"/>
    </w:p>
    <w:tbl>
      <w:tblPr>
        <w:tblStyle w:val="36"/>
        <w:tblW w:w="8528"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
      <w:tblGrid>
        <w:gridCol w:w="959"/>
        <w:gridCol w:w="1417"/>
        <w:gridCol w:w="1266"/>
        <w:gridCol w:w="491"/>
        <w:gridCol w:w="486"/>
        <w:gridCol w:w="633"/>
        <w:gridCol w:w="102"/>
        <w:gridCol w:w="246"/>
        <w:gridCol w:w="977"/>
        <w:gridCol w:w="491"/>
        <w:gridCol w:w="273"/>
        <w:gridCol w:w="213"/>
        <w:gridCol w:w="974"/>
      </w:tblGrid>
      <w:tr w14:paraId="3083114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1393" w:type="pct"/>
            <w:gridSpan w:val="2"/>
            <w:noWrap/>
            <w:vAlign w:val="center"/>
          </w:tcPr>
          <w:p w14:paraId="2FD529EE">
            <w:pPr>
              <w:pStyle w:val="179"/>
              <w:rPr>
                <w:rFonts w:ascii="宋体" w:hAnsi="宋体" w:cs="Times New Roman"/>
                <w:b/>
              </w:rPr>
            </w:pPr>
            <w:r>
              <w:rPr>
                <w:rFonts w:ascii="宋体" w:hAnsi="宋体" w:cs="Times New Roman"/>
                <w:b/>
              </w:rPr>
              <w:t>工作内容</w:t>
            </w:r>
          </w:p>
        </w:tc>
        <w:tc>
          <w:tcPr>
            <w:tcW w:w="3607" w:type="pct"/>
            <w:gridSpan w:val="11"/>
            <w:noWrap/>
            <w:vAlign w:val="center"/>
          </w:tcPr>
          <w:p w14:paraId="4082614A">
            <w:pPr>
              <w:pStyle w:val="179"/>
              <w:rPr>
                <w:rFonts w:ascii="宋体" w:hAnsi="宋体" w:cs="Times New Roman"/>
                <w:b/>
              </w:rPr>
            </w:pPr>
            <w:r>
              <w:rPr>
                <w:rFonts w:ascii="宋体" w:hAnsi="宋体" w:cs="Times New Roman"/>
                <w:b/>
              </w:rPr>
              <w:t>自查项目</w:t>
            </w:r>
          </w:p>
        </w:tc>
      </w:tr>
      <w:tr w14:paraId="556F0F5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562" w:type="pct"/>
            <w:vMerge w:val="restart"/>
            <w:noWrap/>
            <w:vAlign w:val="center"/>
          </w:tcPr>
          <w:p w14:paraId="4E3D6502">
            <w:pPr>
              <w:pStyle w:val="179"/>
              <w:rPr>
                <w:rFonts w:ascii="宋体" w:hAnsi="宋体" w:cs="Times New Roman"/>
              </w:rPr>
            </w:pPr>
            <w:r>
              <w:rPr>
                <w:rFonts w:ascii="宋体" w:hAnsi="宋体" w:cs="Times New Roman"/>
              </w:rPr>
              <w:t>评价等级与范围</w:t>
            </w:r>
          </w:p>
        </w:tc>
        <w:tc>
          <w:tcPr>
            <w:tcW w:w="831" w:type="pct"/>
            <w:noWrap/>
            <w:vAlign w:val="center"/>
          </w:tcPr>
          <w:p w14:paraId="4296E37C">
            <w:pPr>
              <w:pStyle w:val="179"/>
              <w:rPr>
                <w:rFonts w:ascii="宋体" w:hAnsi="宋体" w:cs="Times New Roman"/>
              </w:rPr>
            </w:pPr>
            <w:r>
              <w:rPr>
                <w:rFonts w:ascii="宋体" w:hAnsi="宋体" w:cs="Times New Roman"/>
              </w:rPr>
              <w:t>评价等级</w:t>
            </w:r>
          </w:p>
        </w:tc>
        <w:tc>
          <w:tcPr>
            <w:tcW w:w="3607" w:type="pct"/>
            <w:gridSpan w:val="11"/>
            <w:noWrap/>
            <w:vAlign w:val="center"/>
          </w:tcPr>
          <w:p w14:paraId="30D9ED51">
            <w:pPr>
              <w:pStyle w:val="179"/>
              <w:rPr>
                <w:rFonts w:ascii="宋体" w:hAnsi="宋体" w:cs="Times New Roman"/>
              </w:rPr>
            </w:pPr>
            <w:r>
              <w:rPr>
                <w:rFonts w:ascii="宋体" w:hAnsi="宋体" w:cs="Times New Roman"/>
              </w:rPr>
              <w:t>一级□ 二级</w:t>
            </w:r>
            <w:r>
              <w:rPr>
                <w:rFonts w:hint="eastAsia" w:ascii="宋体" w:hAnsi="MS Mincho" w:eastAsia="MS Mincho" w:cs="MS Mincho"/>
              </w:rPr>
              <w:t>☑</w:t>
            </w:r>
            <w:r>
              <w:rPr>
                <w:rFonts w:ascii="宋体" w:hAnsi="宋体" w:cs="Times New Roman"/>
              </w:rPr>
              <w:t xml:space="preserve"> 三级□</w:t>
            </w:r>
          </w:p>
        </w:tc>
      </w:tr>
      <w:tr w14:paraId="1031F72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562" w:type="pct"/>
            <w:vMerge w:val="continue"/>
            <w:noWrap/>
            <w:vAlign w:val="center"/>
          </w:tcPr>
          <w:p w14:paraId="55F186B7">
            <w:pPr>
              <w:pStyle w:val="179"/>
              <w:rPr>
                <w:rFonts w:ascii="宋体" w:hAnsi="宋体" w:cs="Times New Roman"/>
              </w:rPr>
            </w:pPr>
          </w:p>
        </w:tc>
        <w:tc>
          <w:tcPr>
            <w:tcW w:w="831" w:type="pct"/>
            <w:noWrap/>
            <w:vAlign w:val="center"/>
          </w:tcPr>
          <w:p w14:paraId="0AFF54B1">
            <w:pPr>
              <w:pStyle w:val="179"/>
              <w:rPr>
                <w:rFonts w:ascii="宋体" w:hAnsi="宋体" w:cs="Times New Roman"/>
              </w:rPr>
            </w:pPr>
            <w:r>
              <w:rPr>
                <w:rFonts w:ascii="宋体" w:hAnsi="宋体" w:cs="Times New Roman"/>
              </w:rPr>
              <w:t>评价范围</w:t>
            </w:r>
          </w:p>
        </w:tc>
        <w:tc>
          <w:tcPr>
            <w:tcW w:w="3607" w:type="pct"/>
            <w:gridSpan w:val="11"/>
            <w:noWrap/>
            <w:vAlign w:val="center"/>
          </w:tcPr>
          <w:p w14:paraId="28463833">
            <w:pPr>
              <w:pStyle w:val="179"/>
              <w:rPr>
                <w:rFonts w:ascii="宋体" w:hAnsi="宋体" w:cs="Times New Roman"/>
              </w:rPr>
            </w:pPr>
            <w:r>
              <w:rPr>
                <w:rFonts w:ascii="宋体" w:hAnsi="宋体" w:cs="Times New Roman"/>
              </w:rPr>
              <w:t>等效连续A声级</w:t>
            </w:r>
            <w:r>
              <w:rPr>
                <w:rFonts w:hint="eastAsia" w:ascii="宋体" w:hAnsi="MS Mincho" w:eastAsia="MS Mincho" w:cs="MS Mincho"/>
              </w:rPr>
              <w:t>☑</w:t>
            </w:r>
            <w:r>
              <w:rPr>
                <w:rFonts w:ascii="宋体" w:hAnsi="宋体" w:cs="Times New Roman"/>
              </w:rPr>
              <w:t xml:space="preserve">  最大A声级□  计权等效连续感觉噪声级□</w:t>
            </w:r>
          </w:p>
        </w:tc>
      </w:tr>
      <w:tr w14:paraId="715355B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562" w:type="pct"/>
            <w:noWrap/>
            <w:vAlign w:val="center"/>
          </w:tcPr>
          <w:p w14:paraId="15045EFD">
            <w:pPr>
              <w:pStyle w:val="179"/>
              <w:rPr>
                <w:rFonts w:ascii="宋体" w:hAnsi="宋体" w:cs="Times New Roman"/>
              </w:rPr>
            </w:pPr>
            <w:r>
              <w:rPr>
                <w:rFonts w:ascii="宋体" w:hAnsi="宋体" w:cs="Times New Roman"/>
              </w:rPr>
              <w:t>评价因子</w:t>
            </w:r>
          </w:p>
        </w:tc>
        <w:tc>
          <w:tcPr>
            <w:tcW w:w="831" w:type="pct"/>
            <w:noWrap/>
            <w:vAlign w:val="center"/>
          </w:tcPr>
          <w:p w14:paraId="67159267">
            <w:pPr>
              <w:pStyle w:val="179"/>
              <w:rPr>
                <w:rFonts w:ascii="宋体" w:hAnsi="宋体" w:cs="Times New Roman"/>
              </w:rPr>
            </w:pPr>
            <w:r>
              <w:rPr>
                <w:rFonts w:ascii="宋体" w:hAnsi="宋体" w:cs="Times New Roman"/>
              </w:rPr>
              <w:t>评价因子</w:t>
            </w:r>
          </w:p>
        </w:tc>
        <w:tc>
          <w:tcPr>
            <w:tcW w:w="3607" w:type="pct"/>
            <w:gridSpan w:val="11"/>
            <w:noWrap/>
            <w:vAlign w:val="center"/>
          </w:tcPr>
          <w:p w14:paraId="5D53D2A8">
            <w:pPr>
              <w:pStyle w:val="179"/>
              <w:rPr>
                <w:rFonts w:ascii="宋体" w:hAnsi="宋体" w:cs="Times New Roman"/>
              </w:rPr>
            </w:pPr>
            <w:r>
              <w:rPr>
                <w:rFonts w:ascii="宋体" w:hAnsi="宋体" w:cs="Times New Roman"/>
              </w:rPr>
              <w:t>国家标准</w:t>
            </w:r>
            <w:r>
              <w:rPr>
                <w:rFonts w:hint="eastAsia" w:ascii="宋体" w:hAnsi="MS Mincho" w:eastAsia="MS Mincho" w:cs="MS Mincho"/>
              </w:rPr>
              <w:t>☑</w:t>
            </w:r>
            <w:r>
              <w:rPr>
                <w:rFonts w:ascii="宋体" w:hAnsi="宋体" w:cs="Times New Roman"/>
              </w:rPr>
              <w:t xml:space="preserve">  地方标准□  国外标准□</w:t>
            </w:r>
          </w:p>
        </w:tc>
      </w:tr>
      <w:tr w14:paraId="3FBE84B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562" w:type="pct"/>
            <w:vMerge w:val="restart"/>
            <w:noWrap/>
            <w:vAlign w:val="center"/>
          </w:tcPr>
          <w:p w14:paraId="1CD2387C">
            <w:pPr>
              <w:pStyle w:val="179"/>
              <w:rPr>
                <w:rFonts w:ascii="宋体" w:hAnsi="宋体" w:cs="Times New Roman"/>
              </w:rPr>
            </w:pPr>
            <w:r>
              <w:rPr>
                <w:rFonts w:ascii="宋体" w:hAnsi="宋体" w:cs="Times New Roman"/>
              </w:rPr>
              <w:t>现状评价</w:t>
            </w:r>
          </w:p>
        </w:tc>
        <w:tc>
          <w:tcPr>
            <w:tcW w:w="831" w:type="pct"/>
            <w:noWrap/>
            <w:vAlign w:val="center"/>
          </w:tcPr>
          <w:p w14:paraId="07BD922F">
            <w:pPr>
              <w:pStyle w:val="179"/>
              <w:rPr>
                <w:rFonts w:ascii="宋体" w:hAnsi="宋体" w:cs="Times New Roman"/>
              </w:rPr>
            </w:pPr>
            <w:r>
              <w:rPr>
                <w:rFonts w:ascii="宋体" w:hAnsi="宋体" w:cs="Times New Roman"/>
              </w:rPr>
              <w:t>环境功能区</w:t>
            </w:r>
          </w:p>
        </w:tc>
        <w:tc>
          <w:tcPr>
            <w:tcW w:w="742" w:type="pct"/>
            <w:noWrap/>
            <w:vAlign w:val="center"/>
          </w:tcPr>
          <w:p w14:paraId="0655A08E">
            <w:pPr>
              <w:pStyle w:val="179"/>
              <w:rPr>
                <w:rFonts w:ascii="宋体" w:hAnsi="宋体" w:cs="Times New Roman"/>
              </w:rPr>
            </w:pPr>
            <w:r>
              <w:rPr>
                <w:rFonts w:ascii="宋体" w:hAnsi="宋体" w:cs="Times New Roman"/>
              </w:rPr>
              <w:t>0类区□</w:t>
            </w:r>
          </w:p>
        </w:tc>
        <w:tc>
          <w:tcPr>
            <w:tcW w:w="573" w:type="pct"/>
            <w:gridSpan w:val="2"/>
            <w:noWrap/>
            <w:vAlign w:val="center"/>
          </w:tcPr>
          <w:p w14:paraId="0C32D5EB">
            <w:pPr>
              <w:pStyle w:val="179"/>
              <w:rPr>
                <w:rFonts w:ascii="宋体" w:hAnsi="宋体" w:cs="Times New Roman"/>
              </w:rPr>
            </w:pPr>
            <w:r>
              <w:rPr>
                <w:rFonts w:ascii="宋体" w:hAnsi="宋体" w:cs="Times New Roman"/>
              </w:rPr>
              <w:t>1类区</w:t>
            </w:r>
            <w:r>
              <w:rPr>
                <w:rFonts w:hint="eastAsia" w:ascii="宋体" w:hAnsi="MS Mincho" w:eastAsia="MS Mincho" w:cs="MS Mincho"/>
              </w:rPr>
              <w:t>☑</w:t>
            </w:r>
          </w:p>
        </w:tc>
        <w:tc>
          <w:tcPr>
            <w:tcW w:w="575" w:type="pct"/>
            <w:gridSpan w:val="3"/>
            <w:noWrap/>
            <w:vAlign w:val="center"/>
          </w:tcPr>
          <w:p w14:paraId="46A1D840">
            <w:pPr>
              <w:pStyle w:val="179"/>
              <w:rPr>
                <w:rFonts w:ascii="宋体" w:hAnsi="宋体" w:cs="Times New Roman"/>
              </w:rPr>
            </w:pPr>
            <w:r>
              <w:rPr>
                <w:rFonts w:ascii="宋体" w:hAnsi="宋体" w:cs="Times New Roman"/>
              </w:rPr>
              <w:t>2类区</w:t>
            </w:r>
            <w:r>
              <w:rPr>
                <w:rFonts w:ascii="宋体" w:hAnsi="宋体" w:cs="Times New Roman"/>
                <w:kern w:val="0"/>
              </w:rPr>
              <w:t>□</w:t>
            </w:r>
          </w:p>
        </w:tc>
        <w:tc>
          <w:tcPr>
            <w:tcW w:w="573" w:type="pct"/>
            <w:noWrap/>
            <w:vAlign w:val="center"/>
          </w:tcPr>
          <w:p w14:paraId="5E3E4598">
            <w:pPr>
              <w:pStyle w:val="179"/>
              <w:rPr>
                <w:rFonts w:ascii="宋体" w:hAnsi="宋体" w:cs="Times New Roman"/>
              </w:rPr>
            </w:pPr>
            <w:r>
              <w:rPr>
                <w:rFonts w:ascii="宋体" w:hAnsi="宋体" w:cs="Times New Roman"/>
              </w:rPr>
              <w:t>3类区□</w:t>
            </w:r>
          </w:p>
        </w:tc>
        <w:tc>
          <w:tcPr>
            <w:tcW w:w="573" w:type="pct"/>
            <w:gridSpan w:val="3"/>
            <w:noWrap/>
            <w:vAlign w:val="center"/>
          </w:tcPr>
          <w:p w14:paraId="7662F841">
            <w:pPr>
              <w:pStyle w:val="179"/>
              <w:rPr>
                <w:rFonts w:ascii="宋体" w:hAnsi="宋体" w:cs="Times New Roman"/>
              </w:rPr>
            </w:pPr>
            <w:r>
              <w:rPr>
                <w:rFonts w:ascii="宋体" w:hAnsi="宋体" w:cs="Times New Roman"/>
              </w:rPr>
              <w:t>4a类区□</w:t>
            </w:r>
          </w:p>
        </w:tc>
        <w:tc>
          <w:tcPr>
            <w:tcW w:w="572" w:type="pct"/>
            <w:noWrap/>
            <w:vAlign w:val="center"/>
          </w:tcPr>
          <w:p w14:paraId="51138E80">
            <w:pPr>
              <w:pStyle w:val="179"/>
              <w:rPr>
                <w:rFonts w:ascii="宋体" w:hAnsi="宋体" w:cs="Times New Roman"/>
              </w:rPr>
            </w:pPr>
            <w:r>
              <w:rPr>
                <w:rFonts w:ascii="宋体" w:hAnsi="宋体" w:cs="Times New Roman"/>
              </w:rPr>
              <w:t>4b类区□</w:t>
            </w:r>
          </w:p>
        </w:tc>
      </w:tr>
      <w:tr w14:paraId="4065655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562" w:type="pct"/>
            <w:vMerge w:val="continue"/>
            <w:noWrap/>
            <w:vAlign w:val="center"/>
          </w:tcPr>
          <w:p w14:paraId="6F6B43CF">
            <w:pPr>
              <w:pStyle w:val="179"/>
              <w:rPr>
                <w:rFonts w:ascii="宋体" w:hAnsi="宋体" w:cs="Times New Roman"/>
              </w:rPr>
            </w:pPr>
          </w:p>
        </w:tc>
        <w:tc>
          <w:tcPr>
            <w:tcW w:w="831" w:type="pct"/>
            <w:noWrap/>
            <w:vAlign w:val="center"/>
          </w:tcPr>
          <w:p w14:paraId="1A7D3488">
            <w:pPr>
              <w:pStyle w:val="179"/>
              <w:rPr>
                <w:rFonts w:ascii="宋体" w:hAnsi="宋体" w:cs="Times New Roman"/>
              </w:rPr>
            </w:pPr>
            <w:r>
              <w:rPr>
                <w:rFonts w:ascii="宋体" w:hAnsi="宋体" w:cs="Times New Roman"/>
              </w:rPr>
              <w:t>评价年度</w:t>
            </w:r>
          </w:p>
        </w:tc>
        <w:tc>
          <w:tcPr>
            <w:tcW w:w="1030" w:type="pct"/>
            <w:gridSpan w:val="2"/>
            <w:noWrap/>
            <w:vAlign w:val="center"/>
          </w:tcPr>
          <w:p w14:paraId="2E282316">
            <w:pPr>
              <w:pStyle w:val="179"/>
              <w:rPr>
                <w:rFonts w:ascii="宋体" w:hAnsi="宋体" w:cs="Times New Roman"/>
              </w:rPr>
            </w:pPr>
            <w:r>
              <w:rPr>
                <w:rFonts w:ascii="宋体" w:hAnsi="宋体" w:cs="Times New Roman"/>
              </w:rPr>
              <w:t>初期□</w:t>
            </w:r>
          </w:p>
        </w:tc>
        <w:tc>
          <w:tcPr>
            <w:tcW w:w="860" w:type="pct"/>
            <w:gridSpan w:val="4"/>
            <w:noWrap/>
            <w:vAlign w:val="center"/>
          </w:tcPr>
          <w:p w14:paraId="0B50F5A7">
            <w:pPr>
              <w:pStyle w:val="179"/>
              <w:rPr>
                <w:rFonts w:ascii="宋体" w:hAnsi="宋体" w:cs="Times New Roman"/>
              </w:rPr>
            </w:pPr>
            <w:r>
              <w:rPr>
                <w:rFonts w:ascii="宋体" w:hAnsi="宋体" w:cs="Times New Roman"/>
              </w:rPr>
              <w:t>近期</w:t>
            </w:r>
            <w:r>
              <w:rPr>
                <w:rFonts w:hint="eastAsia" w:ascii="宋体" w:hAnsi="MS Mincho" w:eastAsia="MS Mincho" w:cs="MS Mincho"/>
              </w:rPr>
              <w:t>☑</w:t>
            </w:r>
          </w:p>
        </w:tc>
        <w:tc>
          <w:tcPr>
            <w:tcW w:w="861" w:type="pct"/>
            <w:gridSpan w:val="2"/>
            <w:noWrap/>
            <w:vAlign w:val="center"/>
          </w:tcPr>
          <w:p w14:paraId="47380A59">
            <w:pPr>
              <w:pStyle w:val="179"/>
              <w:rPr>
                <w:rFonts w:ascii="宋体" w:hAnsi="宋体" w:cs="Times New Roman"/>
              </w:rPr>
            </w:pPr>
            <w:r>
              <w:rPr>
                <w:rFonts w:ascii="宋体" w:hAnsi="宋体" w:cs="Times New Roman"/>
              </w:rPr>
              <w:t>中期□</w:t>
            </w:r>
          </w:p>
        </w:tc>
        <w:tc>
          <w:tcPr>
            <w:tcW w:w="857" w:type="pct"/>
            <w:gridSpan w:val="3"/>
            <w:noWrap/>
            <w:vAlign w:val="center"/>
          </w:tcPr>
          <w:p w14:paraId="2161C808">
            <w:pPr>
              <w:pStyle w:val="179"/>
              <w:rPr>
                <w:rFonts w:ascii="宋体" w:hAnsi="宋体" w:cs="Times New Roman"/>
              </w:rPr>
            </w:pPr>
            <w:r>
              <w:rPr>
                <w:rFonts w:ascii="宋体" w:hAnsi="宋体" w:cs="Times New Roman"/>
              </w:rPr>
              <w:t>远期□</w:t>
            </w:r>
          </w:p>
        </w:tc>
      </w:tr>
      <w:tr w14:paraId="763A200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562" w:type="pct"/>
            <w:vMerge w:val="continue"/>
            <w:noWrap/>
            <w:vAlign w:val="center"/>
          </w:tcPr>
          <w:p w14:paraId="653354AB">
            <w:pPr>
              <w:pStyle w:val="179"/>
              <w:rPr>
                <w:rFonts w:ascii="宋体" w:hAnsi="宋体" w:cs="Times New Roman"/>
              </w:rPr>
            </w:pPr>
          </w:p>
        </w:tc>
        <w:tc>
          <w:tcPr>
            <w:tcW w:w="831" w:type="pct"/>
            <w:noWrap/>
            <w:vAlign w:val="center"/>
          </w:tcPr>
          <w:p w14:paraId="05102CAC">
            <w:pPr>
              <w:pStyle w:val="179"/>
              <w:rPr>
                <w:rFonts w:ascii="宋体" w:hAnsi="宋体" w:cs="Times New Roman"/>
              </w:rPr>
            </w:pPr>
            <w:r>
              <w:rPr>
                <w:rFonts w:ascii="宋体" w:hAnsi="宋体" w:cs="Times New Roman"/>
              </w:rPr>
              <w:t>现状调查</w:t>
            </w:r>
          </w:p>
          <w:p w14:paraId="5470AB35">
            <w:pPr>
              <w:pStyle w:val="179"/>
              <w:rPr>
                <w:rFonts w:ascii="宋体" w:hAnsi="宋体" w:cs="Times New Roman"/>
              </w:rPr>
            </w:pPr>
            <w:r>
              <w:rPr>
                <w:rFonts w:ascii="宋体" w:hAnsi="宋体" w:cs="Times New Roman"/>
              </w:rPr>
              <w:t>方法</w:t>
            </w:r>
          </w:p>
        </w:tc>
        <w:tc>
          <w:tcPr>
            <w:tcW w:w="3607" w:type="pct"/>
            <w:gridSpan w:val="11"/>
            <w:noWrap/>
            <w:vAlign w:val="center"/>
          </w:tcPr>
          <w:p w14:paraId="3408DF8A">
            <w:pPr>
              <w:pStyle w:val="179"/>
              <w:rPr>
                <w:rFonts w:ascii="宋体" w:hAnsi="宋体" w:cs="Times New Roman"/>
              </w:rPr>
            </w:pPr>
            <w:r>
              <w:rPr>
                <w:rFonts w:ascii="宋体" w:hAnsi="宋体" w:cs="Times New Roman"/>
              </w:rPr>
              <w:t>现场实测法</w:t>
            </w:r>
            <w:r>
              <w:rPr>
                <w:rFonts w:hint="eastAsia" w:ascii="宋体" w:hAnsi="MS Mincho" w:eastAsia="MS Mincho" w:cs="MS Mincho"/>
              </w:rPr>
              <w:t>☑</w:t>
            </w:r>
            <w:r>
              <w:rPr>
                <w:rFonts w:ascii="宋体" w:hAnsi="宋体" w:cs="Times New Roman"/>
              </w:rPr>
              <w:t xml:space="preserve">  现场实测加模型计算法□  收集资料□</w:t>
            </w:r>
          </w:p>
        </w:tc>
      </w:tr>
      <w:tr w14:paraId="060E40D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562" w:type="pct"/>
            <w:vMerge w:val="continue"/>
            <w:noWrap/>
            <w:vAlign w:val="center"/>
          </w:tcPr>
          <w:p w14:paraId="7EBE3D65">
            <w:pPr>
              <w:pStyle w:val="179"/>
              <w:rPr>
                <w:rFonts w:ascii="宋体" w:hAnsi="宋体" w:cs="Times New Roman"/>
              </w:rPr>
            </w:pPr>
          </w:p>
        </w:tc>
        <w:tc>
          <w:tcPr>
            <w:tcW w:w="831" w:type="pct"/>
            <w:noWrap/>
            <w:vAlign w:val="center"/>
          </w:tcPr>
          <w:p w14:paraId="3483BEEE">
            <w:pPr>
              <w:pStyle w:val="179"/>
              <w:rPr>
                <w:rFonts w:ascii="宋体" w:hAnsi="宋体" w:cs="Times New Roman"/>
              </w:rPr>
            </w:pPr>
            <w:r>
              <w:rPr>
                <w:rFonts w:ascii="宋体" w:hAnsi="宋体" w:cs="Times New Roman"/>
              </w:rPr>
              <w:t>现状评价</w:t>
            </w:r>
          </w:p>
        </w:tc>
        <w:tc>
          <w:tcPr>
            <w:tcW w:w="1686" w:type="pct"/>
            <w:gridSpan w:val="4"/>
            <w:noWrap/>
            <w:vAlign w:val="center"/>
          </w:tcPr>
          <w:p w14:paraId="6314CF3C">
            <w:pPr>
              <w:pStyle w:val="179"/>
              <w:rPr>
                <w:rFonts w:ascii="宋体" w:hAnsi="宋体" w:cs="Times New Roman"/>
              </w:rPr>
            </w:pPr>
            <w:r>
              <w:rPr>
                <w:rFonts w:ascii="宋体" w:hAnsi="宋体" w:cs="Times New Roman"/>
              </w:rPr>
              <w:t>达标百分比</w:t>
            </w:r>
          </w:p>
        </w:tc>
        <w:tc>
          <w:tcPr>
            <w:tcW w:w="1921" w:type="pct"/>
            <w:gridSpan w:val="7"/>
            <w:noWrap/>
            <w:vAlign w:val="center"/>
          </w:tcPr>
          <w:p w14:paraId="71255602">
            <w:pPr>
              <w:pStyle w:val="179"/>
              <w:rPr>
                <w:rFonts w:ascii="宋体" w:hAnsi="宋体" w:cs="Times New Roman"/>
              </w:rPr>
            </w:pPr>
            <w:r>
              <w:rPr>
                <w:rFonts w:ascii="宋体" w:hAnsi="宋体" w:cs="Times New Roman"/>
              </w:rPr>
              <w:t>100%</w:t>
            </w:r>
          </w:p>
        </w:tc>
      </w:tr>
      <w:tr w14:paraId="75653BC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562" w:type="pct"/>
            <w:noWrap/>
            <w:vAlign w:val="center"/>
          </w:tcPr>
          <w:p w14:paraId="7398E460">
            <w:pPr>
              <w:pStyle w:val="179"/>
              <w:rPr>
                <w:rFonts w:ascii="宋体" w:hAnsi="宋体" w:cs="Times New Roman"/>
              </w:rPr>
            </w:pPr>
            <w:r>
              <w:rPr>
                <w:rFonts w:ascii="宋体" w:hAnsi="宋体" w:cs="Times New Roman"/>
              </w:rPr>
              <w:t>噪声源调查</w:t>
            </w:r>
          </w:p>
        </w:tc>
        <w:tc>
          <w:tcPr>
            <w:tcW w:w="831" w:type="pct"/>
            <w:noWrap/>
            <w:vAlign w:val="center"/>
          </w:tcPr>
          <w:p w14:paraId="5A356F78">
            <w:pPr>
              <w:pStyle w:val="179"/>
              <w:rPr>
                <w:rFonts w:ascii="宋体" w:hAnsi="宋体" w:cs="Times New Roman"/>
              </w:rPr>
            </w:pPr>
            <w:r>
              <w:rPr>
                <w:rFonts w:ascii="宋体" w:hAnsi="宋体" w:cs="Times New Roman"/>
              </w:rPr>
              <w:t>噪声源调查方法</w:t>
            </w:r>
          </w:p>
        </w:tc>
        <w:tc>
          <w:tcPr>
            <w:tcW w:w="3607" w:type="pct"/>
            <w:gridSpan w:val="11"/>
            <w:noWrap/>
            <w:vAlign w:val="center"/>
          </w:tcPr>
          <w:p w14:paraId="4714A769">
            <w:pPr>
              <w:pStyle w:val="179"/>
              <w:rPr>
                <w:rFonts w:ascii="宋体" w:hAnsi="宋体" w:cs="Times New Roman"/>
              </w:rPr>
            </w:pPr>
            <w:r>
              <w:rPr>
                <w:rFonts w:ascii="宋体" w:hAnsi="宋体" w:cs="Times New Roman"/>
              </w:rPr>
              <w:t>现场实测□  已有资料</w:t>
            </w:r>
            <w:r>
              <w:rPr>
                <w:rFonts w:hint="eastAsia" w:ascii="宋体" w:hAnsi="MS Mincho" w:eastAsia="MS Mincho" w:cs="MS Mincho"/>
              </w:rPr>
              <w:t>☑</w:t>
            </w:r>
            <w:r>
              <w:rPr>
                <w:rFonts w:ascii="宋体" w:hAnsi="宋体" w:cs="Times New Roman"/>
              </w:rPr>
              <w:t xml:space="preserve">  研究成果□</w:t>
            </w:r>
          </w:p>
        </w:tc>
      </w:tr>
      <w:tr w14:paraId="2960CA9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562" w:type="pct"/>
            <w:vMerge w:val="restart"/>
            <w:noWrap/>
            <w:vAlign w:val="center"/>
          </w:tcPr>
          <w:p w14:paraId="074C1A6A">
            <w:pPr>
              <w:pStyle w:val="179"/>
              <w:rPr>
                <w:rFonts w:ascii="宋体" w:hAnsi="宋体" w:cs="Times New Roman"/>
              </w:rPr>
            </w:pPr>
            <w:r>
              <w:rPr>
                <w:rFonts w:ascii="宋体" w:hAnsi="宋体" w:cs="Times New Roman"/>
              </w:rPr>
              <w:t>声环境影响预测与评价</w:t>
            </w:r>
          </w:p>
        </w:tc>
        <w:tc>
          <w:tcPr>
            <w:tcW w:w="831" w:type="pct"/>
            <w:noWrap/>
            <w:vAlign w:val="center"/>
          </w:tcPr>
          <w:p w14:paraId="2CEB66B4">
            <w:pPr>
              <w:pStyle w:val="179"/>
              <w:rPr>
                <w:rFonts w:ascii="宋体" w:hAnsi="宋体" w:cs="Times New Roman"/>
              </w:rPr>
            </w:pPr>
            <w:r>
              <w:rPr>
                <w:rFonts w:ascii="宋体" w:hAnsi="宋体" w:cs="Times New Roman"/>
              </w:rPr>
              <w:t>预测模型</w:t>
            </w:r>
          </w:p>
        </w:tc>
        <w:tc>
          <w:tcPr>
            <w:tcW w:w="3607" w:type="pct"/>
            <w:gridSpan w:val="11"/>
            <w:noWrap/>
            <w:vAlign w:val="center"/>
          </w:tcPr>
          <w:p w14:paraId="0FC5037A">
            <w:pPr>
              <w:pStyle w:val="179"/>
              <w:rPr>
                <w:rFonts w:ascii="宋体" w:hAnsi="宋体" w:cs="Times New Roman"/>
              </w:rPr>
            </w:pPr>
            <w:r>
              <w:rPr>
                <w:rFonts w:ascii="宋体" w:hAnsi="宋体" w:cs="Times New Roman"/>
              </w:rPr>
              <w:t>导则推荐模型</w:t>
            </w:r>
            <w:r>
              <w:rPr>
                <w:rFonts w:hint="eastAsia" w:ascii="宋体" w:hAnsi="MS Mincho" w:eastAsia="MS Mincho" w:cs="MS Mincho"/>
              </w:rPr>
              <w:t>☑</w:t>
            </w:r>
            <w:r>
              <w:rPr>
                <w:rFonts w:ascii="宋体" w:hAnsi="宋体" w:cs="Times New Roman"/>
              </w:rPr>
              <w:t xml:space="preserve">           其他□</w:t>
            </w:r>
          </w:p>
        </w:tc>
      </w:tr>
      <w:tr w14:paraId="6B69002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562" w:type="pct"/>
            <w:vMerge w:val="continue"/>
            <w:noWrap/>
            <w:vAlign w:val="center"/>
          </w:tcPr>
          <w:p w14:paraId="4112CC4F">
            <w:pPr>
              <w:pStyle w:val="179"/>
              <w:rPr>
                <w:rFonts w:ascii="宋体" w:hAnsi="宋体" w:cs="Times New Roman"/>
              </w:rPr>
            </w:pPr>
          </w:p>
        </w:tc>
        <w:tc>
          <w:tcPr>
            <w:tcW w:w="831" w:type="pct"/>
            <w:noWrap/>
            <w:vAlign w:val="center"/>
          </w:tcPr>
          <w:p w14:paraId="47285A68">
            <w:pPr>
              <w:pStyle w:val="179"/>
              <w:rPr>
                <w:rFonts w:ascii="宋体" w:hAnsi="宋体" w:cs="Times New Roman"/>
              </w:rPr>
            </w:pPr>
            <w:r>
              <w:rPr>
                <w:rFonts w:ascii="宋体" w:hAnsi="宋体" w:cs="Times New Roman"/>
              </w:rPr>
              <w:t>预测范围</w:t>
            </w:r>
          </w:p>
        </w:tc>
        <w:tc>
          <w:tcPr>
            <w:tcW w:w="3607" w:type="pct"/>
            <w:gridSpan w:val="11"/>
            <w:noWrap/>
            <w:vAlign w:val="center"/>
          </w:tcPr>
          <w:p w14:paraId="3AE0585A">
            <w:pPr>
              <w:pStyle w:val="179"/>
              <w:rPr>
                <w:rFonts w:ascii="宋体" w:hAnsi="宋体" w:cs="Times New Roman"/>
              </w:rPr>
            </w:pPr>
            <w:r>
              <w:rPr>
                <w:rFonts w:ascii="宋体" w:hAnsi="宋体" w:cs="Times New Roman"/>
              </w:rPr>
              <w:t>200m</w:t>
            </w:r>
            <w:r>
              <w:rPr>
                <w:rFonts w:hint="eastAsia" w:ascii="宋体" w:hAnsi="MS Mincho" w:eastAsia="MS Mincho" w:cs="MS Mincho"/>
              </w:rPr>
              <w:t>☑</w:t>
            </w:r>
            <w:r>
              <w:rPr>
                <w:rFonts w:ascii="宋体" w:hAnsi="宋体" w:cs="Times New Roman"/>
              </w:rPr>
              <w:t xml:space="preserve">  大于200m□  小于200m□</w:t>
            </w:r>
          </w:p>
        </w:tc>
      </w:tr>
      <w:tr w14:paraId="044C444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562" w:type="pct"/>
            <w:vMerge w:val="continue"/>
            <w:noWrap/>
            <w:vAlign w:val="center"/>
          </w:tcPr>
          <w:p w14:paraId="2400D833">
            <w:pPr>
              <w:pStyle w:val="179"/>
              <w:rPr>
                <w:rFonts w:ascii="宋体" w:hAnsi="宋体" w:cs="Times New Roman"/>
              </w:rPr>
            </w:pPr>
          </w:p>
        </w:tc>
        <w:tc>
          <w:tcPr>
            <w:tcW w:w="831" w:type="pct"/>
            <w:noWrap/>
            <w:vAlign w:val="center"/>
          </w:tcPr>
          <w:p w14:paraId="68606B07">
            <w:pPr>
              <w:pStyle w:val="179"/>
              <w:rPr>
                <w:rFonts w:ascii="宋体" w:hAnsi="宋体" w:cs="Times New Roman"/>
              </w:rPr>
            </w:pPr>
            <w:r>
              <w:rPr>
                <w:rFonts w:ascii="宋体" w:hAnsi="宋体" w:cs="Times New Roman"/>
              </w:rPr>
              <w:t>预测因子</w:t>
            </w:r>
          </w:p>
        </w:tc>
        <w:tc>
          <w:tcPr>
            <w:tcW w:w="3607" w:type="pct"/>
            <w:gridSpan w:val="11"/>
            <w:noWrap/>
            <w:vAlign w:val="center"/>
          </w:tcPr>
          <w:p w14:paraId="4475F49A">
            <w:pPr>
              <w:pStyle w:val="179"/>
              <w:rPr>
                <w:rFonts w:ascii="宋体" w:hAnsi="宋体" w:cs="Times New Roman"/>
              </w:rPr>
            </w:pPr>
            <w:r>
              <w:rPr>
                <w:rFonts w:ascii="宋体" w:hAnsi="宋体" w:cs="Times New Roman"/>
              </w:rPr>
              <w:t>等效连续A声级</w:t>
            </w:r>
            <w:r>
              <w:rPr>
                <w:rFonts w:hint="eastAsia" w:ascii="宋体" w:hAnsi="MS Mincho" w:eastAsia="MS Mincho" w:cs="MS Mincho"/>
              </w:rPr>
              <w:t>☑</w:t>
            </w:r>
            <w:r>
              <w:rPr>
                <w:rFonts w:ascii="宋体" w:hAnsi="宋体" w:cs="Times New Roman"/>
              </w:rPr>
              <w:t xml:space="preserve">  最大A声级□  计权等效连续感觉噪声级□</w:t>
            </w:r>
          </w:p>
        </w:tc>
      </w:tr>
      <w:tr w14:paraId="537B60A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562" w:type="pct"/>
            <w:vMerge w:val="continue"/>
            <w:noWrap/>
            <w:vAlign w:val="center"/>
          </w:tcPr>
          <w:p w14:paraId="50DF011A">
            <w:pPr>
              <w:pStyle w:val="179"/>
              <w:rPr>
                <w:rFonts w:ascii="宋体" w:hAnsi="宋体" w:cs="Times New Roman"/>
              </w:rPr>
            </w:pPr>
          </w:p>
        </w:tc>
        <w:tc>
          <w:tcPr>
            <w:tcW w:w="831" w:type="pct"/>
            <w:noWrap/>
            <w:vAlign w:val="center"/>
          </w:tcPr>
          <w:p w14:paraId="2FBB05EB">
            <w:pPr>
              <w:pStyle w:val="179"/>
              <w:rPr>
                <w:rFonts w:ascii="宋体" w:hAnsi="宋体" w:cs="Times New Roman"/>
              </w:rPr>
            </w:pPr>
            <w:r>
              <w:rPr>
                <w:rFonts w:ascii="宋体" w:hAnsi="宋体" w:cs="Times New Roman"/>
              </w:rPr>
              <w:t>厂界噪声贡献值</w:t>
            </w:r>
          </w:p>
        </w:tc>
        <w:tc>
          <w:tcPr>
            <w:tcW w:w="3607" w:type="pct"/>
            <w:gridSpan w:val="11"/>
            <w:noWrap/>
            <w:vAlign w:val="center"/>
          </w:tcPr>
          <w:p w14:paraId="56FF8BAB">
            <w:pPr>
              <w:pStyle w:val="179"/>
              <w:rPr>
                <w:rFonts w:ascii="宋体" w:hAnsi="宋体" w:cs="Times New Roman"/>
              </w:rPr>
            </w:pPr>
            <w:r>
              <w:rPr>
                <w:rFonts w:ascii="宋体" w:hAnsi="宋体" w:cs="Times New Roman"/>
              </w:rPr>
              <w:t>达标</w:t>
            </w:r>
            <w:r>
              <w:rPr>
                <w:rFonts w:hint="eastAsia" w:ascii="宋体" w:hAnsi="MS Mincho" w:eastAsia="MS Mincho" w:cs="MS Mincho"/>
              </w:rPr>
              <w:t>☑</w:t>
            </w:r>
            <w:r>
              <w:rPr>
                <w:rFonts w:ascii="宋体" w:hAnsi="宋体" w:cs="Times New Roman"/>
              </w:rPr>
              <w:t xml:space="preserve">  不达标□</w:t>
            </w:r>
          </w:p>
        </w:tc>
      </w:tr>
      <w:tr w14:paraId="4023118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562" w:type="pct"/>
            <w:vMerge w:val="continue"/>
            <w:noWrap/>
            <w:vAlign w:val="center"/>
          </w:tcPr>
          <w:p w14:paraId="496A2A62">
            <w:pPr>
              <w:pStyle w:val="179"/>
              <w:rPr>
                <w:rFonts w:ascii="宋体" w:hAnsi="宋体" w:cs="Times New Roman"/>
              </w:rPr>
            </w:pPr>
          </w:p>
        </w:tc>
        <w:tc>
          <w:tcPr>
            <w:tcW w:w="831" w:type="pct"/>
            <w:noWrap/>
            <w:vAlign w:val="center"/>
          </w:tcPr>
          <w:p w14:paraId="7EC7C53B">
            <w:pPr>
              <w:pStyle w:val="179"/>
              <w:rPr>
                <w:rFonts w:ascii="宋体" w:hAnsi="宋体" w:cs="Times New Roman"/>
              </w:rPr>
            </w:pPr>
            <w:r>
              <w:rPr>
                <w:rFonts w:ascii="宋体" w:hAnsi="宋体" w:cs="Times New Roman"/>
              </w:rPr>
              <w:t>声环境保护目标处噪声值</w:t>
            </w:r>
          </w:p>
        </w:tc>
        <w:tc>
          <w:tcPr>
            <w:tcW w:w="3607" w:type="pct"/>
            <w:gridSpan w:val="11"/>
            <w:noWrap/>
            <w:vAlign w:val="center"/>
          </w:tcPr>
          <w:p w14:paraId="2373E704">
            <w:pPr>
              <w:pStyle w:val="179"/>
              <w:rPr>
                <w:rFonts w:ascii="宋体" w:hAnsi="宋体" w:cs="Times New Roman"/>
              </w:rPr>
            </w:pPr>
            <w:r>
              <w:rPr>
                <w:rFonts w:ascii="宋体" w:hAnsi="宋体" w:cs="Times New Roman"/>
              </w:rPr>
              <w:t>达标</w:t>
            </w:r>
            <w:r>
              <w:rPr>
                <w:rFonts w:hint="eastAsia" w:ascii="宋体" w:hAnsi="MS Mincho" w:eastAsia="MS Mincho" w:cs="MS Mincho"/>
              </w:rPr>
              <w:t>☑</w:t>
            </w:r>
            <w:r>
              <w:rPr>
                <w:rFonts w:ascii="宋体" w:hAnsi="宋体" w:cs="Times New Roman"/>
              </w:rPr>
              <w:t xml:space="preserve">  不达标□</w:t>
            </w:r>
          </w:p>
        </w:tc>
      </w:tr>
      <w:tr w14:paraId="0140FAE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562" w:type="pct"/>
            <w:vMerge w:val="restart"/>
            <w:noWrap/>
            <w:vAlign w:val="center"/>
          </w:tcPr>
          <w:p w14:paraId="54376B3E">
            <w:pPr>
              <w:pStyle w:val="179"/>
              <w:rPr>
                <w:rFonts w:ascii="宋体" w:hAnsi="宋体" w:cs="Times New Roman"/>
              </w:rPr>
            </w:pPr>
            <w:r>
              <w:rPr>
                <w:rFonts w:ascii="宋体" w:hAnsi="宋体" w:cs="Times New Roman"/>
              </w:rPr>
              <w:t>环境监测计划</w:t>
            </w:r>
          </w:p>
        </w:tc>
        <w:tc>
          <w:tcPr>
            <w:tcW w:w="831" w:type="pct"/>
            <w:noWrap/>
            <w:vAlign w:val="center"/>
          </w:tcPr>
          <w:p w14:paraId="553844C1">
            <w:pPr>
              <w:pStyle w:val="179"/>
              <w:rPr>
                <w:rFonts w:ascii="宋体" w:hAnsi="宋体" w:cs="Times New Roman"/>
              </w:rPr>
            </w:pPr>
            <w:r>
              <w:rPr>
                <w:rFonts w:ascii="宋体" w:hAnsi="宋体" w:cs="Times New Roman"/>
              </w:rPr>
              <w:t>排放监测</w:t>
            </w:r>
          </w:p>
        </w:tc>
        <w:tc>
          <w:tcPr>
            <w:tcW w:w="3607" w:type="pct"/>
            <w:gridSpan w:val="11"/>
            <w:noWrap/>
            <w:vAlign w:val="center"/>
          </w:tcPr>
          <w:p w14:paraId="3B2EBD6B">
            <w:pPr>
              <w:pStyle w:val="179"/>
              <w:rPr>
                <w:rFonts w:ascii="宋体" w:hAnsi="宋体" w:cs="Times New Roman"/>
              </w:rPr>
            </w:pPr>
            <w:r>
              <w:rPr>
                <w:rFonts w:ascii="宋体" w:hAnsi="宋体" w:cs="Times New Roman"/>
              </w:rPr>
              <w:t>厂界监测</w:t>
            </w:r>
            <w:r>
              <w:rPr>
                <w:rFonts w:hint="eastAsia" w:ascii="宋体" w:hAnsi="MS Mincho" w:eastAsia="MS Mincho" w:cs="MS Mincho"/>
              </w:rPr>
              <w:t>☑</w:t>
            </w:r>
            <w:r>
              <w:rPr>
                <w:rFonts w:ascii="宋体" w:hAnsi="宋体" w:cs="Times New Roman"/>
              </w:rPr>
              <w:t xml:space="preserve"> 固定位置监测□</w:t>
            </w:r>
          </w:p>
          <w:p w14:paraId="012B58FA">
            <w:pPr>
              <w:pStyle w:val="179"/>
              <w:rPr>
                <w:rFonts w:ascii="宋体" w:hAnsi="宋体" w:cs="Times New Roman"/>
              </w:rPr>
            </w:pPr>
            <w:r>
              <w:rPr>
                <w:rFonts w:ascii="宋体" w:hAnsi="宋体" w:cs="Times New Roman"/>
              </w:rPr>
              <w:t>自动监测□ 手动监测</w:t>
            </w:r>
            <w:r>
              <w:rPr>
                <w:rFonts w:hint="eastAsia" w:ascii="宋体" w:hAnsi="MS Mincho" w:eastAsia="MS Mincho" w:cs="MS Mincho"/>
              </w:rPr>
              <w:t>☑</w:t>
            </w:r>
            <w:r>
              <w:rPr>
                <w:rFonts w:ascii="宋体" w:hAnsi="宋体" w:cs="Times New Roman"/>
              </w:rPr>
              <w:t xml:space="preserve">  无监测□</w:t>
            </w:r>
          </w:p>
        </w:tc>
      </w:tr>
      <w:tr w14:paraId="25A43D4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562" w:type="pct"/>
            <w:vMerge w:val="continue"/>
            <w:noWrap/>
            <w:vAlign w:val="center"/>
          </w:tcPr>
          <w:p w14:paraId="093E46DB">
            <w:pPr>
              <w:pStyle w:val="179"/>
              <w:rPr>
                <w:rFonts w:ascii="宋体" w:hAnsi="宋体" w:cs="Times New Roman"/>
              </w:rPr>
            </w:pPr>
          </w:p>
        </w:tc>
        <w:tc>
          <w:tcPr>
            <w:tcW w:w="831" w:type="pct"/>
            <w:noWrap/>
            <w:vAlign w:val="center"/>
          </w:tcPr>
          <w:p w14:paraId="50201C94">
            <w:pPr>
              <w:pStyle w:val="179"/>
              <w:rPr>
                <w:rFonts w:ascii="宋体" w:hAnsi="宋体" w:cs="Times New Roman"/>
              </w:rPr>
            </w:pPr>
            <w:r>
              <w:rPr>
                <w:rFonts w:ascii="宋体" w:hAnsi="宋体" w:cs="Times New Roman"/>
              </w:rPr>
              <w:t>声环境保护目标处噪声监测</w:t>
            </w:r>
          </w:p>
        </w:tc>
        <w:tc>
          <w:tcPr>
            <w:tcW w:w="1746" w:type="pct"/>
            <w:gridSpan w:val="5"/>
            <w:noWrap/>
            <w:vAlign w:val="center"/>
          </w:tcPr>
          <w:p w14:paraId="51997404">
            <w:pPr>
              <w:pStyle w:val="179"/>
              <w:rPr>
                <w:rFonts w:ascii="宋体" w:hAnsi="宋体" w:cs="Times New Roman"/>
              </w:rPr>
            </w:pPr>
            <w:r>
              <w:rPr>
                <w:rFonts w:ascii="宋体" w:hAnsi="宋体" w:cs="Times New Roman"/>
              </w:rPr>
              <w:t>监测因子：（等效A声级）</w:t>
            </w:r>
          </w:p>
        </w:tc>
        <w:tc>
          <w:tcPr>
            <w:tcW w:w="1165" w:type="pct"/>
            <w:gridSpan w:val="4"/>
            <w:noWrap/>
            <w:vAlign w:val="center"/>
          </w:tcPr>
          <w:p w14:paraId="4BB3B55C">
            <w:pPr>
              <w:pStyle w:val="179"/>
              <w:rPr>
                <w:rFonts w:ascii="宋体" w:hAnsi="宋体" w:cs="Times New Roman"/>
              </w:rPr>
            </w:pPr>
            <w:r>
              <w:rPr>
                <w:rFonts w:ascii="宋体" w:hAnsi="宋体" w:cs="Times New Roman"/>
              </w:rPr>
              <w:t>监测点位数（4）</w:t>
            </w:r>
          </w:p>
        </w:tc>
        <w:tc>
          <w:tcPr>
            <w:tcW w:w="696" w:type="pct"/>
            <w:gridSpan w:val="2"/>
            <w:noWrap/>
            <w:vAlign w:val="center"/>
          </w:tcPr>
          <w:p w14:paraId="2BD53773">
            <w:pPr>
              <w:pStyle w:val="179"/>
              <w:rPr>
                <w:rFonts w:ascii="宋体" w:hAnsi="宋体" w:cs="Times New Roman"/>
              </w:rPr>
            </w:pPr>
            <w:r>
              <w:rPr>
                <w:rFonts w:ascii="宋体" w:hAnsi="宋体" w:cs="Times New Roman"/>
              </w:rPr>
              <w:t>无监测□</w:t>
            </w:r>
          </w:p>
        </w:tc>
      </w:tr>
      <w:tr w14:paraId="152B45D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562" w:type="pct"/>
            <w:noWrap/>
            <w:vAlign w:val="center"/>
          </w:tcPr>
          <w:p w14:paraId="772A53EC">
            <w:pPr>
              <w:pStyle w:val="179"/>
              <w:rPr>
                <w:rFonts w:ascii="宋体" w:hAnsi="宋体" w:cs="Times New Roman"/>
              </w:rPr>
            </w:pPr>
            <w:r>
              <w:rPr>
                <w:rFonts w:ascii="宋体" w:hAnsi="宋体" w:cs="Times New Roman"/>
              </w:rPr>
              <w:t>评价</w:t>
            </w:r>
          </w:p>
          <w:p w14:paraId="3193F3A7">
            <w:pPr>
              <w:pStyle w:val="179"/>
              <w:rPr>
                <w:rFonts w:ascii="宋体" w:hAnsi="宋体" w:cs="Times New Roman"/>
              </w:rPr>
            </w:pPr>
            <w:r>
              <w:rPr>
                <w:rFonts w:ascii="宋体" w:hAnsi="宋体" w:cs="Times New Roman"/>
              </w:rPr>
              <w:t>结论</w:t>
            </w:r>
          </w:p>
        </w:tc>
        <w:tc>
          <w:tcPr>
            <w:tcW w:w="831" w:type="pct"/>
            <w:noWrap/>
            <w:vAlign w:val="center"/>
          </w:tcPr>
          <w:p w14:paraId="47073B24">
            <w:pPr>
              <w:pStyle w:val="179"/>
              <w:rPr>
                <w:rFonts w:ascii="宋体" w:hAnsi="宋体" w:cs="Times New Roman"/>
              </w:rPr>
            </w:pPr>
            <w:r>
              <w:rPr>
                <w:rFonts w:ascii="宋体" w:hAnsi="宋体" w:cs="Times New Roman"/>
              </w:rPr>
              <w:t>环境影响</w:t>
            </w:r>
          </w:p>
        </w:tc>
        <w:tc>
          <w:tcPr>
            <w:tcW w:w="3607" w:type="pct"/>
            <w:gridSpan w:val="11"/>
            <w:noWrap/>
            <w:vAlign w:val="center"/>
          </w:tcPr>
          <w:p w14:paraId="38E22A0B">
            <w:pPr>
              <w:pStyle w:val="179"/>
              <w:rPr>
                <w:rFonts w:ascii="宋体" w:hAnsi="宋体" w:cs="Times New Roman"/>
              </w:rPr>
            </w:pPr>
            <w:r>
              <w:rPr>
                <w:rFonts w:ascii="宋体" w:hAnsi="宋体" w:cs="Times New Roman"/>
              </w:rPr>
              <w:t>可行</w:t>
            </w:r>
            <w:r>
              <w:rPr>
                <w:rFonts w:hint="eastAsia" w:ascii="宋体" w:hAnsi="MS Mincho" w:eastAsia="MS Mincho" w:cs="MS Mincho"/>
              </w:rPr>
              <w:t>☑</w:t>
            </w:r>
            <w:r>
              <w:rPr>
                <w:rFonts w:ascii="宋体" w:hAnsi="宋体" w:cs="Times New Roman"/>
              </w:rPr>
              <w:t xml:space="preserve"> 不可行□</w:t>
            </w:r>
          </w:p>
        </w:tc>
      </w:tr>
      <w:tr w14:paraId="2E64905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5000" w:type="pct"/>
            <w:gridSpan w:val="13"/>
            <w:noWrap/>
            <w:vAlign w:val="center"/>
          </w:tcPr>
          <w:p w14:paraId="505BBC82">
            <w:pPr>
              <w:pStyle w:val="179"/>
              <w:rPr>
                <w:rFonts w:ascii="宋体" w:hAnsi="宋体" w:cs="Times New Roman"/>
              </w:rPr>
            </w:pPr>
            <w:r>
              <w:rPr>
                <w:rFonts w:ascii="宋体" w:hAnsi="宋体" w:cs="Times New Roman"/>
              </w:rPr>
              <w:t>注：“□” 为勾选项 ，可√ ；“（ ）” 为内容填写项。</w:t>
            </w:r>
          </w:p>
        </w:tc>
      </w:tr>
    </w:tbl>
    <w:p w14:paraId="575AD73F">
      <w:pPr>
        <w:ind w:firstLine="480"/>
        <w:rPr>
          <w:rFonts w:hAnsi="Times New Roman" w:cs="Times New Roman"/>
        </w:rPr>
      </w:pPr>
    </w:p>
    <w:p w14:paraId="4F089586">
      <w:pPr>
        <w:ind w:firstLine="480"/>
        <w:rPr>
          <w:rFonts w:hAnsi="Times New Roman" w:cs="Times New Roman"/>
        </w:rPr>
      </w:pPr>
    </w:p>
    <w:p w14:paraId="389498E7">
      <w:pPr>
        <w:widowControl/>
        <w:tabs>
          <w:tab w:val="clear" w:pos="0"/>
        </w:tabs>
        <w:spacing w:line="240" w:lineRule="auto"/>
        <w:ind w:firstLine="0" w:firstLineChars="0"/>
        <w:jc w:val="left"/>
        <w:rPr>
          <w:rFonts w:hAnsi="Times New Roman" w:cs="Times New Roman"/>
        </w:rPr>
      </w:pPr>
      <w:r>
        <w:rPr>
          <w:rFonts w:hAnsi="Times New Roman" w:cs="Times New Roman"/>
        </w:rPr>
        <w:br w:type="page"/>
      </w:r>
    </w:p>
    <w:p w14:paraId="3F6BE6FB">
      <w:pPr>
        <w:pStyle w:val="3"/>
        <w:numPr>
          <w:ilvl w:val="0"/>
          <w:numId w:val="0"/>
        </w:numPr>
        <w:spacing w:before="180" w:after="120" w:line="240" w:lineRule="auto"/>
        <w:ind w:left="142"/>
        <w:jc w:val="center"/>
        <w:rPr>
          <w:rFonts w:cs="Times New Roman"/>
          <w:sz w:val="24"/>
        </w:rPr>
      </w:pPr>
      <w:bookmarkStart w:id="874" w:name="_Toc9112"/>
      <w:bookmarkStart w:id="875" w:name="_Toc234927739"/>
      <w:r>
        <w:rPr>
          <w:rFonts w:cs="Times New Roman"/>
          <w:sz w:val="24"/>
        </w:rPr>
        <w:t>附表6 土壤环境影响评价自查表</w:t>
      </w:r>
      <w:bookmarkEnd w:id="874"/>
      <w:bookmarkEnd w:id="875"/>
    </w:p>
    <w:tbl>
      <w:tblPr>
        <w:tblStyle w:val="36"/>
        <w:tblW w:w="9072" w:type="dxa"/>
        <w:jc w:val="center"/>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Layout w:type="fixed"/>
        <w:tblCellMar>
          <w:top w:w="0" w:type="dxa"/>
          <w:left w:w="57" w:type="dxa"/>
          <w:bottom w:w="0" w:type="dxa"/>
          <w:right w:w="57" w:type="dxa"/>
        </w:tblCellMar>
      </w:tblPr>
      <w:tblGrid>
        <w:gridCol w:w="464"/>
        <w:gridCol w:w="1842"/>
        <w:gridCol w:w="568"/>
        <w:gridCol w:w="263"/>
        <w:gridCol w:w="2059"/>
        <w:gridCol w:w="1464"/>
        <w:gridCol w:w="695"/>
        <w:gridCol w:w="1127"/>
        <w:gridCol w:w="590"/>
      </w:tblGrid>
      <w:tr w14:paraId="07014000">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63" w:hRule="atLeast"/>
          <w:jc w:val="center"/>
        </w:trPr>
        <w:tc>
          <w:tcPr>
            <w:tcW w:w="1270" w:type="pct"/>
            <w:gridSpan w:val="2"/>
            <w:noWrap/>
            <w:vAlign w:val="center"/>
          </w:tcPr>
          <w:p w14:paraId="5040D709">
            <w:pPr>
              <w:pStyle w:val="179"/>
              <w:rPr>
                <w:rFonts w:cs="Times New Roman"/>
                <w:b/>
                <w:bCs w:val="0"/>
              </w:rPr>
            </w:pPr>
            <w:r>
              <w:rPr>
                <w:rFonts w:cs="Times New Roman"/>
                <w:b/>
              </w:rPr>
              <w:t>工作内容</w:t>
            </w:r>
          </w:p>
        </w:tc>
        <w:tc>
          <w:tcPr>
            <w:tcW w:w="3404" w:type="pct"/>
            <w:gridSpan w:val="6"/>
            <w:noWrap/>
            <w:vAlign w:val="center"/>
          </w:tcPr>
          <w:p w14:paraId="598F740A">
            <w:pPr>
              <w:pStyle w:val="179"/>
              <w:rPr>
                <w:rFonts w:cs="Times New Roman"/>
                <w:b/>
                <w:bCs w:val="0"/>
              </w:rPr>
            </w:pPr>
            <w:r>
              <w:rPr>
                <w:rFonts w:cs="Times New Roman"/>
                <w:b/>
              </w:rPr>
              <w:t>完成情况</w:t>
            </w:r>
          </w:p>
        </w:tc>
        <w:tc>
          <w:tcPr>
            <w:tcW w:w="326" w:type="pct"/>
            <w:noWrap/>
            <w:vAlign w:val="center"/>
          </w:tcPr>
          <w:p w14:paraId="1B3F10E6">
            <w:pPr>
              <w:pStyle w:val="179"/>
              <w:rPr>
                <w:rFonts w:cs="Times New Roman"/>
                <w:b/>
                <w:bCs w:val="0"/>
              </w:rPr>
            </w:pPr>
            <w:r>
              <w:rPr>
                <w:rFonts w:cs="Times New Roman"/>
                <w:b/>
              </w:rPr>
              <w:t>备注</w:t>
            </w:r>
          </w:p>
        </w:tc>
      </w:tr>
      <w:tr w14:paraId="226AE3DA">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60" w:hRule="atLeast"/>
          <w:jc w:val="center"/>
        </w:trPr>
        <w:tc>
          <w:tcPr>
            <w:tcW w:w="256" w:type="pct"/>
            <w:vMerge w:val="restart"/>
            <w:noWrap/>
            <w:vAlign w:val="center"/>
          </w:tcPr>
          <w:p w14:paraId="2380BAFC">
            <w:pPr>
              <w:pStyle w:val="179"/>
              <w:rPr>
                <w:rFonts w:cs="Times New Roman"/>
                <w:b/>
                <w:bCs w:val="0"/>
              </w:rPr>
            </w:pPr>
            <w:r>
              <w:rPr>
                <w:rFonts w:cs="Times New Roman"/>
              </w:rPr>
              <w:t>影响识别</w:t>
            </w:r>
          </w:p>
        </w:tc>
        <w:tc>
          <w:tcPr>
            <w:tcW w:w="1015" w:type="pct"/>
            <w:noWrap/>
            <w:vAlign w:val="center"/>
          </w:tcPr>
          <w:p w14:paraId="4EB6EF75">
            <w:pPr>
              <w:pStyle w:val="179"/>
              <w:rPr>
                <w:rFonts w:cs="Times New Roman"/>
                <w:b/>
                <w:bCs w:val="0"/>
              </w:rPr>
            </w:pPr>
            <w:r>
              <w:rPr>
                <w:rFonts w:cs="Times New Roman"/>
              </w:rPr>
              <w:t>影响类型</w:t>
            </w:r>
          </w:p>
        </w:tc>
        <w:tc>
          <w:tcPr>
            <w:tcW w:w="3404" w:type="pct"/>
            <w:gridSpan w:val="6"/>
            <w:noWrap/>
            <w:vAlign w:val="center"/>
          </w:tcPr>
          <w:p w14:paraId="34B54402">
            <w:pPr>
              <w:pStyle w:val="179"/>
              <w:rPr>
                <w:rFonts w:ascii="宋体" w:hAnsi="宋体" w:cs="Times New Roman"/>
                <w:b/>
                <w:bCs w:val="0"/>
              </w:rPr>
            </w:pPr>
            <w:r>
              <w:rPr>
                <w:rFonts w:ascii="宋体" w:hAnsi="宋体" w:cs="Times New Roman"/>
              </w:rPr>
              <w:t>污染影响型</w:t>
            </w:r>
            <w:r>
              <w:rPr>
                <w:rFonts w:hint="eastAsia" w:ascii="宋体" w:hAnsi="MS Mincho" w:eastAsia="MS Mincho" w:cs="MS Mincho"/>
              </w:rPr>
              <w:t>☑</w:t>
            </w:r>
            <w:r>
              <w:rPr>
                <w:rFonts w:ascii="宋体" w:hAnsi="宋体" w:cs="Times New Roman"/>
              </w:rPr>
              <w:t>；生态影响型□；两种兼有□</w:t>
            </w:r>
          </w:p>
        </w:tc>
        <w:tc>
          <w:tcPr>
            <w:tcW w:w="326" w:type="pct"/>
            <w:noWrap/>
            <w:vAlign w:val="center"/>
          </w:tcPr>
          <w:p w14:paraId="3B6FDF18">
            <w:pPr>
              <w:pStyle w:val="179"/>
              <w:rPr>
                <w:rFonts w:cs="Times New Roman"/>
                <w:b/>
                <w:bCs w:val="0"/>
              </w:rPr>
            </w:pPr>
          </w:p>
        </w:tc>
      </w:tr>
      <w:tr w14:paraId="558B9A42">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60" w:hRule="atLeast"/>
          <w:jc w:val="center"/>
        </w:trPr>
        <w:tc>
          <w:tcPr>
            <w:tcW w:w="256" w:type="pct"/>
            <w:vMerge w:val="continue"/>
            <w:noWrap/>
            <w:vAlign w:val="center"/>
          </w:tcPr>
          <w:p w14:paraId="3B68E44E">
            <w:pPr>
              <w:pStyle w:val="179"/>
              <w:rPr>
                <w:rFonts w:cs="Times New Roman"/>
                <w:b/>
                <w:bCs w:val="0"/>
              </w:rPr>
            </w:pPr>
          </w:p>
        </w:tc>
        <w:tc>
          <w:tcPr>
            <w:tcW w:w="1015" w:type="pct"/>
            <w:noWrap/>
            <w:vAlign w:val="center"/>
          </w:tcPr>
          <w:p w14:paraId="7B0C41FA">
            <w:pPr>
              <w:pStyle w:val="179"/>
              <w:rPr>
                <w:rFonts w:cs="Times New Roman"/>
                <w:b/>
                <w:bCs w:val="0"/>
              </w:rPr>
            </w:pPr>
            <w:r>
              <w:rPr>
                <w:rFonts w:cs="Times New Roman"/>
              </w:rPr>
              <w:t>土地利用类型</w:t>
            </w:r>
          </w:p>
        </w:tc>
        <w:tc>
          <w:tcPr>
            <w:tcW w:w="3404" w:type="pct"/>
            <w:gridSpan w:val="6"/>
            <w:noWrap/>
            <w:vAlign w:val="center"/>
          </w:tcPr>
          <w:p w14:paraId="061FF4BE">
            <w:pPr>
              <w:pStyle w:val="179"/>
              <w:rPr>
                <w:rFonts w:ascii="宋体" w:hAnsi="宋体" w:cs="Times New Roman"/>
                <w:b/>
                <w:bCs w:val="0"/>
              </w:rPr>
            </w:pPr>
            <w:r>
              <w:rPr>
                <w:rFonts w:ascii="宋体" w:hAnsi="宋体" w:cs="Times New Roman"/>
              </w:rPr>
              <w:t>建设用地</w:t>
            </w:r>
            <w:r>
              <w:rPr>
                <w:rFonts w:hint="eastAsia" w:ascii="宋体" w:hAnsi="MS Mincho" w:eastAsia="MS Mincho" w:cs="MS Mincho"/>
              </w:rPr>
              <w:t>☑</w:t>
            </w:r>
            <w:r>
              <w:rPr>
                <w:rFonts w:ascii="宋体" w:hAnsi="宋体" w:cs="Times New Roman"/>
              </w:rPr>
              <w:t>；农用地□；未利用地□</w:t>
            </w:r>
          </w:p>
        </w:tc>
        <w:tc>
          <w:tcPr>
            <w:tcW w:w="326" w:type="pct"/>
            <w:noWrap/>
            <w:vAlign w:val="center"/>
          </w:tcPr>
          <w:p w14:paraId="714CEDA4">
            <w:pPr>
              <w:pStyle w:val="179"/>
              <w:rPr>
                <w:rFonts w:cs="Times New Roman"/>
                <w:b/>
                <w:bCs w:val="0"/>
              </w:rPr>
            </w:pPr>
          </w:p>
        </w:tc>
      </w:tr>
      <w:tr w14:paraId="20CF42BA">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60" w:hRule="atLeast"/>
          <w:jc w:val="center"/>
        </w:trPr>
        <w:tc>
          <w:tcPr>
            <w:tcW w:w="256" w:type="pct"/>
            <w:vMerge w:val="continue"/>
            <w:noWrap/>
            <w:vAlign w:val="center"/>
          </w:tcPr>
          <w:p w14:paraId="4CAC29CB">
            <w:pPr>
              <w:pStyle w:val="179"/>
              <w:rPr>
                <w:rFonts w:cs="Times New Roman"/>
                <w:b/>
                <w:bCs w:val="0"/>
              </w:rPr>
            </w:pPr>
          </w:p>
        </w:tc>
        <w:tc>
          <w:tcPr>
            <w:tcW w:w="1015" w:type="pct"/>
            <w:noWrap/>
            <w:vAlign w:val="center"/>
          </w:tcPr>
          <w:p w14:paraId="5C00A751">
            <w:pPr>
              <w:pStyle w:val="179"/>
              <w:rPr>
                <w:rFonts w:cs="Times New Roman"/>
                <w:b/>
                <w:bCs w:val="0"/>
              </w:rPr>
            </w:pPr>
            <w:r>
              <w:rPr>
                <w:rFonts w:cs="Times New Roman"/>
              </w:rPr>
              <w:t>占地规模</w:t>
            </w:r>
          </w:p>
        </w:tc>
        <w:tc>
          <w:tcPr>
            <w:tcW w:w="3404" w:type="pct"/>
            <w:gridSpan w:val="6"/>
            <w:noWrap/>
            <w:vAlign w:val="center"/>
          </w:tcPr>
          <w:p w14:paraId="797C4A54">
            <w:pPr>
              <w:pStyle w:val="179"/>
              <w:rPr>
                <w:rFonts w:cs="Times New Roman"/>
                <w:b/>
                <w:bCs w:val="0"/>
              </w:rPr>
            </w:pPr>
            <w:r>
              <w:rPr>
                <w:rFonts w:cs="Times New Roman"/>
              </w:rPr>
              <w:t>(11.01)hm</w:t>
            </w:r>
            <w:r>
              <w:rPr>
                <w:rFonts w:cs="Times New Roman"/>
                <w:vertAlign w:val="superscript"/>
              </w:rPr>
              <w:t>2</w:t>
            </w:r>
          </w:p>
        </w:tc>
        <w:tc>
          <w:tcPr>
            <w:tcW w:w="326" w:type="pct"/>
            <w:noWrap/>
            <w:vAlign w:val="center"/>
          </w:tcPr>
          <w:p w14:paraId="429DBEDF">
            <w:pPr>
              <w:pStyle w:val="179"/>
              <w:rPr>
                <w:rFonts w:cs="Times New Roman"/>
                <w:b/>
                <w:bCs w:val="0"/>
              </w:rPr>
            </w:pPr>
          </w:p>
        </w:tc>
      </w:tr>
      <w:tr w14:paraId="05839B7D">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60" w:hRule="atLeast"/>
          <w:jc w:val="center"/>
        </w:trPr>
        <w:tc>
          <w:tcPr>
            <w:tcW w:w="256" w:type="pct"/>
            <w:vMerge w:val="continue"/>
            <w:noWrap/>
            <w:vAlign w:val="center"/>
          </w:tcPr>
          <w:p w14:paraId="75D39C38">
            <w:pPr>
              <w:pStyle w:val="179"/>
              <w:rPr>
                <w:rFonts w:cs="Times New Roman"/>
                <w:b/>
                <w:bCs w:val="0"/>
              </w:rPr>
            </w:pPr>
          </w:p>
        </w:tc>
        <w:tc>
          <w:tcPr>
            <w:tcW w:w="1015" w:type="pct"/>
            <w:noWrap/>
            <w:vAlign w:val="center"/>
          </w:tcPr>
          <w:p w14:paraId="02726D8C">
            <w:pPr>
              <w:pStyle w:val="179"/>
              <w:rPr>
                <w:rFonts w:cs="Times New Roman"/>
                <w:b/>
                <w:bCs w:val="0"/>
              </w:rPr>
            </w:pPr>
            <w:r>
              <w:rPr>
                <w:rFonts w:cs="Times New Roman"/>
              </w:rPr>
              <w:t>敏感目标信息</w:t>
            </w:r>
          </w:p>
        </w:tc>
        <w:tc>
          <w:tcPr>
            <w:tcW w:w="3404" w:type="pct"/>
            <w:gridSpan w:val="6"/>
            <w:noWrap/>
            <w:vAlign w:val="center"/>
          </w:tcPr>
          <w:p w14:paraId="043619F8">
            <w:pPr>
              <w:pStyle w:val="179"/>
              <w:rPr>
                <w:rFonts w:cs="Times New Roman"/>
                <w:b/>
                <w:bCs w:val="0"/>
              </w:rPr>
            </w:pPr>
            <w:r>
              <w:rPr>
                <w:rFonts w:cs="Times New Roman"/>
              </w:rPr>
              <w:t>敏感目标（耕地）、方位（西北）、距离（</w:t>
            </w:r>
            <w:r>
              <w:rPr>
                <w:rFonts w:hint="eastAsia" w:cs="Times New Roman"/>
              </w:rPr>
              <w:t>92m</w:t>
            </w:r>
            <w:r>
              <w:rPr>
                <w:rFonts w:cs="Times New Roman"/>
              </w:rPr>
              <w:t>）</w:t>
            </w:r>
          </w:p>
        </w:tc>
        <w:tc>
          <w:tcPr>
            <w:tcW w:w="326" w:type="pct"/>
            <w:noWrap/>
            <w:vAlign w:val="center"/>
          </w:tcPr>
          <w:p w14:paraId="134C9F22">
            <w:pPr>
              <w:pStyle w:val="179"/>
              <w:rPr>
                <w:rFonts w:cs="Times New Roman"/>
                <w:b/>
                <w:bCs w:val="0"/>
              </w:rPr>
            </w:pPr>
          </w:p>
        </w:tc>
      </w:tr>
      <w:tr w14:paraId="1FA13EB8">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60" w:hRule="atLeast"/>
          <w:jc w:val="center"/>
        </w:trPr>
        <w:tc>
          <w:tcPr>
            <w:tcW w:w="256" w:type="pct"/>
            <w:vMerge w:val="continue"/>
            <w:noWrap/>
            <w:vAlign w:val="center"/>
          </w:tcPr>
          <w:p w14:paraId="01DFC271">
            <w:pPr>
              <w:pStyle w:val="179"/>
              <w:rPr>
                <w:rFonts w:cs="Times New Roman"/>
                <w:b/>
                <w:bCs w:val="0"/>
              </w:rPr>
            </w:pPr>
          </w:p>
        </w:tc>
        <w:tc>
          <w:tcPr>
            <w:tcW w:w="1015" w:type="pct"/>
            <w:noWrap/>
            <w:vAlign w:val="center"/>
          </w:tcPr>
          <w:p w14:paraId="0F465167">
            <w:pPr>
              <w:pStyle w:val="179"/>
              <w:rPr>
                <w:rFonts w:cs="Times New Roman"/>
                <w:b/>
                <w:bCs w:val="0"/>
              </w:rPr>
            </w:pPr>
            <w:r>
              <w:rPr>
                <w:rFonts w:cs="Times New Roman"/>
              </w:rPr>
              <w:t>影响途径</w:t>
            </w:r>
          </w:p>
        </w:tc>
        <w:tc>
          <w:tcPr>
            <w:tcW w:w="3404" w:type="pct"/>
            <w:gridSpan w:val="6"/>
            <w:noWrap/>
            <w:vAlign w:val="center"/>
          </w:tcPr>
          <w:p w14:paraId="657AF7F8">
            <w:pPr>
              <w:pStyle w:val="179"/>
              <w:rPr>
                <w:rFonts w:cs="Times New Roman"/>
                <w:b/>
                <w:bCs w:val="0"/>
              </w:rPr>
            </w:pPr>
            <w:r>
              <w:rPr>
                <w:rFonts w:cs="Times New Roman"/>
              </w:rPr>
              <w:t>大</w:t>
            </w:r>
            <w:r>
              <w:rPr>
                <w:rFonts w:ascii="宋体" w:hAnsi="宋体" w:cs="Times New Roman"/>
              </w:rPr>
              <w:t>气沉降</w:t>
            </w:r>
            <w:r>
              <w:rPr>
                <w:rFonts w:ascii="宋体" w:hAnsi="宋体" w:cs="Times New Roman"/>
              </w:rPr>
              <w:sym w:font="Wingdings 2" w:char="00A3"/>
            </w:r>
            <w:r>
              <w:rPr>
                <w:rFonts w:ascii="宋体" w:hAnsi="宋体" w:cs="Times New Roman"/>
              </w:rPr>
              <w:t>；地面漫流</w:t>
            </w:r>
            <w:r>
              <w:rPr>
                <w:rFonts w:hint="eastAsia" w:ascii="宋体" w:hAnsi="MS Mincho" w:eastAsia="MS Mincho" w:cs="MS Mincho"/>
              </w:rPr>
              <w:t>☑</w:t>
            </w:r>
            <w:r>
              <w:rPr>
                <w:rFonts w:ascii="宋体" w:hAnsi="宋体" w:cs="Times New Roman"/>
              </w:rPr>
              <w:t>；垂直入渗</w:t>
            </w:r>
            <w:r>
              <w:rPr>
                <w:rFonts w:hint="eastAsia" w:ascii="宋体" w:hAnsi="MS Mincho" w:eastAsia="MS Mincho" w:cs="MS Mincho"/>
              </w:rPr>
              <w:t>☑</w:t>
            </w:r>
            <w:r>
              <w:rPr>
                <w:rFonts w:ascii="宋体" w:hAnsi="宋体" w:cs="Times New Roman"/>
              </w:rPr>
              <w:t>；地下水位□；其他（）</w:t>
            </w:r>
          </w:p>
        </w:tc>
        <w:tc>
          <w:tcPr>
            <w:tcW w:w="326" w:type="pct"/>
            <w:noWrap/>
            <w:vAlign w:val="center"/>
          </w:tcPr>
          <w:p w14:paraId="3F9B95FC">
            <w:pPr>
              <w:pStyle w:val="179"/>
              <w:rPr>
                <w:rFonts w:cs="Times New Roman"/>
                <w:b/>
                <w:bCs w:val="0"/>
              </w:rPr>
            </w:pPr>
          </w:p>
        </w:tc>
      </w:tr>
      <w:tr w14:paraId="124C1F7A">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60" w:hRule="atLeast"/>
          <w:jc w:val="center"/>
        </w:trPr>
        <w:tc>
          <w:tcPr>
            <w:tcW w:w="256" w:type="pct"/>
            <w:vMerge w:val="continue"/>
            <w:noWrap/>
            <w:vAlign w:val="center"/>
          </w:tcPr>
          <w:p w14:paraId="20DE1889">
            <w:pPr>
              <w:pStyle w:val="179"/>
              <w:rPr>
                <w:rFonts w:cs="Times New Roman"/>
                <w:b/>
                <w:bCs w:val="0"/>
              </w:rPr>
            </w:pPr>
          </w:p>
        </w:tc>
        <w:tc>
          <w:tcPr>
            <w:tcW w:w="1015" w:type="pct"/>
            <w:noWrap/>
            <w:vAlign w:val="center"/>
          </w:tcPr>
          <w:p w14:paraId="4B405BAB">
            <w:pPr>
              <w:pStyle w:val="179"/>
              <w:rPr>
                <w:rFonts w:cs="Times New Roman"/>
                <w:b/>
                <w:bCs w:val="0"/>
              </w:rPr>
            </w:pPr>
            <w:r>
              <w:rPr>
                <w:rFonts w:cs="Times New Roman"/>
              </w:rPr>
              <w:t>全部污染物</w:t>
            </w:r>
          </w:p>
        </w:tc>
        <w:tc>
          <w:tcPr>
            <w:tcW w:w="3404" w:type="pct"/>
            <w:gridSpan w:val="6"/>
            <w:noWrap/>
            <w:vAlign w:val="center"/>
          </w:tcPr>
          <w:p w14:paraId="0577D33F">
            <w:pPr>
              <w:pStyle w:val="179"/>
              <w:rPr>
                <w:rFonts w:cs="Times New Roman"/>
                <w:b/>
                <w:bCs w:val="0"/>
              </w:rPr>
            </w:pPr>
            <w:r>
              <w:rPr>
                <w:rFonts w:hint="eastAsia" w:cs="Times New Roman"/>
              </w:rPr>
              <w:t>石油类</w:t>
            </w:r>
          </w:p>
        </w:tc>
        <w:tc>
          <w:tcPr>
            <w:tcW w:w="326" w:type="pct"/>
            <w:noWrap/>
            <w:vAlign w:val="center"/>
          </w:tcPr>
          <w:p w14:paraId="61E1C2E7">
            <w:pPr>
              <w:pStyle w:val="179"/>
              <w:rPr>
                <w:rFonts w:cs="Times New Roman"/>
                <w:b/>
                <w:bCs w:val="0"/>
              </w:rPr>
            </w:pPr>
          </w:p>
        </w:tc>
      </w:tr>
      <w:tr w14:paraId="0EC54DCD">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60" w:hRule="atLeast"/>
          <w:jc w:val="center"/>
        </w:trPr>
        <w:tc>
          <w:tcPr>
            <w:tcW w:w="256" w:type="pct"/>
            <w:vMerge w:val="continue"/>
            <w:noWrap/>
            <w:vAlign w:val="center"/>
          </w:tcPr>
          <w:p w14:paraId="5271CF6A">
            <w:pPr>
              <w:pStyle w:val="179"/>
              <w:rPr>
                <w:rFonts w:cs="Times New Roman"/>
                <w:b/>
                <w:bCs w:val="0"/>
              </w:rPr>
            </w:pPr>
          </w:p>
        </w:tc>
        <w:tc>
          <w:tcPr>
            <w:tcW w:w="1015" w:type="pct"/>
            <w:noWrap/>
            <w:vAlign w:val="center"/>
          </w:tcPr>
          <w:p w14:paraId="67BF7396">
            <w:pPr>
              <w:pStyle w:val="179"/>
              <w:rPr>
                <w:rFonts w:cs="Times New Roman"/>
                <w:b/>
                <w:bCs w:val="0"/>
              </w:rPr>
            </w:pPr>
            <w:r>
              <w:rPr>
                <w:rFonts w:cs="Times New Roman"/>
              </w:rPr>
              <w:t>特征因子</w:t>
            </w:r>
          </w:p>
        </w:tc>
        <w:tc>
          <w:tcPr>
            <w:tcW w:w="3404" w:type="pct"/>
            <w:gridSpan w:val="6"/>
            <w:noWrap/>
            <w:vAlign w:val="center"/>
          </w:tcPr>
          <w:p w14:paraId="1B4C2BA1">
            <w:pPr>
              <w:pStyle w:val="179"/>
              <w:rPr>
                <w:rFonts w:cs="Times New Roman"/>
                <w:b/>
                <w:bCs w:val="0"/>
              </w:rPr>
            </w:pPr>
            <w:r>
              <w:rPr>
                <w:rFonts w:hint="eastAsia" w:cs="Times New Roman"/>
              </w:rPr>
              <w:t>石油类</w:t>
            </w:r>
          </w:p>
        </w:tc>
        <w:tc>
          <w:tcPr>
            <w:tcW w:w="326" w:type="pct"/>
            <w:noWrap/>
            <w:vAlign w:val="center"/>
          </w:tcPr>
          <w:p w14:paraId="491ACAC3">
            <w:pPr>
              <w:pStyle w:val="179"/>
              <w:rPr>
                <w:rFonts w:cs="Times New Roman"/>
                <w:b/>
                <w:bCs w:val="0"/>
              </w:rPr>
            </w:pPr>
          </w:p>
        </w:tc>
      </w:tr>
      <w:tr w14:paraId="6BAF7B9E">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60" w:hRule="atLeast"/>
          <w:jc w:val="center"/>
        </w:trPr>
        <w:tc>
          <w:tcPr>
            <w:tcW w:w="256" w:type="pct"/>
            <w:vMerge w:val="continue"/>
            <w:noWrap/>
            <w:vAlign w:val="center"/>
          </w:tcPr>
          <w:p w14:paraId="13497659">
            <w:pPr>
              <w:pStyle w:val="179"/>
              <w:rPr>
                <w:rFonts w:cs="Times New Roman"/>
                <w:b/>
                <w:bCs w:val="0"/>
              </w:rPr>
            </w:pPr>
          </w:p>
        </w:tc>
        <w:tc>
          <w:tcPr>
            <w:tcW w:w="1015" w:type="pct"/>
            <w:noWrap/>
            <w:vAlign w:val="center"/>
          </w:tcPr>
          <w:p w14:paraId="1B541C12">
            <w:pPr>
              <w:pStyle w:val="179"/>
              <w:rPr>
                <w:rFonts w:cs="Times New Roman"/>
                <w:b/>
                <w:bCs w:val="0"/>
              </w:rPr>
            </w:pPr>
            <w:r>
              <w:rPr>
                <w:rFonts w:cs="Times New Roman"/>
              </w:rPr>
              <w:t>所属土壤环境影响评价项目类别</w:t>
            </w:r>
          </w:p>
        </w:tc>
        <w:tc>
          <w:tcPr>
            <w:tcW w:w="3404" w:type="pct"/>
            <w:gridSpan w:val="6"/>
            <w:noWrap/>
            <w:vAlign w:val="center"/>
          </w:tcPr>
          <w:p w14:paraId="11EDC98D">
            <w:pPr>
              <w:pStyle w:val="179"/>
              <w:rPr>
                <w:rFonts w:cs="Times New Roman"/>
                <w:b/>
                <w:bCs w:val="0"/>
              </w:rPr>
            </w:pPr>
            <w:r>
              <w:rPr>
                <w:rFonts w:cs="Times New Roman"/>
              </w:rPr>
              <w:t>Ⅰ类</w:t>
            </w:r>
            <w:r>
              <w:rPr>
                <w:rFonts w:cs="Times New Roman"/>
              </w:rPr>
              <w:sym w:font="Wingdings 2" w:char="00A3"/>
            </w:r>
            <w:r>
              <w:rPr>
                <w:rFonts w:cs="Times New Roman"/>
              </w:rPr>
              <w:t>；Ⅱ类</w:t>
            </w:r>
            <w:r>
              <w:rPr>
                <w:rFonts w:cs="Times New Roman"/>
              </w:rPr>
              <w:sym w:font="Wingdings 2" w:char="00A3"/>
            </w:r>
            <w:r>
              <w:rPr>
                <w:rFonts w:cs="Times New Roman"/>
              </w:rPr>
              <w:t>；Ⅲ类</w:t>
            </w:r>
            <w:r>
              <w:rPr>
                <w:rFonts w:hint="eastAsia" w:ascii="宋体" w:hAnsi="MS Mincho" w:eastAsia="MS Mincho" w:cs="MS Mincho"/>
              </w:rPr>
              <w:t>☑</w:t>
            </w:r>
            <w:r>
              <w:rPr>
                <w:rFonts w:cs="Times New Roman"/>
              </w:rPr>
              <w:t>；Ⅳ类□</w:t>
            </w:r>
          </w:p>
        </w:tc>
        <w:tc>
          <w:tcPr>
            <w:tcW w:w="326" w:type="pct"/>
            <w:noWrap/>
            <w:vAlign w:val="center"/>
          </w:tcPr>
          <w:p w14:paraId="3FE01E72">
            <w:pPr>
              <w:pStyle w:val="179"/>
              <w:rPr>
                <w:rFonts w:cs="Times New Roman"/>
                <w:b/>
                <w:bCs w:val="0"/>
              </w:rPr>
            </w:pPr>
          </w:p>
        </w:tc>
      </w:tr>
      <w:tr w14:paraId="5B37892D">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60" w:hRule="atLeast"/>
          <w:jc w:val="center"/>
        </w:trPr>
        <w:tc>
          <w:tcPr>
            <w:tcW w:w="256" w:type="pct"/>
            <w:vMerge w:val="continue"/>
            <w:noWrap/>
            <w:vAlign w:val="center"/>
          </w:tcPr>
          <w:p w14:paraId="49E9E153">
            <w:pPr>
              <w:pStyle w:val="179"/>
              <w:rPr>
                <w:rFonts w:cs="Times New Roman"/>
                <w:b/>
                <w:bCs w:val="0"/>
              </w:rPr>
            </w:pPr>
          </w:p>
        </w:tc>
        <w:tc>
          <w:tcPr>
            <w:tcW w:w="1015" w:type="pct"/>
            <w:noWrap/>
            <w:vAlign w:val="center"/>
          </w:tcPr>
          <w:p w14:paraId="21E5084C">
            <w:pPr>
              <w:pStyle w:val="179"/>
              <w:rPr>
                <w:rFonts w:cs="Times New Roman"/>
                <w:b/>
                <w:bCs w:val="0"/>
              </w:rPr>
            </w:pPr>
            <w:r>
              <w:rPr>
                <w:rFonts w:cs="Times New Roman"/>
              </w:rPr>
              <w:t>敏感程度</w:t>
            </w:r>
          </w:p>
        </w:tc>
        <w:tc>
          <w:tcPr>
            <w:tcW w:w="3404" w:type="pct"/>
            <w:gridSpan w:val="6"/>
            <w:noWrap/>
            <w:vAlign w:val="center"/>
          </w:tcPr>
          <w:p w14:paraId="68CB9EFF">
            <w:pPr>
              <w:pStyle w:val="179"/>
              <w:rPr>
                <w:rFonts w:ascii="宋体" w:hAnsi="宋体" w:cs="Times New Roman"/>
                <w:b/>
                <w:bCs w:val="0"/>
              </w:rPr>
            </w:pPr>
            <w:r>
              <w:rPr>
                <w:rFonts w:ascii="宋体" w:hAnsi="宋体" w:cs="Times New Roman"/>
              </w:rPr>
              <w:t>敏感</w:t>
            </w:r>
            <w:r>
              <w:rPr>
                <w:rFonts w:cs="Times New Roman"/>
              </w:rPr>
              <w:sym w:font="Wingdings 2" w:char="00A3"/>
            </w:r>
            <w:r>
              <w:rPr>
                <w:rFonts w:ascii="宋体" w:hAnsi="宋体" w:cs="Times New Roman"/>
              </w:rPr>
              <w:t>；较敏感</w:t>
            </w:r>
            <w:r>
              <w:rPr>
                <w:rFonts w:hint="eastAsia" w:ascii="宋体" w:hAnsi="MS Mincho" w:eastAsia="MS Mincho" w:cs="MS Mincho"/>
              </w:rPr>
              <w:t>☑</w:t>
            </w:r>
            <w:r>
              <w:rPr>
                <w:rFonts w:ascii="宋体" w:hAnsi="宋体" w:cs="Times New Roman"/>
              </w:rPr>
              <w:t>；不敏感</w:t>
            </w:r>
            <w:r>
              <w:rPr>
                <w:rFonts w:ascii="宋体" w:hAnsi="宋体" w:cs="Times New Roman"/>
              </w:rPr>
              <w:sym w:font="Wingdings 2" w:char="00A3"/>
            </w:r>
          </w:p>
        </w:tc>
        <w:tc>
          <w:tcPr>
            <w:tcW w:w="326" w:type="pct"/>
            <w:noWrap/>
            <w:vAlign w:val="center"/>
          </w:tcPr>
          <w:p w14:paraId="61D8025B">
            <w:pPr>
              <w:pStyle w:val="179"/>
              <w:rPr>
                <w:rFonts w:cs="Times New Roman"/>
                <w:b/>
                <w:bCs w:val="0"/>
              </w:rPr>
            </w:pPr>
          </w:p>
        </w:tc>
      </w:tr>
      <w:tr w14:paraId="13A6A2E6">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60" w:hRule="atLeast"/>
          <w:jc w:val="center"/>
        </w:trPr>
        <w:tc>
          <w:tcPr>
            <w:tcW w:w="1270" w:type="pct"/>
            <w:gridSpan w:val="2"/>
            <w:noWrap/>
            <w:vAlign w:val="center"/>
          </w:tcPr>
          <w:p w14:paraId="12787BB9">
            <w:pPr>
              <w:pStyle w:val="179"/>
              <w:rPr>
                <w:rFonts w:cs="Times New Roman"/>
                <w:b/>
                <w:bCs w:val="0"/>
              </w:rPr>
            </w:pPr>
            <w:r>
              <w:rPr>
                <w:rFonts w:cs="Times New Roman"/>
              </w:rPr>
              <w:t>评价工作等级</w:t>
            </w:r>
          </w:p>
        </w:tc>
        <w:tc>
          <w:tcPr>
            <w:tcW w:w="3404" w:type="pct"/>
            <w:gridSpan w:val="6"/>
            <w:noWrap/>
            <w:vAlign w:val="center"/>
          </w:tcPr>
          <w:p w14:paraId="478F5531">
            <w:pPr>
              <w:pStyle w:val="179"/>
              <w:rPr>
                <w:rFonts w:ascii="宋体" w:hAnsi="宋体" w:cs="Times New Roman"/>
                <w:b/>
                <w:bCs w:val="0"/>
              </w:rPr>
            </w:pPr>
            <w:r>
              <w:rPr>
                <w:rFonts w:ascii="宋体" w:hAnsi="宋体" w:cs="Times New Roman"/>
              </w:rPr>
              <w:t>一级</w:t>
            </w:r>
            <w:r>
              <w:rPr>
                <w:rFonts w:cs="Times New Roman"/>
              </w:rPr>
              <w:sym w:font="Wingdings 2" w:char="00A3"/>
            </w:r>
            <w:r>
              <w:rPr>
                <w:rFonts w:ascii="宋体" w:hAnsi="宋体" w:cs="Times New Roman"/>
              </w:rPr>
              <w:t>；二级</w:t>
            </w:r>
            <w:r>
              <w:rPr>
                <w:rFonts w:ascii="宋体" w:hAnsi="宋体" w:cs="Times New Roman"/>
              </w:rPr>
              <w:sym w:font="Wingdings 2" w:char="00A3"/>
            </w:r>
            <w:r>
              <w:rPr>
                <w:rFonts w:ascii="宋体" w:hAnsi="宋体" w:cs="Times New Roman"/>
              </w:rPr>
              <w:t>；三级</w:t>
            </w:r>
            <w:r>
              <w:rPr>
                <w:rFonts w:hint="eastAsia" w:ascii="宋体" w:hAnsi="MS Mincho" w:eastAsia="MS Mincho" w:cs="MS Mincho"/>
              </w:rPr>
              <w:t>☑</w:t>
            </w:r>
          </w:p>
        </w:tc>
        <w:tc>
          <w:tcPr>
            <w:tcW w:w="326" w:type="pct"/>
            <w:noWrap/>
            <w:vAlign w:val="center"/>
          </w:tcPr>
          <w:p w14:paraId="78251BEC">
            <w:pPr>
              <w:pStyle w:val="179"/>
              <w:rPr>
                <w:rFonts w:cs="Times New Roman"/>
                <w:b/>
                <w:bCs w:val="0"/>
              </w:rPr>
            </w:pPr>
          </w:p>
        </w:tc>
      </w:tr>
      <w:tr w14:paraId="119F3513">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60" w:hRule="atLeast"/>
          <w:jc w:val="center"/>
        </w:trPr>
        <w:tc>
          <w:tcPr>
            <w:tcW w:w="256" w:type="pct"/>
            <w:vMerge w:val="restart"/>
            <w:noWrap/>
            <w:vAlign w:val="center"/>
          </w:tcPr>
          <w:p w14:paraId="606F4EBB">
            <w:pPr>
              <w:pStyle w:val="179"/>
              <w:rPr>
                <w:rFonts w:cs="Times New Roman"/>
                <w:b/>
                <w:bCs w:val="0"/>
              </w:rPr>
            </w:pPr>
            <w:r>
              <w:rPr>
                <w:rFonts w:cs="Times New Roman"/>
              </w:rPr>
              <w:t>现状调查内容</w:t>
            </w:r>
          </w:p>
        </w:tc>
        <w:tc>
          <w:tcPr>
            <w:tcW w:w="1015" w:type="pct"/>
            <w:noWrap/>
            <w:vAlign w:val="center"/>
          </w:tcPr>
          <w:p w14:paraId="7FFF8D7E">
            <w:pPr>
              <w:pStyle w:val="179"/>
              <w:rPr>
                <w:rFonts w:cs="Times New Roman"/>
                <w:b/>
                <w:bCs w:val="0"/>
              </w:rPr>
            </w:pPr>
            <w:r>
              <w:rPr>
                <w:rFonts w:cs="Times New Roman"/>
              </w:rPr>
              <w:t>资料收集</w:t>
            </w:r>
          </w:p>
        </w:tc>
        <w:tc>
          <w:tcPr>
            <w:tcW w:w="3404" w:type="pct"/>
            <w:gridSpan w:val="6"/>
            <w:noWrap/>
            <w:vAlign w:val="center"/>
          </w:tcPr>
          <w:p w14:paraId="5EDFB8BD">
            <w:pPr>
              <w:pStyle w:val="179"/>
              <w:rPr>
                <w:rFonts w:ascii="宋体" w:hAnsi="宋体" w:cs="Times New Roman"/>
                <w:b/>
                <w:bCs w:val="0"/>
              </w:rPr>
            </w:pPr>
            <w:r>
              <w:rPr>
                <w:rFonts w:ascii="宋体" w:hAnsi="宋体" w:cs="Times New Roman"/>
              </w:rPr>
              <w:t>a)</w:t>
            </w:r>
            <w:r>
              <w:rPr>
                <w:rFonts w:ascii="宋体" w:hAnsi="宋体" w:cs="Times New Roman"/>
              </w:rPr>
              <w:sym w:font="Wingdings 2" w:char="0052"/>
            </w:r>
            <w:r>
              <w:rPr>
                <w:rFonts w:ascii="宋体" w:hAnsi="宋体" w:cs="Times New Roman"/>
              </w:rPr>
              <w:t>; b)</w:t>
            </w:r>
            <w:r>
              <w:rPr>
                <w:rFonts w:ascii="宋体" w:hAnsi="宋体" w:cs="Times New Roman"/>
              </w:rPr>
              <w:sym w:font="Wingdings 2" w:char="0052"/>
            </w:r>
            <w:r>
              <w:rPr>
                <w:rFonts w:ascii="宋体" w:hAnsi="宋体" w:cs="Times New Roman"/>
              </w:rPr>
              <w:t>; c)</w:t>
            </w:r>
            <w:r>
              <w:rPr>
                <w:rFonts w:ascii="宋体" w:hAnsi="宋体" w:cs="Times New Roman"/>
              </w:rPr>
              <w:sym w:font="Wingdings 2" w:char="0052"/>
            </w:r>
            <w:r>
              <w:rPr>
                <w:rFonts w:ascii="宋体" w:hAnsi="宋体" w:cs="Times New Roman"/>
              </w:rPr>
              <w:t>; d)</w:t>
            </w:r>
            <w:r>
              <w:rPr>
                <w:rFonts w:ascii="宋体" w:hAnsi="宋体" w:cs="Times New Roman"/>
              </w:rPr>
              <w:sym w:font="Wingdings 2" w:char="0052"/>
            </w:r>
          </w:p>
        </w:tc>
        <w:tc>
          <w:tcPr>
            <w:tcW w:w="326" w:type="pct"/>
            <w:noWrap/>
            <w:vAlign w:val="center"/>
          </w:tcPr>
          <w:p w14:paraId="352E6BB8">
            <w:pPr>
              <w:pStyle w:val="179"/>
              <w:rPr>
                <w:rFonts w:cs="Times New Roman"/>
                <w:b/>
                <w:bCs w:val="0"/>
              </w:rPr>
            </w:pPr>
          </w:p>
        </w:tc>
      </w:tr>
      <w:tr w14:paraId="2F8DD113">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60" w:hRule="atLeast"/>
          <w:jc w:val="center"/>
        </w:trPr>
        <w:tc>
          <w:tcPr>
            <w:tcW w:w="256" w:type="pct"/>
            <w:vMerge w:val="continue"/>
            <w:noWrap/>
            <w:vAlign w:val="center"/>
          </w:tcPr>
          <w:p w14:paraId="1652ABAD">
            <w:pPr>
              <w:pStyle w:val="179"/>
              <w:rPr>
                <w:rFonts w:cs="Times New Roman"/>
                <w:b/>
                <w:bCs w:val="0"/>
              </w:rPr>
            </w:pPr>
          </w:p>
        </w:tc>
        <w:tc>
          <w:tcPr>
            <w:tcW w:w="1015" w:type="pct"/>
            <w:noWrap/>
            <w:vAlign w:val="center"/>
          </w:tcPr>
          <w:p w14:paraId="701682C3">
            <w:pPr>
              <w:pStyle w:val="179"/>
              <w:rPr>
                <w:rFonts w:cs="Times New Roman"/>
                <w:b/>
                <w:bCs w:val="0"/>
              </w:rPr>
            </w:pPr>
            <w:r>
              <w:rPr>
                <w:rFonts w:cs="Times New Roman"/>
              </w:rPr>
              <w:t>理化特性</w:t>
            </w:r>
          </w:p>
        </w:tc>
        <w:tc>
          <w:tcPr>
            <w:tcW w:w="3404" w:type="pct"/>
            <w:gridSpan w:val="6"/>
            <w:noWrap/>
            <w:vAlign w:val="center"/>
          </w:tcPr>
          <w:p w14:paraId="458557CC">
            <w:pPr>
              <w:pStyle w:val="179"/>
              <w:rPr>
                <w:rFonts w:ascii="宋体" w:hAnsi="宋体" w:cs="Times New Roman"/>
                <w:b/>
                <w:bCs w:val="0"/>
              </w:rPr>
            </w:pPr>
          </w:p>
        </w:tc>
        <w:tc>
          <w:tcPr>
            <w:tcW w:w="326" w:type="pct"/>
            <w:noWrap/>
            <w:vAlign w:val="center"/>
          </w:tcPr>
          <w:p w14:paraId="394F91A8">
            <w:pPr>
              <w:pStyle w:val="179"/>
              <w:rPr>
                <w:rFonts w:cs="Times New Roman"/>
                <w:b/>
                <w:bCs w:val="0"/>
              </w:rPr>
            </w:pPr>
            <w:r>
              <w:rPr>
                <w:rFonts w:cs="Times New Roman"/>
              </w:rPr>
              <w:t>同附录 C</w:t>
            </w:r>
          </w:p>
        </w:tc>
      </w:tr>
      <w:tr w14:paraId="7C73A850">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60" w:hRule="atLeast"/>
          <w:jc w:val="center"/>
        </w:trPr>
        <w:tc>
          <w:tcPr>
            <w:tcW w:w="256" w:type="pct"/>
            <w:vMerge w:val="continue"/>
            <w:noWrap/>
            <w:vAlign w:val="center"/>
          </w:tcPr>
          <w:p w14:paraId="1CA22DAA">
            <w:pPr>
              <w:pStyle w:val="179"/>
              <w:rPr>
                <w:rFonts w:cs="Times New Roman"/>
                <w:b/>
                <w:bCs w:val="0"/>
              </w:rPr>
            </w:pPr>
          </w:p>
        </w:tc>
        <w:tc>
          <w:tcPr>
            <w:tcW w:w="1015" w:type="pct"/>
            <w:vMerge w:val="restart"/>
            <w:noWrap/>
            <w:vAlign w:val="center"/>
          </w:tcPr>
          <w:p w14:paraId="35E61CD5">
            <w:pPr>
              <w:pStyle w:val="179"/>
              <w:rPr>
                <w:rFonts w:cs="Times New Roman"/>
                <w:b/>
                <w:bCs w:val="0"/>
              </w:rPr>
            </w:pPr>
            <w:r>
              <w:rPr>
                <w:rFonts w:cs="Times New Roman"/>
              </w:rPr>
              <w:t>现状监测点位</w:t>
            </w:r>
          </w:p>
        </w:tc>
        <w:tc>
          <w:tcPr>
            <w:tcW w:w="458" w:type="pct"/>
            <w:gridSpan w:val="2"/>
            <w:noWrap/>
            <w:vAlign w:val="center"/>
          </w:tcPr>
          <w:p w14:paraId="035E79CB">
            <w:pPr>
              <w:pStyle w:val="179"/>
              <w:rPr>
                <w:rFonts w:cs="Times New Roman"/>
                <w:b/>
                <w:bCs w:val="0"/>
              </w:rPr>
            </w:pPr>
          </w:p>
        </w:tc>
        <w:tc>
          <w:tcPr>
            <w:tcW w:w="1135" w:type="pct"/>
            <w:noWrap/>
            <w:vAlign w:val="center"/>
          </w:tcPr>
          <w:p w14:paraId="30C726B8">
            <w:pPr>
              <w:pStyle w:val="179"/>
              <w:rPr>
                <w:rFonts w:cs="Times New Roman"/>
                <w:b/>
                <w:bCs w:val="0"/>
              </w:rPr>
            </w:pPr>
            <w:r>
              <w:rPr>
                <w:rFonts w:cs="Times New Roman"/>
              </w:rPr>
              <w:t>占地范围内</w:t>
            </w:r>
          </w:p>
        </w:tc>
        <w:tc>
          <w:tcPr>
            <w:tcW w:w="807" w:type="pct"/>
            <w:noWrap/>
            <w:vAlign w:val="center"/>
          </w:tcPr>
          <w:p w14:paraId="7D6BF159">
            <w:pPr>
              <w:pStyle w:val="179"/>
              <w:rPr>
                <w:rFonts w:cs="Times New Roman"/>
                <w:b/>
                <w:bCs w:val="0"/>
              </w:rPr>
            </w:pPr>
            <w:r>
              <w:rPr>
                <w:rFonts w:cs="Times New Roman"/>
              </w:rPr>
              <w:t>占地范围外</w:t>
            </w:r>
          </w:p>
        </w:tc>
        <w:tc>
          <w:tcPr>
            <w:tcW w:w="1003" w:type="pct"/>
            <w:gridSpan w:val="2"/>
            <w:noWrap/>
            <w:vAlign w:val="center"/>
          </w:tcPr>
          <w:p w14:paraId="4913AA70">
            <w:pPr>
              <w:pStyle w:val="179"/>
              <w:rPr>
                <w:rFonts w:cs="Times New Roman"/>
                <w:b/>
                <w:bCs w:val="0"/>
              </w:rPr>
            </w:pPr>
            <w:r>
              <w:rPr>
                <w:rFonts w:cs="Times New Roman"/>
              </w:rPr>
              <w:t>深度</w:t>
            </w:r>
          </w:p>
        </w:tc>
        <w:tc>
          <w:tcPr>
            <w:tcW w:w="326" w:type="pct"/>
            <w:vMerge w:val="restart"/>
            <w:noWrap/>
            <w:vAlign w:val="center"/>
          </w:tcPr>
          <w:p w14:paraId="08641190">
            <w:pPr>
              <w:pStyle w:val="179"/>
              <w:rPr>
                <w:rFonts w:cs="Times New Roman"/>
                <w:b/>
                <w:bCs w:val="0"/>
              </w:rPr>
            </w:pPr>
            <w:r>
              <w:rPr>
                <w:rFonts w:cs="Times New Roman"/>
              </w:rPr>
              <w:t>点位布置图</w:t>
            </w:r>
          </w:p>
        </w:tc>
      </w:tr>
      <w:tr w14:paraId="2877B62E">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60" w:hRule="atLeast"/>
          <w:jc w:val="center"/>
        </w:trPr>
        <w:tc>
          <w:tcPr>
            <w:tcW w:w="256" w:type="pct"/>
            <w:vMerge w:val="continue"/>
            <w:noWrap/>
            <w:vAlign w:val="center"/>
          </w:tcPr>
          <w:p w14:paraId="6F5BE5DD">
            <w:pPr>
              <w:pStyle w:val="179"/>
              <w:rPr>
                <w:rFonts w:cs="Times New Roman"/>
                <w:b/>
                <w:bCs w:val="0"/>
              </w:rPr>
            </w:pPr>
          </w:p>
        </w:tc>
        <w:tc>
          <w:tcPr>
            <w:tcW w:w="1015" w:type="pct"/>
            <w:vMerge w:val="continue"/>
            <w:noWrap/>
            <w:vAlign w:val="center"/>
          </w:tcPr>
          <w:p w14:paraId="527BD098">
            <w:pPr>
              <w:pStyle w:val="179"/>
              <w:rPr>
                <w:rFonts w:cs="Times New Roman"/>
                <w:b/>
                <w:bCs w:val="0"/>
              </w:rPr>
            </w:pPr>
          </w:p>
        </w:tc>
        <w:tc>
          <w:tcPr>
            <w:tcW w:w="458" w:type="pct"/>
            <w:gridSpan w:val="2"/>
            <w:noWrap/>
            <w:vAlign w:val="center"/>
          </w:tcPr>
          <w:p w14:paraId="0FE62AB3">
            <w:pPr>
              <w:pStyle w:val="179"/>
              <w:rPr>
                <w:rFonts w:cs="Times New Roman"/>
                <w:b/>
                <w:bCs w:val="0"/>
              </w:rPr>
            </w:pPr>
            <w:r>
              <w:rPr>
                <w:rFonts w:cs="Times New Roman"/>
              </w:rPr>
              <w:t>表层样点数</w:t>
            </w:r>
          </w:p>
        </w:tc>
        <w:tc>
          <w:tcPr>
            <w:tcW w:w="1135" w:type="pct"/>
            <w:noWrap/>
            <w:vAlign w:val="center"/>
          </w:tcPr>
          <w:p w14:paraId="3D0A1A00">
            <w:pPr>
              <w:pStyle w:val="179"/>
              <w:rPr>
                <w:rFonts w:cs="Times New Roman"/>
                <w:b/>
                <w:bCs w:val="0"/>
              </w:rPr>
            </w:pPr>
            <w:r>
              <w:rPr>
                <w:rFonts w:hint="eastAsia" w:cs="Times New Roman"/>
              </w:rPr>
              <w:t>1</w:t>
            </w:r>
            <w:r>
              <w:rPr>
                <w:rFonts w:cs="Times New Roman"/>
              </w:rPr>
              <w:t>个</w:t>
            </w:r>
          </w:p>
        </w:tc>
        <w:tc>
          <w:tcPr>
            <w:tcW w:w="807" w:type="pct"/>
            <w:noWrap/>
            <w:vAlign w:val="center"/>
          </w:tcPr>
          <w:p w14:paraId="4A854A86">
            <w:pPr>
              <w:pStyle w:val="179"/>
              <w:rPr>
                <w:rFonts w:cs="Times New Roman"/>
                <w:b/>
                <w:bCs w:val="0"/>
              </w:rPr>
            </w:pPr>
            <w:r>
              <w:rPr>
                <w:rFonts w:hint="eastAsia" w:cs="Times New Roman"/>
              </w:rPr>
              <w:t>2</w:t>
            </w:r>
            <w:r>
              <w:rPr>
                <w:rFonts w:cs="Times New Roman"/>
              </w:rPr>
              <w:t>个</w:t>
            </w:r>
          </w:p>
        </w:tc>
        <w:tc>
          <w:tcPr>
            <w:tcW w:w="1003" w:type="pct"/>
            <w:gridSpan w:val="2"/>
            <w:noWrap/>
            <w:vAlign w:val="center"/>
          </w:tcPr>
          <w:p w14:paraId="524958F7">
            <w:pPr>
              <w:pStyle w:val="179"/>
              <w:rPr>
                <w:rFonts w:cs="Times New Roman"/>
                <w:b/>
                <w:bCs w:val="0"/>
              </w:rPr>
            </w:pPr>
            <w:r>
              <w:rPr>
                <w:rFonts w:cs="Times New Roman"/>
              </w:rPr>
              <w:t>0~0.2m</w:t>
            </w:r>
          </w:p>
        </w:tc>
        <w:tc>
          <w:tcPr>
            <w:tcW w:w="326" w:type="pct"/>
            <w:vMerge w:val="continue"/>
            <w:noWrap/>
            <w:vAlign w:val="center"/>
          </w:tcPr>
          <w:p w14:paraId="66096409">
            <w:pPr>
              <w:pStyle w:val="179"/>
              <w:rPr>
                <w:rFonts w:cs="Times New Roman"/>
                <w:b/>
                <w:bCs w:val="0"/>
              </w:rPr>
            </w:pPr>
          </w:p>
        </w:tc>
      </w:tr>
      <w:tr w14:paraId="2784B104">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60" w:hRule="atLeast"/>
          <w:jc w:val="center"/>
        </w:trPr>
        <w:tc>
          <w:tcPr>
            <w:tcW w:w="256" w:type="pct"/>
            <w:vMerge w:val="continue"/>
            <w:noWrap/>
            <w:vAlign w:val="center"/>
          </w:tcPr>
          <w:p w14:paraId="08ED5869">
            <w:pPr>
              <w:pStyle w:val="179"/>
              <w:rPr>
                <w:rFonts w:cs="Times New Roman"/>
                <w:b/>
                <w:bCs w:val="0"/>
              </w:rPr>
            </w:pPr>
          </w:p>
        </w:tc>
        <w:tc>
          <w:tcPr>
            <w:tcW w:w="1015" w:type="pct"/>
            <w:vMerge w:val="continue"/>
            <w:noWrap/>
            <w:vAlign w:val="center"/>
          </w:tcPr>
          <w:p w14:paraId="2ADAD254">
            <w:pPr>
              <w:pStyle w:val="179"/>
              <w:rPr>
                <w:rFonts w:cs="Times New Roman"/>
                <w:b/>
                <w:bCs w:val="0"/>
              </w:rPr>
            </w:pPr>
          </w:p>
        </w:tc>
        <w:tc>
          <w:tcPr>
            <w:tcW w:w="458" w:type="pct"/>
            <w:gridSpan w:val="2"/>
            <w:noWrap/>
            <w:vAlign w:val="center"/>
          </w:tcPr>
          <w:p w14:paraId="51E922F7">
            <w:pPr>
              <w:pStyle w:val="179"/>
              <w:rPr>
                <w:rFonts w:cs="Times New Roman"/>
                <w:b/>
                <w:bCs w:val="0"/>
              </w:rPr>
            </w:pPr>
            <w:r>
              <w:rPr>
                <w:rFonts w:cs="Times New Roman"/>
              </w:rPr>
              <w:t>柱状样点数</w:t>
            </w:r>
          </w:p>
        </w:tc>
        <w:tc>
          <w:tcPr>
            <w:tcW w:w="1135" w:type="pct"/>
            <w:noWrap/>
            <w:vAlign w:val="center"/>
          </w:tcPr>
          <w:p w14:paraId="7FBC6F1D">
            <w:pPr>
              <w:pStyle w:val="179"/>
              <w:rPr>
                <w:rFonts w:cs="Times New Roman"/>
                <w:b/>
                <w:bCs w:val="0"/>
              </w:rPr>
            </w:pPr>
            <w:r>
              <w:rPr>
                <w:rFonts w:hint="eastAsia" w:cs="Times New Roman"/>
              </w:rPr>
              <w:t>3</w:t>
            </w:r>
            <w:r>
              <w:rPr>
                <w:rFonts w:cs="Times New Roman"/>
              </w:rPr>
              <w:t>个</w:t>
            </w:r>
          </w:p>
        </w:tc>
        <w:tc>
          <w:tcPr>
            <w:tcW w:w="807" w:type="pct"/>
            <w:noWrap/>
            <w:vAlign w:val="center"/>
          </w:tcPr>
          <w:p w14:paraId="70302147">
            <w:pPr>
              <w:pStyle w:val="179"/>
              <w:rPr>
                <w:rFonts w:cs="Times New Roman"/>
                <w:b/>
                <w:bCs w:val="0"/>
              </w:rPr>
            </w:pPr>
            <w:r>
              <w:rPr>
                <w:rFonts w:cs="Times New Roman"/>
              </w:rPr>
              <w:t>--</w:t>
            </w:r>
          </w:p>
        </w:tc>
        <w:tc>
          <w:tcPr>
            <w:tcW w:w="1003" w:type="pct"/>
            <w:gridSpan w:val="2"/>
            <w:noWrap/>
            <w:vAlign w:val="center"/>
          </w:tcPr>
          <w:p w14:paraId="0034322E">
            <w:pPr>
              <w:pStyle w:val="179"/>
              <w:rPr>
                <w:rFonts w:cs="Times New Roman"/>
                <w:b/>
                <w:bCs w:val="0"/>
              </w:rPr>
            </w:pPr>
            <w:r>
              <w:rPr>
                <w:rFonts w:cs="Times New Roman"/>
              </w:rPr>
              <w:t>0~0.5m、0.5～1.5m、1.5～3m</w:t>
            </w:r>
          </w:p>
        </w:tc>
        <w:tc>
          <w:tcPr>
            <w:tcW w:w="326" w:type="pct"/>
            <w:vMerge w:val="continue"/>
            <w:noWrap/>
            <w:vAlign w:val="center"/>
          </w:tcPr>
          <w:p w14:paraId="2D5D808B">
            <w:pPr>
              <w:pStyle w:val="179"/>
              <w:rPr>
                <w:rFonts w:cs="Times New Roman"/>
                <w:b/>
                <w:bCs w:val="0"/>
              </w:rPr>
            </w:pPr>
          </w:p>
        </w:tc>
      </w:tr>
      <w:tr w14:paraId="0F0D962D">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60" w:hRule="atLeast"/>
          <w:jc w:val="center"/>
        </w:trPr>
        <w:tc>
          <w:tcPr>
            <w:tcW w:w="256" w:type="pct"/>
            <w:vMerge w:val="continue"/>
            <w:noWrap/>
            <w:vAlign w:val="center"/>
          </w:tcPr>
          <w:p w14:paraId="317A33A2">
            <w:pPr>
              <w:pStyle w:val="179"/>
              <w:rPr>
                <w:rFonts w:cs="Times New Roman"/>
                <w:b/>
                <w:bCs w:val="0"/>
              </w:rPr>
            </w:pPr>
          </w:p>
        </w:tc>
        <w:tc>
          <w:tcPr>
            <w:tcW w:w="1015" w:type="pct"/>
            <w:noWrap/>
            <w:vAlign w:val="center"/>
          </w:tcPr>
          <w:p w14:paraId="5CD21995">
            <w:pPr>
              <w:pStyle w:val="179"/>
              <w:rPr>
                <w:rFonts w:cs="Times New Roman"/>
                <w:b/>
                <w:bCs w:val="0"/>
              </w:rPr>
            </w:pPr>
            <w:r>
              <w:rPr>
                <w:rFonts w:cs="Times New Roman"/>
              </w:rPr>
              <w:t>现状监测因子</w:t>
            </w:r>
          </w:p>
        </w:tc>
        <w:tc>
          <w:tcPr>
            <w:tcW w:w="3404" w:type="pct"/>
            <w:gridSpan w:val="6"/>
            <w:noWrap/>
            <w:vAlign w:val="center"/>
          </w:tcPr>
          <w:p w14:paraId="4CC35B37">
            <w:pPr>
              <w:pStyle w:val="179"/>
              <w:jc w:val="left"/>
              <w:rPr>
                <w:rFonts w:cs="Times New Roman"/>
                <w:b/>
                <w:bCs w:val="0"/>
              </w:rPr>
            </w:pPr>
            <w:r>
              <w:rPr>
                <w:rFonts w:hint="eastAsia" w:cs="Times New Roman"/>
              </w:rPr>
              <w:t>GB36600-2018 中基本项+石油烃</w:t>
            </w:r>
          </w:p>
        </w:tc>
        <w:tc>
          <w:tcPr>
            <w:tcW w:w="326" w:type="pct"/>
            <w:noWrap/>
            <w:vAlign w:val="center"/>
          </w:tcPr>
          <w:p w14:paraId="4457C530">
            <w:pPr>
              <w:pStyle w:val="179"/>
              <w:rPr>
                <w:rFonts w:cs="Times New Roman"/>
                <w:b/>
                <w:bCs w:val="0"/>
              </w:rPr>
            </w:pPr>
          </w:p>
        </w:tc>
      </w:tr>
      <w:tr w14:paraId="3985D051">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60" w:hRule="atLeast"/>
          <w:jc w:val="center"/>
        </w:trPr>
        <w:tc>
          <w:tcPr>
            <w:tcW w:w="256" w:type="pct"/>
            <w:vMerge w:val="restart"/>
            <w:noWrap/>
            <w:vAlign w:val="center"/>
          </w:tcPr>
          <w:p w14:paraId="6E697190">
            <w:pPr>
              <w:pStyle w:val="179"/>
              <w:rPr>
                <w:rFonts w:cs="Times New Roman"/>
                <w:b/>
                <w:bCs w:val="0"/>
              </w:rPr>
            </w:pPr>
            <w:r>
              <w:rPr>
                <w:rFonts w:cs="Times New Roman"/>
              </w:rPr>
              <w:t>现状评价</w:t>
            </w:r>
          </w:p>
        </w:tc>
        <w:tc>
          <w:tcPr>
            <w:tcW w:w="1015" w:type="pct"/>
            <w:noWrap/>
            <w:vAlign w:val="center"/>
          </w:tcPr>
          <w:p w14:paraId="10A47E7C">
            <w:pPr>
              <w:pStyle w:val="179"/>
              <w:rPr>
                <w:rFonts w:cs="Times New Roman"/>
                <w:b/>
                <w:bCs w:val="0"/>
              </w:rPr>
            </w:pPr>
            <w:r>
              <w:rPr>
                <w:rFonts w:cs="Times New Roman"/>
              </w:rPr>
              <w:t>评价因子</w:t>
            </w:r>
          </w:p>
        </w:tc>
        <w:tc>
          <w:tcPr>
            <w:tcW w:w="3404" w:type="pct"/>
            <w:gridSpan w:val="6"/>
            <w:noWrap/>
            <w:vAlign w:val="center"/>
          </w:tcPr>
          <w:p w14:paraId="6D2DD27F">
            <w:pPr>
              <w:pStyle w:val="179"/>
              <w:jc w:val="left"/>
              <w:rPr>
                <w:rFonts w:cs="Times New Roman"/>
                <w:b/>
                <w:bCs w:val="0"/>
              </w:rPr>
            </w:pPr>
            <w:r>
              <w:rPr>
                <w:rFonts w:hint="eastAsia" w:cs="Times New Roman"/>
              </w:rPr>
              <w:t>现状监测因子</w:t>
            </w:r>
          </w:p>
        </w:tc>
        <w:tc>
          <w:tcPr>
            <w:tcW w:w="326" w:type="pct"/>
            <w:noWrap/>
            <w:vAlign w:val="center"/>
          </w:tcPr>
          <w:p w14:paraId="40D05838">
            <w:pPr>
              <w:pStyle w:val="179"/>
              <w:rPr>
                <w:rFonts w:cs="Times New Roman"/>
              </w:rPr>
            </w:pPr>
          </w:p>
        </w:tc>
      </w:tr>
      <w:tr w14:paraId="54B4AB7B">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60" w:hRule="atLeast"/>
          <w:jc w:val="center"/>
        </w:trPr>
        <w:tc>
          <w:tcPr>
            <w:tcW w:w="256" w:type="pct"/>
            <w:vMerge w:val="continue"/>
            <w:noWrap/>
            <w:vAlign w:val="center"/>
          </w:tcPr>
          <w:p w14:paraId="1495F54C">
            <w:pPr>
              <w:pStyle w:val="179"/>
              <w:rPr>
                <w:rFonts w:cs="Times New Roman"/>
              </w:rPr>
            </w:pPr>
          </w:p>
        </w:tc>
        <w:tc>
          <w:tcPr>
            <w:tcW w:w="1015" w:type="pct"/>
            <w:noWrap/>
            <w:vAlign w:val="center"/>
          </w:tcPr>
          <w:p w14:paraId="6BB6A296">
            <w:pPr>
              <w:pStyle w:val="179"/>
              <w:rPr>
                <w:rFonts w:cs="Times New Roman"/>
                <w:b/>
                <w:bCs w:val="0"/>
              </w:rPr>
            </w:pPr>
            <w:r>
              <w:rPr>
                <w:rFonts w:cs="Times New Roman"/>
              </w:rPr>
              <w:t>评价标准</w:t>
            </w:r>
          </w:p>
        </w:tc>
        <w:tc>
          <w:tcPr>
            <w:tcW w:w="3404" w:type="pct"/>
            <w:gridSpan w:val="6"/>
            <w:noWrap/>
            <w:vAlign w:val="center"/>
          </w:tcPr>
          <w:p w14:paraId="0E9E9B37">
            <w:pPr>
              <w:pStyle w:val="179"/>
              <w:rPr>
                <w:rFonts w:cs="Times New Roman"/>
                <w:b/>
                <w:bCs w:val="0"/>
              </w:rPr>
            </w:pPr>
            <w:r>
              <w:rPr>
                <w:rFonts w:cs="Times New Roman"/>
              </w:rPr>
              <w:t>GB 15618</w:t>
            </w:r>
            <w:r>
              <w:rPr>
                <w:rFonts w:cs="Times New Roman"/>
              </w:rPr>
              <w:sym w:font="Wingdings 2" w:char="00A3"/>
            </w:r>
            <w:r>
              <w:rPr>
                <w:rFonts w:cs="Times New Roman"/>
              </w:rPr>
              <w:t>；GB 36600</w:t>
            </w:r>
            <w:r>
              <w:rPr>
                <w:rFonts w:cs="Times New Roman"/>
              </w:rPr>
              <w:sym w:font="Wingdings 2" w:char="0052"/>
            </w:r>
            <w:r>
              <w:rPr>
                <w:rFonts w:cs="Times New Roman"/>
              </w:rPr>
              <w:t>；表D.1</w:t>
            </w:r>
            <w:r>
              <w:rPr>
                <w:rFonts w:cs="Times New Roman"/>
              </w:rPr>
              <w:sym w:font="Wingdings 2" w:char="00A3"/>
            </w:r>
            <w:r>
              <w:rPr>
                <w:rFonts w:cs="Times New Roman"/>
              </w:rPr>
              <w:t>；表 D.2</w:t>
            </w:r>
            <w:r>
              <w:rPr>
                <w:rFonts w:cs="Times New Roman"/>
              </w:rPr>
              <w:sym w:font="Wingdings 2" w:char="00A3"/>
            </w:r>
            <w:r>
              <w:rPr>
                <w:rFonts w:cs="Times New Roman"/>
              </w:rPr>
              <w:t>；其他（）</w:t>
            </w:r>
          </w:p>
        </w:tc>
        <w:tc>
          <w:tcPr>
            <w:tcW w:w="326" w:type="pct"/>
            <w:noWrap/>
            <w:vAlign w:val="center"/>
          </w:tcPr>
          <w:p w14:paraId="7BC26C74">
            <w:pPr>
              <w:pStyle w:val="179"/>
              <w:rPr>
                <w:rFonts w:cs="Times New Roman"/>
              </w:rPr>
            </w:pPr>
          </w:p>
        </w:tc>
      </w:tr>
      <w:tr w14:paraId="272C6113">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60" w:hRule="atLeast"/>
          <w:jc w:val="center"/>
        </w:trPr>
        <w:tc>
          <w:tcPr>
            <w:tcW w:w="256" w:type="pct"/>
            <w:vMerge w:val="continue"/>
            <w:noWrap/>
            <w:vAlign w:val="center"/>
          </w:tcPr>
          <w:p w14:paraId="2505A86E">
            <w:pPr>
              <w:pStyle w:val="179"/>
              <w:rPr>
                <w:rFonts w:cs="Times New Roman"/>
              </w:rPr>
            </w:pPr>
          </w:p>
        </w:tc>
        <w:tc>
          <w:tcPr>
            <w:tcW w:w="1015" w:type="pct"/>
            <w:noWrap/>
            <w:vAlign w:val="center"/>
          </w:tcPr>
          <w:p w14:paraId="41D41A96">
            <w:pPr>
              <w:pStyle w:val="179"/>
              <w:rPr>
                <w:rFonts w:cs="Times New Roman"/>
                <w:b/>
                <w:bCs w:val="0"/>
              </w:rPr>
            </w:pPr>
            <w:r>
              <w:rPr>
                <w:rFonts w:cs="Times New Roman"/>
              </w:rPr>
              <w:t>现状评价结论</w:t>
            </w:r>
          </w:p>
        </w:tc>
        <w:tc>
          <w:tcPr>
            <w:tcW w:w="3404" w:type="pct"/>
            <w:gridSpan w:val="6"/>
            <w:noWrap/>
            <w:vAlign w:val="center"/>
          </w:tcPr>
          <w:p w14:paraId="4E6171C9">
            <w:pPr>
              <w:pStyle w:val="179"/>
              <w:rPr>
                <w:rFonts w:cs="Times New Roman"/>
                <w:b/>
                <w:bCs w:val="0"/>
              </w:rPr>
            </w:pPr>
            <w:r>
              <w:rPr>
                <w:rFonts w:cs="Times New Roman"/>
              </w:rPr>
              <w:t>土壤环境监测点位监测值满足《土壤环境质量 建设用地土壤污染风险管控标准》（GB36600-2018）中第二类用地筛选值标准</w:t>
            </w:r>
          </w:p>
        </w:tc>
        <w:tc>
          <w:tcPr>
            <w:tcW w:w="326" w:type="pct"/>
            <w:noWrap/>
            <w:vAlign w:val="center"/>
          </w:tcPr>
          <w:p w14:paraId="7F4CAB6D">
            <w:pPr>
              <w:pStyle w:val="179"/>
              <w:rPr>
                <w:rFonts w:cs="Times New Roman"/>
              </w:rPr>
            </w:pPr>
          </w:p>
        </w:tc>
      </w:tr>
      <w:tr w14:paraId="16EAD354">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60" w:hRule="atLeast"/>
          <w:jc w:val="center"/>
        </w:trPr>
        <w:tc>
          <w:tcPr>
            <w:tcW w:w="256" w:type="pct"/>
            <w:vMerge w:val="restart"/>
            <w:noWrap/>
            <w:vAlign w:val="center"/>
          </w:tcPr>
          <w:p w14:paraId="7C11B452">
            <w:pPr>
              <w:pStyle w:val="179"/>
              <w:rPr>
                <w:rFonts w:cs="Times New Roman"/>
                <w:b/>
                <w:bCs w:val="0"/>
              </w:rPr>
            </w:pPr>
            <w:r>
              <w:rPr>
                <w:rFonts w:cs="Times New Roman"/>
              </w:rPr>
              <w:t>影响预测</w:t>
            </w:r>
          </w:p>
        </w:tc>
        <w:tc>
          <w:tcPr>
            <w:tcW w:w="1015" w:type="pct"/>
            <w:noWrap/>
            <w:vAlign w:val="center"/>
          </w:tcPr>
          <w:p w14:paraId="2280C751">
            <w:pPr>
              <w:pStyle w:val="179"/>
              <w:rPr>
                <w:rFonts w:cs="Times New Roman"/>
                <w:b/>
                <w:bCs w:val="0"/>
              </w:rPr>
            </w:pPr>
            <w:r>
              <w:rPr>
                <w:rFonts w:cs="Times New Roman"/>
              </w:rPr>
              <w:t>预测因子</w:t>
            </w:r>
          </w:p>
        </w:tc>
        <w:tc>
          <w:tcPr>
            <w:tcW w:w="3404" w:type="pct"/>
            <w:gridSpan w:val="6"/>
            <w:noWrap/>
            <w:vAlign w:val="center"/>
          </w:tcPr>
          <w:p w14:paraId="73E1CDF1">
            <w:pPr>
              <w:pStyle w:val="179"/>
              <w:rPr>
                <w:rFonts w:cs="Times New Roman"/>
                <w:b/>
                <w:bCs w:val="0"/>
              </w:rPr>
            </w:pPr>
            <w:r>
              <w:rPr>
                <w:rFonts w:cs="Times New Roman"/>
              </w:rPr>
              <w:t>石油类</w:t>
            </w:r>
          </w:p>
        </w:tc>
        <w:tc>
          <w:tcPr>
            <w:tcW w:w="326" w:type="pct"/>
            <w:noWrap/>
            <w:vAlign w:val="center"/>
          </w:tcPr>
          <w:p w14:paraId="0E27DD73">
            <w:pPr>
              <w:pStyle w:val="179"/>
              <w:rPr>
                <w:rFonts w:cs="Times New Roman"/>
              </w:rPr>
            </w:pPr>
          </w:p>
        </w:tc>
      </w:tr>
      <w:tr w14:paraId="447CB55B">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60" w:hRule="atLeast"/>
          <w:jc w:val="center"/>
        </w:trPr>
        <w:tc>
          <w:tcPr>
            <w:tcW w:w="256" w:type="pct"/>
            <w:vMerge w:val="continue"/>
            <w:noWrap/>
            <w:vAlign w:val="center"/>
          </w:tcPr>
          <w:p w14:paraId="053A9CEB">
            <w:pPr>
              <w:pStyle w:val="179"/>
              <w:rPr>
                <w:rFonts w:cs="Times New Roman"/>
                <w:b/>
                <w:bCs w:val="0"/>
              </w:rPr>
            </w:pPr>
          </w:p>
        </w:tc>
        <w:tc>
          <w:tcPr>
            <w:tcW w:w="1015" w:type="pct"/>
            <w:noWrap/>
            <w:vAlign w:val="center"/>
          </w:tcPr>
          <w:p w14:paraId="1B533813">
            <w:pPr>
              <w:pStyle w:val="179"/>
              <w:rPr>
                <w:rFonts w:cs="Times New Roman"/>
                <w:b/>
                <w:bCs w:val="0"/>
              </w:rPr>
            </w:pPr>
            <w:r>
              <w:rPr>
                <w:rFonts w:cs="Times New Roman"/>
              </w:rPr>
              <w:t>预测方法</w:t>
            </w:r>
          </w:p>
        </w:tc>
        <w:tc>
          <w:tcPr>
            <w:tcW w:w="3404" w:type="pct"/>
            <w:gridSpan w:val="6"/>
            <w:noWrap/>
            <w:vAlign w:val="center"/>
          </w:tcPr>
          <w:p w14:paraId="439CC802">
            <w:pPr>
              <w:pStyle w:val="179"/>
              <w:rPr>
                <w:rFonts w:cs="Times New Roman"/>
                <w:b/>
                <w:bCs w:val="0"/>
              </w:rPr>
            </w:pPr>
            <w:r>
              <w:rPr>
                <w:rFonts w:cs="Times New Roman"/>
              </w:rPr>
              <w:t>附录 E</w:t>
            </w:r>
            <w:r>
              <w:rPr>
                <w:rFonts w:cs="Times New Roman"/>
              </w:rPr>
              <w:sym w:font="Wingdings 2" w:char="00A3"/>
            </w:r>
            <w:r>
              <w:rPr>
                <w:rFonts w:cs="Times New Roman"/>
              </w:rPr>
              <w:t>；附录 F□；其他（</w:t>
            </w:r>
            <w:r>
              <w:rPr>
                <w:rFonts w:hint="eastAsia" w:cs="Times New Roman"/>
              </w:rPr>
              <w:t>定性</w:t>
            </w:r>
            <w:r>
              <w:rPr>
                <w:rFonts w:cs="Times New Roman"/>
              </w:rPr>
              <w:t>分析）</w:t>
            </w:r>
          </w:p>
        </w:tc>
        <w:tc>
          <w:tcPr>
            <w:tcW w:w="326" w:type="pct"/>
            <w:noWrap/>
            <w:vAlign w:val="center"/>
          </w:tcPr>
          <w:p w14:paraId="61B23FC1">
            <w:pPr>
              <w:pStyle w:val="179"/>
              <w:rPr>
                <w:rFonts w:cs="Times New Roman"/>
              </w:rPr>
            </w:pPr>
          </w:p>
        </w:tc>
      </w:tr>
      <w:tr w14:paraId="6CDF0A11">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60" w:hRule="atLeast"/>
          <w:jc w:val="center"/>
        </w:trPr>
        <w:tc>
          <w:tcPr>
            <w:tcW w:w="256" w:type="pct"/>
            <w:vMerge w:val="continue"/>
            <w:noWrap/>
            <w:vAlign w:val="center"/>
          </w:tcPr>
          <w:p w14:paraId="22E1B433">
            <w:pPr>
              <w:pStyle w:val="179"/>
              <w:rPr>
                <w:rFonts w:cs="Times New Roman"/>
                <w:b/>
                <w:bCs w:val="0"/>
              </w:rPr>
            </w:pPr>
          </w:p>
        </w:tc>
        <w:tc>
          <w:tcPr>
            <w:tcW w:w="1015" w:type="pct"/>
            <w:noWrap/>
            <w:vAlign w:val="center"/>
          </w:tcPr>
          <w:p w14:paraId="52782772">
            <w:pPr>
              <w:pStyle w:val="179"/>
              <w:rPr>
                <w:rFonts w:cs="Times New Roman"/>
                <w:b/>
                <w:bCs w:val="0"/>
              </w:rPr>
            </w:pPr>
            <w:r>
              <w:rPr>
                <w:rFonts w:cs="Times New Roman"/>
              </w:rPr>
              <w:t>预测分析内容</w:t>
            </w:r>
          </w:p>
        </w:tc>
        <w:tc>
          <w:tcPr>
            <w:tcW w:w="3404" w:type="pct"/>
            <w:gridSpan w:val="6"/>
            <w:noWrap/>
            <w:vAlign w:val="center"/>
          </w:tcPr>
          <w:p w14:paraId="4E68384E">
            <w:pPr>
              <w:pStyle w:val="179"/>
              <w:rPr>
                <w:rFonts w:cs="Times New Roman"/>
                <w:b/>
                <w:bCs w:val="0"/>
              </w:rPr>
            </w:pPr>
            <w:r>
              <w:rPr>
                <w:rFonts w:cs="Times New Roman"/>
              </w:rPr>
              <w:t>影响范围（）</w:t>
            </w:r>
          </w:p>
          <w:p w14:paraId="00C73B4A">
            <w:pPr>
              <w:pStyle w:val="179"/>
              <w:rPr>
                <w:rFonts w:cs="Times New Roman"/>
                <w:b/>
                <w:bCs w:val="0"/>
              </w:rPr>
            </w:pPr>
            <w:r>
              <w:rPr>
                <w:rFonts w:cs="Times New Roman"/>
              </w:rPr>
              <w:t>影响程度（）</w:t>
            </w:r>
          </w:p>
        </w:tc>
        <w:tc>
          <w:tcPr>
            <w:tcW w:w="326" w:type="pct"/>
            <w:noWrap/>
            <w:vAlign w:val="center"/>
          </w:tcPr>
          <w:p w14:paraId="21AD9A73">
            <w:pPr>
              <w:pStyle w:val="179"/>
              <w:rPr>
                <w:rFonts w:cs="Times New Roman"/>
              </w:rPr>
            </w:pPr>
          </w:p>
        </w:tc>
      </w:tr>
      <w:tr w14:paraId="5F9D9F6D">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60" w:hRule="atLeast"/>
          <w:jc w:val="center"/>
        </w:trPr>
        <w:tc>
          <w:tcPr>
            <w:tcW w:w="256" w:type="pct"/>
            <w:vMerge w:val="continue"/>
            <w:noWrap/>
            <w:vAlign w:val="center"/>
          </w:tcPr>
          <w:p w14:paraId="199D5B3C">
            <w:pPr>
              <w:pStyle w:val="179"/>
              <w:rPr>
                <w:rFonts w:cs="Times New Roman"/>
                <w:b/>
                <w:bCs w:val="0"/>
              </w:rPr>
            </w:pPr>
          </w:p>
        </w:tc>
        <w:tc>
          <w:tcPr>
            <w:tcW w:w="1015" w:type="pct"/>
            <w:noWrap/>
            <w:vAlign w:val="center"/>
          </w:tcPr>
          <w:p w14:paraId="278553A3">
            <w:pPr>
              <w:pStyle w:val="179"/>
              <w:rPr>
                <w:rFonts w:cs="Times New Roman"/>
                <w:b/>
                <w:bCs w:val="0"/>
              </w:rPr>
            </w:pPr>
            <w:r>
              <w:rPr>
                <w:rFonts w:cs="Times New Roman"/>
              </w:rPr>
              <w:t>预测结论</w:t>
            </w:r>
          </w:p>
        </w:tc>
        <w:tc>
          <w:tcPr>
            <w:tcW w:w="3404" w:type="pct"/>
            <w:gridSpan w:val="6"/>
            <w:noWrap/>
            <w:vAlign w:val="center"/>
          </w:tcPr>
          <w:p w14:paraId="6AFEBB3A">
            <w:pPr>
              <w:pStyle w:val="179"/>
              <w:rPr>
                <w:rFonts w:cs="Times New Roman"/>
                <w:b/>
                <w:bCs w:val="0"/>
              </w:rPr>
            </w:pPr>
            <w:r>
              <w:rPr>
                <w:rFonts w:cs="Times New Roman"/>
              </w:rPr>
              <w:t>达标结论：a）</w:t>
            </w:r>
            <w:r>
              <w:rPr>
                <w:rFonts w:cs="Times New Roman"/>
              </w:rPr>
              <w:sym w:font="Wingdings 2" w:char="0052"/>
            </w:r>
            <w:r>
              <w:rPr>
                <w:rFonts w:cs="Times New Roman"/>
              </w:rPr>
              <w:t>；b）□；c）□</w:t>
            </w:r>
          </w:p>
          <w:p w14:paraId="61C994B2">
            <w:pPr>
              <w:pStyle w:val="179"/>
              <w:rPr>
                <w:rFonts w:cs="Times New Roman"/>
                <w:b/>
                <w:bCs w:val="0"/>
              </w:rPr>
            </w:pPr>
            <w:r>
              <w:rPr>
                <w:rFonts w:cs="Times New Roman"/>
              </w:rPr>
              <w:t>不达标结论：a）□；b）□</w:t>
            </w:r>
          </w:p>
        </w:tc>
        <w:tc>
          <w:tcPr>
            <w:tcW w:w="326" w:type="pct"/>
            <w:noWrap/>
            <w:vAlign w:val="center"/>
          </w:tcPr>
          <w:p w14:paraId="419AB3C3">
            <w:pPr>
              <w:pStyle w:val="179"/>
              <w:rPr>
                <w:rFonts w:cs="Times New Roman"/>
              </w:rPr>
            </w:pPr>
          </w:p>
        </w:tc>
      </w:tr>
      <w:tr w14:paraId="1AD633D1">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60" w:hRule="atLeast"/>
          <w:jc w:val="center"/>
        </w:trPr>
        <w:tc>
          <w:tcPr>
            <w:tcW w:w="256" w:type="pct"/>
            <w:vMerge w:val="restart"/>
            <w:noWrap/>
            <w:vAlign w:val="center"/>
          </w:tcPr>
          <w:p w14:paraId="6F74F14F">
            <w:pPr>
              <w:pStyle w:val="179"/>
              <w:rPr>
                <w:rFonts w:cs="Times New Roman"/>
                <w:b/>
                <w:bCs w:val="0"/>
              </w:rPr>
            </w:pPr>
            <w:r>
              <w:rPr>
                <w:rFonts w:cs="Times New Roman"/>
              </w:rPr>
              <w:t>防治措施</w:t>
            </w:r>
          </w:p>
        </w:tc>
        <w:tc>
          <w:tcPr>
            <w:tcW w:w="1015" w:type="pct"/>
            <w:noWrap/>
            <w:vAlign w:val="center"/>
          </w:tcPr>
          <w:p w14:paraId="5C238C22">
            <w:pPr>
              <w:pStyle w:val="179"/>
              <w:rPr>
                <w:rFonts w:cs="Times New Roman"/>
                <w:b/>
                <w:bCs w:val="0"/>
              </w:rPr>
            </w:pPr>
            <w:r>
              <w:rPr>
                <w:rFonts w:cs="Times New Roman"/>
              </w:rPr>
              <w:t>防控措施</w:t>
            </w:r>
          </w:p>
        </w:tc>
        <w:tc>
          <w:tcPr>
            <w:tcW w:w="3404" w:type="pct"/>
            <w:gridSpan w:val="6"/>
            <w:noWrap/>
            <w:vAlign w:val="center"/>
          </w:tcPr>
          <w:p w14:paraId="02A1B1DD">
            <w:pPr>
              <w:pStyle w:val="179"/>
              <w:rPr>
                <w:rFonts w:cs="Times New Roman"/>
                <w:b/>
                <w:bCs w:val="0"/>
              </w:rPr>
            </w:pPr>
            <w:r>
              <w:rPr>
                <w:rFonts w:cs="Times New Roman"/>
              </w:rPr>
              <w:t>土壤环境质量现状保障</w:t>
            </w:r>
            <w:r>
              <w:rPr>
                <w:rFonts w:cs="Times New Roman"/>
              </w:rPr>
              <w:sym w:font="Wingdings 2" w:char="0052"/>
            </w:r>
            <w:r>
              <w:rPr>
                <w:rFonts w:cs="Times New Roman"/>
              </w:rPr>
              <w:t>；源头控制</w:t>
            </w:r>
            <w:r>
              <w:rPr>
                <w:rFonts w:cs="Times New Roman"/>
              </w:rPr>
              <w:sym w:font="Wingdings 2" w:char="0052"/>
            </w:r>
            <w:r>
              <w:rPr>
                <w:rFonts w:cs="Times New Roman"/>
              </w:rPr>
              <w:t>；过程防控</w:t>
            </w:r>
            <w:r>
              <w:rPr>
                <w:rFonts w:cs="Times New Roman"/>
              </w:rPr>
              <w:sym w:font="Wingdings 2" w:char="0052"/>
            </w:r>
            <w:r>
              <w:rPr>
                <w:rFonts w:cs="Times New Roman"/>
              </w:rPr>
              <w:t>；其他（）</w:t>
            </w:r>
          </w:p>
        </w:tc>
        <w:tc>
          <w:tcPr>
            <w:tcW w:w="326" w:type="pct"/>
            <w:noWrap/>
            <w:vAlign w:val="center"/>
          </w:tcPr>
          <w:p w14:paraId="1D0F28B1">
            <w:pPr>
              <w:pStyle w:val="179"/>
              <w:rPr>
                <w:rFonts w:cs="Times New Roman"/>
                <w:b/>
                <w:bCs w:val="0"/>
              </w:rPr>
            </w:pPr>
          </w:p>
        </w:tc>
      </w:tr>
      <w:tr w14:paraId="57CA4E00">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60" w:hRule="atLeast"/>
          <w:jc w:val="center"/>
        </w:trPr>
        <w:tc>
          <w:tcPr>
            <w:tcW w:w="256" w:type="pct"/>
            <w:vMerge w:val="continue"/>
            <w:noWrap/>
            <w:vAlign w:val="center"/>
          </w:tcPr>
          <w:p w14:paraId="1B483C18">
            <w:pPr>
              <w:pStyle w:val="179"/>
              <w:rPr>
                <w:rFonts w:cs="Times New Roman"/>
                <w:b/>
                <w:bCs w:val="0"/>
              </w:rPr>
            </w:pPr>
          </w:p>
        </w:tc>
        <w:tc>
          <w:tcPr>
            <w:tcW w:w="1015" w:type="pct"/>
            <w:vMerge w:val="restart"/>
            <w:noWrap/>
            <w:vAlign w:val="center"/>
          </w:tcPr>
          <w:p w14:paraId="718129E1">
            <w:pPr>
              <w:pStyle w:val="179"/>
              <w:rPr>
                <w:rFonts w:cs="Times New Roman"/>
                <w:b/>
                <w:bCs w:val="0"/>
              </w:rPr>
            </w:pPr>
            <w:r>
              <w:rPr>
                <w:rFonts w:cs="Times New Roman"/>
              </w:rPr>
              <w:t>跟踪监测</w:t>
            </w:r>
          </w:p>
        </w:tc>
        <w:tc>
          <w:tcPr>
            <w:tcW w:w="313" w:type="pct"/>
            <w:noWrap/>
            <w:vAlign w:val="center"/>
          </w:tcPr>
          <w:p w14:paraId="40747B7A">
            <w:pPr>
              <w:pStyle w:val="179"/>
              <w:rPr>
                <w:rFonts w:cs="Times New Roman"/>
                <w:b/>
                <w:bCs w:val="0"/>
              </w:rPr>
            </w:pPr>
            <w:r>
              <w:rPr>
                <w:rFonts w:cs="Times New Roman"/>
              </w:rPr>
              <w:t>监测点数</w:t>
            </w:r>
          </w:p>
        </w:tc>
        <w:tc>
          <w:tcPr>
            <w:tcW w:w="2470" w:type="pct"/>
            <w:gridSpan w:val="4"/>
            <w:noWrap/>
            <w:vAlign w:val="center"/>
          </w:tcPr>
          <w:p w14:paraId="33DB3DA7">
            <w:pPr>
              <w:pStyle w:val="179"/>
              <w:rPr>
                <w:rFonts w:cs="Times New Roman"/>
                <w:b/>
                <w:bCs w:val="0"/>
              </w:rPr>
            </w:pPr>
            <w:r>
              <w:rPr>
                <w:rFonts w:cs="Times New Roman"/>
              </w:rPr>
              <w:t>监测指标</w:t>
            </w:r>
          </w:p>
        </w:tc>
        <w:tc>
          <w:tcPr>
            <w:tcW w:w="620" w:type="pct"/>
            <w:noWrap/>
            <w:vAlign w:val="center"/>
          </w:tcPr>
          <w:p w14:paraId="65236D7E">
            <w:pPr>
              <w:pStyle w:val="179"/>
              <w:rPr>
                <w:rFonts w:cs="Times New Roman"/>
                <w:b/>
                <w:bCs w:val="0"/>
              </w:rPr>
            </w:pPr>
            <w:r>
              <w:rPr>
                <w:rFonts w:cs="Times New Roman"/>
              </w:rPr>
              <w:t>监测频次</w:t>
            </w:r>
          </w:p>
        </w:tc>
        <w:tc>
          <w:tcPr>
            <w:tcW w:w="326" w:type="pct"/>
            <w:vMerge w:val="restart"/>
            <w:noWrap/>
            <w:vAlign w:val="center"/>
          </w:tcPr>
          <w:p w14:paraId="20369262">
            <w:pPr>
              <w:pStyle w:val="179"/>
              <w:rPr>
                <w:rFonts w:cs="Times New Roman"/>
                <w:b/>
                <w:bCs w:val="0"/>
              </w:rPr>
            </w:pPr>
          </w:p>
        </w:tc>
      </w:tr>
      <w:tr w14:paraId="0698D475">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60" w:hRule="atLeast"/>
          <w:jc w:val="center"/>
        </w:trPr>
        <w:tc>
          <w:tcPr>
            <w:tcW w:w="256" w:type="pct"/>
            <w:vMerge w:val="continue"/>
            <w:noWrap/>
            <w:vAlign w:val="center"/>
          </w:tcPr>
          <w:p w14:paraId="1A044FC3">
            <w:pPr>
              <w:pStyle w:val="179"/>
              <w:rPr>
                <w:rFonts w:cs="Times New Roman"/>
                <w:b/>
                <w:bCs w:val="0"/>
              </w:rPr>
            </w:pPr>
          </w:p>
        </w:tc>
        <w:tc>
          <w:tcPr>
            <w:tcW w:w="1015" w:type="pct"/>
            <w:vMerge w:val="continue"/>
            <w:noWrap/>
            <w:vAlign w:val="center"/>
          </w:tcPr>
          <w:p w14:paraId="540A16A4">
            <w:pPr>
              <w:pStyle w:val="179"/>
              <w:rPr>
                <w:rFonts w:cs="Times New Roman"/>
                <w:b/>
                <w:bCs w:val="0"/>
              </w:rPr>
            </w:pPr>
          </w:p>
        </w:tc>
        <w:tc>
          <w:tcPr>
            <w:tcW w:w="313" w:type="pct"/>
            <w:noWrap/>
            <w:vAlign w:val="center"/>
          </w:tcPr>
          <w:p w14:paraId="5E29B185">
            <w:pPr>
              <w:pStyle w:val="179"/>
              <w:rPr>
                <w:rFonts w:cs="Times New Roman"/>
                <w:b/>
                <w:bCs w:val="0"/>
              </w:rPr>
            </w:pPr>
            <w:r>
              <w:rPr>
                <w:rFonts w:cs="Times New Roman"/>
              </w:rPr>
              <w:t>1</w:t>
            </w:r>
          </w:p>
        </w:tc>
        <w:tc>
          <w:tcPr>
            <w:tcW w:w="2470" w:type="pct"/>
            <w:gridSpan w:val="4"/>
            <w:noWrap/>
            <w:vAlign w:val="center"/>
          </w:tcPr>
          <w:p w14:paraId="7721B3B9">
            <w:pPr>
              <w:pStyle w:val="179"/>
              <w:rPr>
                <w:rFonts w:cs="Times New Roman"/>
                <w:bCs w:val="0"/>
              </w:rPr>
            </w:pPr>
            <w:r>
              <w:rPr>
                <w:rFonts w:hint="eastAsia" w:cs="Times New Roman"/>
                <w:bCs w:val="0"/>
              </w:rPr>
              <w:t>石油类</w:t>
            </w:r>
          </w:p>
        </w:tc>
        <w:tc>
          <w:tcPr>
            <w:tcW w:w="620" w:type="pct"/>
            <w:noWrap/>
            <w:vAlign w:val="center"/>
          </w:tcPr>
          <w:p w14:paraId="549683BC">
            <w:pPr>
              <w:pStyle w:val="179"/>
              <w:rPr>
                <w:rFonts w:cs="Times New Roman"/>
                <w:b/>
                <w:bCs w:val="0"/>
              </w:rPr>
            </w:pPr>
            <w:r>
              <w:rPr>
                <w:rFonts w:hint="eastAsia" w:cs="Times New Roman"/>
              </w:rPr>
              <w:t>1次/5年</w:t>
            </w:r>
          </w:p>
        </w:tc>
        <w:tc>
          <w:tcPr>
            <w:tcW w:w="326" w:type="pct"/>
            <w:vMerge w:val="continue"/>
            <w:noWrap/>
            <w:vAlign w:val="center"/>
          </w:tcPr>
          <w:p w14:paraId="56167D99">
            <w:pPr>
              <w:pStyle w:val="179"/>
              <w:rPr>
                <w:rFonts w:cs="Times New Roman"/>
                <w:b/>
                <w:bCs w:val="0"/>
              </w:rPr>
            </w:pPr>
          </w:p>
        </w:tc>
      </w:tr>
      <w:tr w14:paraId="4F950DFE">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60" w:hRule="atLeast"/>
          <w:jc w:val="center"/>
        </w:trPr>
        <w:tc>
          <w:tcPr>
            <w:tcW w:w="256" w:type="pct"/>
            <w:vMerge w:val="continue"/>
            <w:noWrap/>
            <w:vAlign w:val="center"/>
          </w:tcPr>
          <w:p w14:paraId="0C0FEFE8">
            <w:pPr>
              <w:pStyle w:val="179"/>
              <w:rPr>
                <w:rFonts w:cs="Times New Roman"/>
                <w:b/>
                <w:bCs w:val="0"/>
              </w:rPr>
            </w:pPr>
          </w:p>
        </w:tc>
        <w:tc>
          <w:tcPr>
            <w:tcW w:w="1015" w:type="pct"/>
            <w:noWrap/>
            <w:vAlign w:val="center"/>
          </w:tcPr>
          <w:p w14:paraId="5DE2138E">
            <w:pPr>
              <w:pStyle w:val="179"/>
              <w:rPr>
                <w:rFonts w:cs="Times New Roman"/>
                <w:b/>
                <w:bCs w:val="0"/>
              </w:rPr>
            </w:pPr>
            <w:r>
              <w:rPr>
                <w:rFonts w:cs="Times New Roman"/>
              </w:rPr>
              <w:t>信息公开指标</w:t>
            </w:r>
          </w:p>
        </w:tc>
        <w:tc>
          <w:tcPr>
            <w:tcW w:w="3404" w:type="pct"/>
            <w:gridSpan w:val="6"/>
            <w:noWrap/>
            <w:vAlign w:val="center"/>
          </w:tcPr>
          <w:p w14:paraId="0680B7C8">
            <w:pPr>
              <w:pStyle w:val="179"/>
              <w:rPr>
                <w:rFonts w:cs="Times New Roman"/>
                <w:b/>
                <w:bCs w:val="0"/>
              </w:rPr>
            </w:pPr>
            <w:r>
              <w:rPr>
                <w:rFonts w:hint="eastAsia" w:cs="Times New Roman"/>
                <w:bCs w:val="0"/>
              </w:rPr>
              <w:t>石油类</w:t>
            </w:r>
          </w:p>
        </w:tc>
        <w:tc>
          <w:tcPr>
            <w:tcW w:w="326" w:type="pct"/>
            <w:noWrap/>
            <w:vAlign w:val="center"/>
          </w:tcPr>
          <w:p w14:paraId="43ABFB2B">
            <w:pPr>
              <w:pStyle w:val="179"/>
              <w:rPr>
                <w:rFonts w:cs="Times New Roman"/>
                <w:b/>
                <w:bCs w:val="0"/>
              </w:rPr>
            </w:pPr>
          </w:p>
        </w:tc>
      </w:tr>
      <w:tr w14:paraId="5032E82F">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60" w:hRule="atLeast"/>
          <w:jc w:val="center"/>
        </w:trPr>
        <w:tc>
          <w:tcPr>
            <w:tcW w:w="1270" w:type="pct"/>
            <w:gridSpan w:val="2"/>
            <w:noWrap/>
            <w:vAlign w:val="center"/>
          </w:tcPr>
          <w:p w14:paraId="2E2B768A">
            <w:pPr>
              <w:pStyle w:val="179"/>
              <w:rPr>
                <w:rFonts w:cs="Times New Roman"/>
                <w:b/>
                <w:bCs w:val="0"/>
              </w:rPr>
            </w:pPr>
            <w:r>
              <w:rPr>
                <w:rFonts w:cs="Times New Roman"/>
              </w:rPr>
              <w:t>评价结论</w:t>
            </w:r>
          </w:p>
        </w:tc>
        <w:tc>
          <w:tcPr>
            <w:tcW w:w="3404" w:type="pct"/>
            <w:gridSpan w:val="6"/>
            <w:noWrap/>
            <w:vAlign w:val="center"/>
          </w:tcPr>
          <w:p w14:paraId="7795E475">
            <w:pPr>
              <w:pStyle w:val="179"/>
              <w:rPr>
                <w:rFonts w:cs="Times New Roman"/>
                <w:b/>
                <w:bCs w:val="0"/>
              </w:rPr>
            </w:pPr>
            <w:r>
              <w:rPr>
                <w:rFonts w:cs="Times New Roman"/>
              </w:rPr>
              <w:t>本项目运营期采取了相应的土壤污染源头控制措施和过程防控措施，污染通过垂直入渗对土壤环境造成的不利影响甚微，可被环境接受。</w:t>
            </w:r>
          </w:p>
        </w:tc>
        <w:tc>
          <w:tcPr>
            <w:tcW w:w="326" w:type="pct"/>
            <w:noWrap/>
            <w:vAlign w:val="center"/>
          </w:tcPr>
          <w:p w14:paraId="491DAE50">
            <w:pPr>
              <w:pStyle w:val="179"/>
              <w:rPr>
                <w:rFonts w:cs="Times New Roman"/>
              </w:rPr>
            </w:pPr>
          </w:p>
        </w:tc>
      </w:tr>
      <w:tr w14:paraId="19343E68">
        <w:tblPrEx>
          <w:tblBorders>
            <w:top w:val="single" w:color="auto" w:sz="12" w:space="0"/>
            <w:left w:val="single" w:color="auto" w:sz="12" w:space="0"/>
            <w:bottom w:val="single" w:color="auto" w:sz="12" w:space="0"/>
            <w:right w:val="single" w:color="auto" w:sz="12" w:space="0"/>
            <w:insideH w:val="single" w:color="000000" w:sz="4" w:space="0"/>
            <w:insideV w:val="single" w:color="000000" w:sz="4" w:space="0"/>
          </w:tblBorders>
          <w:tblCellMar>
            <w:top w:w="0" w:type="dxa"/>
            <w:left w:w="57" w:type="dxa"/>
            <w:bottom w:w="0" w:type="dxa"/>
            <w:right w:w="57" w:type="dxa"/>
          </w:tblCellMar>
        </w:tblPrEx>
        <w:trPr>
          <w:trHeight w:val="360" w:hRule="atLeast"/>
          <w:jc w:val="center"/>
        </w:trPr>
        <w:tc>
          <w:tcPr>
            <w:tcW w:w="5000" w:type="pct"/>
            <w:gridSpan w:val="9"/>
            <w:noWrap/>
            <w:vAlign w:val="center"/>
          </w:tcPr>
          <w:p w14:paraId="1A54EC39">
            <w:pPr>
              <w:pStyle w:val="179"/>
              <w:rPr>
                <w:rFonts w:cs="Times New Roman"/>
                <w:b/>
                <w:bCs w:val="0"/>
              </w:rPr>
            </w:pPr>
            <w:r>
              <w:rPr>
                <w:rFonts w:cs="Times New Roman"/>
              </w:rPr>
              <w:t>注 1：“□”为勾选项，可√；“（ ）”为内容填写项；“备注”为其他补充内容。</w:t>
            </w:r>
          </w:p>
          <w:p w14:paraId="4AAD9525">
            <w:pPr>
              <w:pStyle w:val="179"/>
              <w:rPr>
                <w:rFonts w:cs="Times New Roman"/>
              </w:rPr>
            </w:pPr>
            <w:r>
              <w:rPr>
                <w:rFonts w:cs="Times New Roman"/>
              </w:rPr>
              <w:t>注 2：需要分别开展土壤环境影响评级工作的，分别填写自查表。</w:t>
            </w:r>
          </w:p>
        </w:tc>
      </w:tr>
    </w:tbl>
    <w:p w14:paraId="7E2B036A">
      <w:pPr>
        <w:widowControl/>
        <w:tabs>
          <w:tab w:val="clear" w:pos="0"/>
        </w:tabs>
        <w:spacing w:line="240" w:lineRule="auto"/>
        <w:ind w:firstLine="0" w:firstLineChars="0"/>
        <w:jc w:val="left"/>
        <w:rPr>
          <w:rFonts w:hAnsi="Times New Roman" w:cs="Times New Roman"/>
        </w:rPr>
      </w:pPr>
    </w:p>
    <w:p w14:paraId="7DC7984B">
      <w:pPr>
        <w:ind w:firstLine="480"/>
        <w:rPr>
          <w:rFonts w:hAnsi="Times New Roman" w:cs="Times New Roman"/>
        </w:rPr>
      </w:pPr>
    </w:p>
    <w:p w14:paraId="3C9F6BBD">
      <w:pPr>
        <w:pStyle w:val="3"/>
        <w:numPr>
          <w:ilvl w:val="0"/>
          <w:numId w:val="0"/>
        </w:numPr>
        <w:spacing w:before="180" w:after="120" w:line="240" w:lineRule="auto"/>
        <w:ind w:left="142"/>
        <w:jc w:val="center"/>
        <w:rPr>
          <w:rFonts w:cs="Times New Roman"/>
          <w:sz w:val="24"/>
        </w:rPr>
      </w:pPr>
      <w:bookmarkStart w:id="876" w:name="_Toc234927740"/>
      <w:bookmarkStart w:id="877" w:name="_Toc16660"/>
      <w:r>
        <w:rPr>
          <w:rFonts w:cs="Times New Roman"/>
          <w:sz w:val="24"/>
        </w:rPr>
        <w:t>附表7 生态环境影响评价自查表</w:t>
      </w:r>
      <w:bookmarkEnd w:id="876"/>
      <w:bookmarkEnd w:id="877"/>
    </w:p>
    <w:tbl>
      <w:tblPr>
        <w:tblStyle w:val="36"/>
        <w:tblW w:w="5000" w:type="pct"/>
        <w:jc w:val="center"/>
        <w:tblBorders>
          <w:top w:val="single" w:color="auto" w:sz="12" w:space="0"/>
          <w:left w:val="single" w:color="auto" w:sz="12" w:space="0"/>
          <w:bottom w:val="single" w:color="auto" w:sz="12" w:space="0"/>
          <w:right w:val="single" w:color="auto" w:sz="12" w:space="0"/>
          <w:insideH w:val="single" w:color="000000" w:sz="6" w:space="0"/>
          <w:insideV w:val="single" w:color="000000" w:sz="6" w:space="0"/>
        </w:tblBorders>
        <w:tblLayout w:type="fixed"/>
        <w:tblCellMar>
          <w:top w:w="0" w:type="dxa"/>
          <w:left w:w="57" w:type="dxa"/>
          <w:bottom w:w="0" w:type="dxa"/>
          <w:right w:w="57" w:type="dxa"/>
        </w:tblCellMar>
      </w:tblPr>
      <w:tblGrid>
        <w:gridCol w:w="532"/>
        <w:gridCol w:w="50"/>
        <w:gridCol w:w="1121"/>
        <w:gridCol w:w="6639"/>
      </w:tblGrid>
      <w:tr w14:paraId="62C28DB5">
        <w:tblPrEx>
          <w:tblBorders>
            <w:top w:val="single" w:color="auto" w:sz="12" w:space="0"/>
            <w:left w:val="single" w:color="auto" w:sz="12" w:space="0"/>
            <w:bottom w:val="single" w:color="auto" w:sz="12" w:space="0"/>
            <w:right w:val="single" w:color="auto" w:sz="12" w:space="0"/>
            <w:insideH w:val="single" w:color="000000" w:sz="6" w:space="0"/>
            <w:insideV w:val="single" w:color="000000" w:sz="6" w:space="0"/>
          </w:tblBorders>
          <w:tblCellMar>
            <w:top w:w="0" w:type="dxa"/>
            <w:left w:w="57" w:type="dxa"/>
            <w:bottom w:w="0" w:type="dxa"/>
            <w:right w:w="57" w:type="dxa"/>
          </w:tblCellMar>
        </w:tblPrEx>
        <w:trPr>
          <w:trHeight w:val="567" w:hRule="atLeast"/>
          <w:jc w:val="center"/>
        </w:trPr>
        <w:tc>
          <w:tcPr>
            <w:tcW w:w="1021" w:type="pct"/>
            <w:gridSpan w:val="3"/>
            <w:noWrap/>
            <w:tcMar>
              <w:left w:w="0" w:type="dxa"/>
              <w:right w:w="0" w:type="dxa"/>
            </w:tcMar>
            <w:vAlign w:val="center"/>
          </w:tcPr>
          <w:p w14:paraId="4ABF4E99">
            <w:pPr>
              <w:pStyle w:val="179"/>
              <w:rPr>
                <w:rFonts w:cs="Times New Roman"/>
                <w:b/>
              </w:rPr>
            </w:pPr>
            <w:r>
              <w:rPr>
                <w:rFonts w:cs="Times New Roman"/>
                <w:b/>
              </w:rPr>
              <w:t>工作内容</w:t>
            </w:r>
          </w:p>
        </w:tc>
        <w:tc>
          <w:tcPr>
            <w:tcW w:w="3979" w:type="pct"/>
            <w:noWrap/>
            <w:tcMar>
              <w:left w:w="0" w:type="dxa"/>
              <w:right w:w="0" w:type="dxa"/>
            </w:tcMar>
            <w:vAlign w:val="center"/>
          </w:tcPr>
          <w:p w14:paraId="796DE4B7">
            <w:pPr>
              <w:pStyle w:val="179"/>
              <w:rPr>
                <w:rFonts w:cs="Times New Roman"/>
                <w:b/>
              </w:rPr>
            </w:pPr>
            <w:r>
              <w:rPr>
                <w:rFonts w:cs="Times New Roman"/>
                <w:b/>
              </w:rPr>
              <w:t>自查项目</w:t>
            </w:r>
          </w:p>
        </w:tc>
      </w:tr>
      <w:tr w14:paraId="2FD35D6E">
        <w:tblPrEx>
          <w:tblBorders>
            <w:top w:val="single" w:color="auto" w:sz="12" w:space="0"/>
            <w:left w:val="single" w:color="auto" w:sz="12" w:space="0"/>
            <w:bottom w:val="single" w:color="auto" w:sz="12" w:space="0"/>
            <w:right w:val="single" w:color="auto" w:sz="12" w:space="0"/>
            <w:insideH w:val="single" w:color="000000" w:sz="6" w:space="0"/>
            <w:insideV w:val="single" w:color="000000" w:sz="6" w:space="0"/>
          </w:tblBorders>
          <w:tblCellMar>
            <w:top w:w="0" w:type="dxa"/>
            <w:left w:w="57" w:type="dxa"/>
            <w:bottom w:w="0" w:type="dxa"/>
            <w:right w:w="57" w:type="dxa"/>
          </w:tblCellMar>
        </w:tblPrEx>
        <w:trPr>
          <w:trHeight w:val="567" w:hRule="atLeast"/>
          <w:jc w:val="center"/>
        </w:trPr>
        <w:tc>
          <w:tcPr>
            <w:tcW w:w="319" w:type="pct"/>
            <w:vMerge w:val="restart"/>
            <w:noWrap/>
            <w:tcMar>
              <w:left w:w="0" w:type="dxa"/>
              <w:right w:w="0" w:type="dxa"/>
            </w:tcMar>
            <w:vAlign w:val="center"/>
          </w:tcPr>
          <w:p w14:paraId="4C1F74ED">
            <w:pPr>
              <w:pStyle w:val="179"/>
              <w:rPr>
                <w:rFonts w:cs="Times New Roman"/>
              </w:rPr>
            </w:pPr>
            <w:r>
              <w:rPr>
                <w:rFonts w:cs="Times New Roman"/>
              </w:rPr>
              <w:t>生态影响</w:t>
            </w:r>
          </w:p>
          <w:p w14:paraId="167E0A0F">
            <w:pPr>
              <w:pStyle w:val="179"/>
              <w:rPr>
                <w:rFonts w:cs="Times New Roman"/>
              </w:rPr>
            </w:pPr>
            <w:r>
              <w:rPr>
                <w:rFonts w:cs="Times New Roman"/>
              </w:rPr>
              <w:t>识别</w:t>
            </w:r>
          </w:p>
        </w:tc>
        <w:tc>
          <w:tcPr>
            <w:tcW w:w="702" w:type="pct"/>
            <w:gridSpan w:val="2"/>
            <w:noWrap/>
            <w:tcMar>
              <w:left w:w="0" w:type="dxa"/>
              <w:right w:w="0" w:type="dxa"/>
            </w:tcMar>
            <w:vAlign w:val="center"/>
          </w:tcPr>
          <w:p w14:paraId="10968706">
            <w:pPr>
              <w:pStyle w:val="179"/>
              <w:rPr>
                <w:rFonts w:cs="Times New Roman"/>
              </w:rPr>
            </w:pPr>
            <w:r>
              <w:rPr>
                <w:rFonts w:cs="Times New Roman"/>
              </w:rPr>
              <w:t>生态保护目标</w:t>
            </w:r>
          </w:p>
        </w:tc>
        <w:tc>
          <w:tcPr>
            <w:tcW w:w="3979" w:type="pct"/>
            <w:noWrap/>
            <w:tcMar>
              <w:left w:w="0" w:type="dxa"/>
              <w:right w:w="0" w:type="dxa"/>
            </w:tcMar>
            <w:vAlign w:val="center"/>
          </w:tcPr>
          <w:p w14:paraId="322AB865">
            <w:pPr>
              <w:pStyle w:val="179"/>
              <w:jc w:val="left"/>
              <w:rPr>
                <w:rFonts w:cs="Times New Roman"/>
              </w:rPr>
            </w:pPr>
            <w:r>
              <w:rPr>
                <w:rFonts w:cs="Times New Roman"/>
              </w:rPr>
              <w:t>重要物种</w:t>
            </w:r>
            <w:r>
              <w:rPr>
                <w:rFonts w:hint="eastAsia" w:ascii="MS Mincho" w:hAnsi="MS Mincho" w:eastAsia="MS Mincho" w:cs="MS Mincho"/>
              </w:rPr>
              <w:t>☑</w:t>
            </w:r>
            <w:r>
              <w:rPr>
                <w:rFonts w:cs="Times New Roman"/>
              </w:rPr>
              <w:t>；国家公园</w:t>
            </w:r>
            <w:r>
              <w:rPr>
                <w:rFonts w:ascii="宋体" w:hAnsi="宋体" w:cs="Times New Roman"/>
              </w:rPr>
              <w:t>□；自然保护区□；自然公园□；世界自然遗产□；生态保护红线</w:t>
            </w:r>
            <w:r>
              <w:rPr>
                <w:rFonts w:hint="eastAsia" w:ascii="宋体" w:hAnsi="MS Mincho" w:eastAsia="MS Mincho" w:cs="MS Mincho"/>
              </w:rPr>
              <w:t>☑</w:t>
            </w:r>
            <w:r>
              <w:rPr>
                <w:rFonts w:ascii="宋体" w:hAnsi="宋体" w:cs="Times New Roman"/>
              </w:rPr>
              <w:t>；重要生境□；生态敏感区</w:t>
            </w:r>
            <w:r>
              <w:rPr>
                <w:rFonts w:hint="eastAsia" w:ascii="宋体" w:hAnsi="MS Mincho" w:eastAsia="MS Mincho" w:cs="MS Mincho"/>
              </w:rPr>
              <w:t>☑</w:t>
            </w:r>
            <w:r>
              <w:rPr>
                <w:rFonts w:ascii="宋体" w:hAnsi="宋体" w:cs="Times New Roman"/>
              </w:rPr>
              <w:t>；其他具有重要生态功能、对保护生物多样性具有重要意义的区域□；其他□</w:t>
            </w:r>
          </w:p>
        </w:tc>
      </w:tr>
      <w:tr w14:paraId="45E6DEAE">
        <w:tblPrEx>
          <w:tblBorders>
            <w:top w:val="single" w:color="auto" w:sz="12" w:space="0"/>
            <w:left w:val="single" w:color="auto" w:sz="12" w:space="0"/>
            <w:bottom w:val="single" w:color="auto" w:sz="12" w:space="0"/>
            <w:right w:val="single" w:color="auto" w:sz="12" w:space="0"/>
            <w:insideH w:val="single" w:color="000000" w:sz="6" w:space="0"/>
            <w:insideV w:val="single" w:color="000000" w:sz="6" w:space="0"/>
          </w:tblBorders>
          <w:tblCellMar>
            <w:top w:w="0" w:type="dxa"/>
            <w:left w:w="57" w:type="dxa"/>
            <w:bottom w:w="0" w:type="dxa"/>
            <w:right w:w="57" w:type="dxa"/>
          </w:tblCellMar>
        </w:tblPrEx>
        <w:trPr>
          <w:trHeight w:val="567" w:hRule="atLeast"/>
          <w:jc w:val="center"/>
        </w:trPr>
        <w:tc>
          <w:tcPr>
            <w:tcW w:w="319" w:type="pct"/>
            <w:vMerge w:val="continue"/>
            <w:noWrap/>
            <w:tcMar>
              <w:left w:w="0" w:type="dxa"/>
              <w:right w:w="0" w:type="dxa"/>
            </w:tcMar>
            <w:vAlign w:val="center"/>
          </w:tcPr>
          <w:p w14:paraId="18B7A128">
            <w:pPr>
              <w:pStyle w:val="179"/>
              <w:rPr>
                <w:rFonts w:cs="Times New Roman"/>
              </w:rPr>
            </w:pPr>
          </w:p>
        </w:tc>
        <w:tc>
          <w:tcPr>
            <w:tcW w:w="702" w:type="pct"/>
            <w:gridSpan w:val="2"/>
            <w:noWrap/>
            <w:tcMar>
              <w:left w:w="0" w:type="dxa"/>
              <w:right w:w="0" w:type="dxa"/>
            </w:tcMar>
            <w:vAlign w:val="center"/>
          </w:tcPr>
          <w:p w14:paraId="301AB8B4">
            <w:pPr>
              <w:pStyle w:val="179"/>
              <w:rPr>
                <w:rFonts w:cs="Times New Roman"/>
              </w:rPr>
            </w:pPr>
            <w:r>
              <w:rPr>
                <w:rFonts w:cs="Times New Roman"/>
              </w:rPr>
              <w:t>影响方式</w:t>
            </w:r>
          </w:p>
        </w:tc>
        <w:tc>
          <w:tcPr>
            <w:tcW w:w="3979" w:type="pct"/>
            <w:noWrap/>
            <w:tcMar>
              <w:left w:w="0" w:type="dxa"/>
              <w:right w:w="0" w:type="dxa"/>
            </w:tcMar>
            <w:vAlign w:val="center"/>
          </w:tcPr>
          <w:p w14:paraId="301A6304">
            <w:pPr>
              <w:pStyle w:val="179"/>
              <w:jc w:val="left"/>
              <w:rPr>
                <w:rFonts w:cs="Times New Roman"/>
              </w:rPr>
            </w:pPr>
            <w:r>
              <w:rPr>
                <w:rFonts w:cs="Times New Roman"/>
              </w:rPr>
              <w:t>工程占用</w:t>
            </w:r>
            <w:r>
              <w:rPr>
                <w:rFonts w:ascii="宋体" w:hAnsi="宋体" w:cs="Times New Roman"/>
              </w:rPr>
              <w:t>□；施工活动干扰</w:t>
            </w:r>
            <w:r>
              <w:rPr>
                <w:rFonts w:hint="eastAsia" w:ascii="宋体" w:hAnsi="MS Mincho" w:eastAsia="MS Mincho" w:cs="MS Mincho"/>
              </w:rPr>
              <w:t>☑</w:t>
            </w:r>
            <w:r>
              <w:rPr>
                <w:rFonts w:ascii="宋体" w:hAnsi="宋体" w:cs="Times New Roman"/>
              </w:rPr>
              <w:t>；改变环境条件□；其他□</w:t>
            </w:r>
          </w:p>
        </w:tc>
      </w:tr>
      <w:tr w14:paraId="4F58B301">
        <w:tblPrEx>
          <w:tblBorders>
            <w:top w:val="single" w:color="auto" w:sz="12" w:space="0"/>
            <w:left w:val="single" w:color="auto" w:sz="12" w:space="0"/>
            <w:bottom w:val="single" w:color="auto" w:sz="12" w:space="0"/>
            <w:right w:val="single" w:color="auto" w:sz="12" w:space="0"/>
            <w:insideH w:val="single" w:color="000000" w:sz="6" w:space="0"/>
            <w:insideV w:val="single" w:color="000000" w:sz="6" w:space="0"/>
          </w:tblBorders>
          <w:tblCellMar>
            <w:top w:w="0" w:type="dxa"/>
            <w:left w:w="57" w:type="dxa"/>
            <w:bottom w:w="0" w:type="dxa"/>
            <w:right w:w="57" w:type="dxa"/>
          </w:tblCellMar>
        </w:tblPrEx>
        <w:trPr>
          <w:trHeight w:val="567" w:hRule="atLeast"/>
          <w:jc w:val="center"/>
        </w:trPr>
        <w:tc>
          <w:tcPr>
            <w:tcW w:w="319" w:type="pct"/>
            <w:vMerge w:val="continue"/>
            <w:noWrap/>
            <w:tcMar>
              <w:left w:w="0" w:type="dxa"/>
              <w:right w:w="0" w:type="dxa"/>
            </w:tcMar>
            <w:vAlign w:val="center"/>
          </w:tcPr>
          <w:p w14:paraId="56023678">
            <w:pPr>
              <w:pStyle w:val="179"/>
              <w:rPr>
                <w:rFonts w:cs="Times New Roman"/>
              </w:rPr>
            </w:pPr>
          </w:p>
        </w:tc>
        <w:tc>
          <w:tcPr>
            <w:tcW w:w="702" w:type="pct"/>
            <w:gridSpan w:val="2"/>
            <w:noWrap/>
            <w:tcMar>
              <w:left w:w="0" w:type="dxa"/>
              <w:right w:w="0" w:type="dxa"/>
            </w:tcMar>
            <w:vAlign w:val="center"/>
          </w:tcPr>
          <w:p w14:paraId="0F58C5C2">
            <w:pPr>
              <w:pStyle w:val="179"/>
              <w:rPr>
                <w:rFonts w:cs="Times New Roman"/>
              </w:rPr>
            </w:pPr>
            <w:r>
              <w:rPr>
                <w:rFonts w:cs="Times New Roman"/>
              </w:rPr>
              <w:t>评价因子</w:t>
            </w:r>
          </w:p>
        </w:tc>
        <w:tc>
          <w:tcPr>
            <w:tcW w:w="3979" w:type="pct"/>
            <w:noWrap/>
            <w:tcMar>
              <w:left w:w="0" w:type="dxa"/>
              <w:right w:w="0" w:type="dxa"/>
            </w:tcMar>
            <w:vAlign w:val="center"/>
          </w:tcPr>
          <w:p w14:paraId="3FF3E677">
            <w:pPr>
              <w:pStyle w:val="179"/>
              <w:jc w:val="both"/>
              <w:rPr>
                <w:rFonts w:cs="Times New Roman"/>
              </w:rPr>
            </w:pPr>
            <w:r>
              <w:rPr>
                <w:rFonts w:cs="Times New Roman"/>
              </w:rPr>
              <w:t>物种</w:t>
            </w:r>
            <w:r>
              <w:rPr>
                <w:rFonts w:hint="eastAsia" w:ascii="MS Mincho" w:hAnsi="MS Mincho" w:eastAsia="MS Mincho" w:cs="MS Mincho"/>
              </w:rPr>
              <w:t>☑</w:t>
            </w:r>
            <w:r>
              <w:rPr>
                <w:rFonts w:cs="Times New Roman"/>
              </w:rPr>
              <w:t>（分布范围、种群数量、种群结构、行为）</w:t>
            </w:r>
          </w:p>
          <w:p w14:paraId="7155D6B4">
            <w:pPr>
              <w:pStyle w:val="179"/>
              <w:jc w:val="both"/>
              <w:rPr>
                <w:rFonts w:cs="Times New Roman"/>
              </w:rPr>
            </w:pPr>
            <w:r>
              <w:rPr>
                <w:rFonts w:cs="Times New Roman"/>
              </w:rPr>
              <w:t>生境</w:t>
            </w:r>
            <w:r>
              <w:rPr>
                <w:rFonts w:hint="eastAsia" w:ascii="MS Mincho" w:hAnsi="MS Mincho" w:eastAsia="MS Mincho" w:cs="MS Mincho"/>
              </w:rPr>
              <w:t>☑</w:t>
            </w:r>
            <w:r>
              <w:rPr>
                <w:rFonts w:cs="Times New Roman"/>
              </w:rPr>
              <w:t>（生境面积、质量、连通性）</w:t>
            </w:r>
          </w:p>
          <w:p w14:paraId="7C3D2ACA">
            <w:pPr>
              <w:pStyle w:val="179"/>
              <w:jc w:val="both"/>
              <w:rPr>
                <w:rFonts w:cs="Times New Roman"/>
              </w:rPr>
            </w:pPr>
            <w:r>
              <w:rPr>
                <w:rFonts w:cs="Times New Roman"/>
              </w:rPr>
              <w:t>生物群落</w:t>
            </w:r>
            <w:r>
              <w:rPr>
                <w:rFonts w:hint="eastAsia" w:ascii="MS Mincho" w:hAnsi="MS Mincho" w:eastAsia="MS Mincho" w:cs="MS Mincho"/>
              </w:rPr>
              <w:t>☑</w:t>
            </w:r>
            <w:r>
              <w:rPr>
                <w:rFonts w:cs="Times New Roman"/>
              </w:rPr>
              <w:t>（物种组成、群落结构）</w:t>
            </w:r>
          </w:p>
          <w:p w14:paraId="1ACA9F53">
            <w:pPr>
              <w:pStyle w:val="179"/>
              <w:jc w:val="both"/>
              <w:rPr>
                <w:rFonts w:cs="Times New Roman"/>
              </w:rPr>
            </w:pPr>
            <w:r>
              <w:rPr>
                <w:rFonts w:cs="Times New Roman"/>
              </w:rPr>
              <w:t>生态系统</w:t>
            </w:r>
            <w:r>
              <w:rPr>
                <w:rFonts w:hint="eastAsia" w:ascii="MS Mincho" w:hAnsi="MS Mincho" w:eastAsia="MS Mincho" w:cs="MS Mincho"/>
              </w:rPr>
              <w:t>☑</w:t>
            </w:r>
            <w:r>
              <w:rPr>
                <w:rFonts w:cs="Times New Roman"/>
              </w:rPr>
              <w:t>（植被覆盖度、生物量、生产力、生态系统功能）</w:t>
            </w:r>
          </w:p>
          <w:p w14:paraId="039BFDE6">
            <w:pPr>
              <w:pStyle w:val="179"/>
              <w:jc w:val="both"/>
              <w:rPr>
                <w:rFonts w:cs="Times New Roman"/>
              </w:rPr>
            </w:pPr>
            <w:r>
              <w:rPr>
                <w:rFonts w:cs="Times New Roman"/>
              </w:rPr>
              <w:t>生物多样性</w:t>
            </w:r>
            <w:r>
              <w:rPr>
                <w:rFonts w:hint="eastAsia" w:ascii="MS Mincho" w:hAnsi="MS Mincho" w:eastAsia="MS Mincho" w:cs="MS Mincho"/>
              </w:rPr>
              <w:t>☑</w:t>
            </w:r>
            <w:r>
              <w:rPr>
                <w:rFonts w:cs="Times New Roman"/>
              </w:rPr>
              <w:t>（物种丰富度、均匀度、优势度）</w:t>
            </w:r>
          </w:p>
          <w:p w14:paraId="54376206">
            <w:pPr>
              <w:pStyle w:val="179"/>
              <w:jc w:val="both"/>
              <w:rPr>
                <w:rFonts w:cs="Times New Roman"/>
              </w:rPr>
            </w:pPr>
            <w:r>
              <w:rPr>
                <w:rFonts w:cs="Times New Roman"/>
              </w:rPr>
              <w:t>自然景观</w:t>
            </w:r>
            <w:r>
              <w:rPr>
                <w:rFonts w:hint="eastAsia" w:ascii="MS Mincho" w:hAnsi="MS Mincho" w:eastAsia="MS Mincho" w:cs="MS Mincho"/>
              </w:rPr>
              <w:t>☑</w:t>
            </w:r>
            <w:r>
              <w:rPr>
                <w:rFonts w:cs="Times New Roman"/>
              </w:rPr>
              <w:t>（景观优势度）</w:t>
            </w:r>
          </w:p>
          <w:p w14:paraId="50153D06">
            <w:pPr>
              <w:pStyle w:val="179"/>
              <w:jc w:val="both"/>
              <w:rPr>
                <w:rFonts w:cs="Times New Roman"/>
              </w:rPr>
            </w:pPr>
            <w:r>
              <w:rPr>
                <w:rFonts w:cs="Times New Roman"/>
              </w:rPr>
              <w:t>自然遗迹□（  ）</w:t>
            </w:r>
          </w:p>
          <w:p w14:paraId="79F27554">
            <w:pPr>
              <w:pStyle w:val="179"/>
              <w:jc w:val="both"/>
              <w:rPr>
                <w:rFonts w:cs="Times New Roman"/>
              </w:rPr>
            </w:pPr>
            <w:r>
              <w:rPr>
                <w:rFonts w:cs="Times New Roman"/>
              </w:rPr>
              <w:t>其他□（  ）</w:t>
            </w:r>
          </w:p>
        </w:tc>
      </w:tr>
      <w:tr w14:paraId="2641BADB">
        <w:tblPrEx>
          <w:tblBorders>
            <w:top w:val="single" w:color="auto" w:sz="12" w:space="0"/>
            <w:left w:val="single" w:color="auto" w:sz="12" w:space="0"/>
            <w:bottom w:val="single" w:color="auto" w:sz="12" w:space="0"/>
            <w:right w:val="single" w:color="auto" w:sz="12" w:space="0"/>
            <w:insideH w:val="single" w:color="000000" w:sz="6" w:space="0"/>
            <w:insideV w:val="single" w:color="000000" w:sz="6" w:space="0"/>
          </w:tblBorders>
          <w:tblCellMar>
            <w:top w:w="0" w:type="dxa"/>
            <w:left w:w="57" w:type="dxa"/>
            <w:bottom w:w="0" w:type="dxa"/>
            <w:right w:w="57" w:type="dxa"/>
          </w:tblCellMar>
        </w:tblPrEx>
        <w:trPr>
          <w:trHeight w:val="567" w:hRule="atLeast"/>
          <w:jc w:val="center"/>
        </w:trPr>
        <w:tc>
          <w:tcPr>
            <w:tcW w:w="1021" w:type="pct"/>
            <w:gridSpan w:val="3"/>
            <w:noWrap/>
            <w:tcMar>
              <w:left w:w="0" w:type="dxa"/>
              <w:right w:w="0" w:type="dxa"/>
            </w:tcMar>
            <w:vAlign w:val="center"/>
          </w:tcPr>
          <w:p w14:paraId="74F08CB5">
            <w:pPr>
              <w:pStyle w:val="179"/>
              <w:rPr>
                <w:rFonts w:ascii="宋体" w:hAnsi="宋体" w:cs="Times New Roman"/>
              </w:rPr>
            </w:pPr>
            <w:r>
              <w:rPr>
                <w:rFonts w:ascii="宋体" w:hAnsi="宋体" w:cs="Times New Roman"/>
              </w:rPr>
              <w:t>评价等级</w:t>
            </w:r>
          </w:p>
        </w:tc>
        <w:tc>
          <w:tcPr>
            <w:tcW w:w="3979" w:type="pct"/>
            <w:noWrap/>
            <w:tcMar>
              <w:left w:w="0" w:type="dxa"/>
              <w:right w:w="0" w:type="dxa"/>
            </w:tcMar>
            <w:vAlign w:val="center"/>
          </w:tcPr>
          <w:p w14:paraId="3E61477F">
            <w:pPr>
              <w:pStyle w:val="179"/>
              <w:rPr>
                <w:rFonts w:ascii="宋体" w:hAnsi="宋体" w:cs="Times New Roman"/>
              </w:rPr>
            </w:pPr>
            <w:r>
              <w:rPr>
                <w:rFonts w:ascii="宋体" w:hAnsi="宋体" w:cs="Times New Roman"/>
              </w:rPr>
              <w:t>一级</w:t>
            </w:r>
            <w:r>
              <w:rPr>
                <w:rFonts w:hint="eastAsia" w:ascii="宋体" w:hAnsi="MS Mincho" w:eastAsia="MS Mincho" w:cs="MS Mincho"/>
              </w:rPr>
              <w:t>☑</w:t>
            </w:r>
            <w:r>
              <w:rPr>
                <w:rFonts w:ascii="宋体" w:hAnsi="宋体" w:cs="Times New Roman"/>
              </w:rPr>
              <w:t xml:space="preserve">  二级□  三级□  生态影响简单分析□</w:t>
            </w:r>
          </w:p>
        </w:tc>
      </w:tr>
      <w:tr w14:paraId="7FEBF4EB">
        <w:tblPrEx>
          <w:tblBorders>
            <w:top w:val="single" w:color="auto" w:sz="12" w:space="0"/>
            <w:left w:val="single" w:color="auto" w:sz="12" w:space="0"/>
            <w:bottom w:val="single" w:color="auto" w:sz="12" w:space="0"/>
            <w:right w:val="single" w:color="auto" w:sz="12" w:space="0"/>
            <w:insideH w:val="single" w:color="000000" w:sz="6" w:space="0"/>
            <w:insideV w:val="single" w:color="000000" w:sz="6" w:space="0"/>
          </w:tblBorders>
          <w:tblCellMar>
            <w:top w:w="0" w:type="dxa"/>
            <w:left w:w="57" w:type="dxa"/>
            <w:bottom w:w="0" w:type="dxa"/>
            <w:right w:w="57" w:type="dxa"/>
          </w:tblCellMar>
        </w:tblPrEx>
        <w:trPr>
          <w:trHeight w:val="567" w:hRule="atLeast"/>
          <w:jc w:val="center"/>
        </w:trPr>
        <w:tc>
          <w:tcPr>
            <w:tcW w:w="1021" w:type="pct"/>
            <w:gridSpan w:val="3"/>
            <w:noWrap/>
            <w:tcMar>
              <w:left w:w="0" w:type="dxa"/>
              <w:right w:w="0" w:type="dxa"/>
            </w:tcMar>
            <w:vAlign w:val="center"/>
          </w:tcPr>
          <w:p w14:paraId="78EDFCC7">
            <w:pPr>
              <w:pStyle w:val="179"/>
              <w:rPr>
                <w:rFonts w:cs="Times New Roman"/>
              </w:rPr>
            </w:pPr>
            <w:r>
              <w:rPr>
                <w:rFonts w:cs="Times New Roman"/>
              </w:rPr>
              <w:t>评价范围</w:t>
            </w:r>
          </w:p>
        </w:tc>
        <w:tc>
          <w:tcPr>
            <w:tcW w:w="3979" w:type="pct"/>
            <w:noWrap/>
            <w:tcMar>
              <w:left w:w="0" w:type="dxa"/>
              <w:right w:w="0" w:type="dxa"/>
            </w:tcMar>
            <w:vAlign w:val="center"/>
          </w:tcPr>
          <w:p w14:paraId="5709B8BD">
            <w:pPr>
              <w:pStyle w:val="179"/>
              <w:rPr>
                <w:rFonts w:cs="Times New Roman"/>
              </w:rPr>
            </w:pPr>
            <w:r>
              <w:rPr>
                <w:rFonts w:cs="Times New Roman"/>
              </w:rPr>
              <w:t>陆域面积：（</w:t>
            </w:r>
            <w:r>
              <w:t>502.03</w:t>
            </w:r>
            <w:r>
              <w:rPr>
                <w:rFonts w:cs="Times New Roman"/>
              </w:rPr>
              <w:t>）km</w:t>
            </w:r>
            <w:r>
              <w:rPr>
                <w:rFonts w:cs="Times New Roman"/>
                <w:vertAlign w:val="superscript"/>
              </w:rPr>
              <w:t>2</w:t>
            </w:r>
            <w:r>
              <w:rPr>
                <w:rFonts w:cs="Times New Roman"/>
              </w:rPr>
              <w:t>；</w:t>
            </w:r>
          </w:p>
        </w:tc>
      </w:tr>
      <w:tr w14:paraId="763A2B31">
        <w:tblPrEx>
          <w:tblBorders>
            <w:top w:val="single" w:color="auto" w:sz="12" w:space="0"/>
            <w:left w:val="single" w:color="auto" w:sz="12" w:space="0"/>
            <w:bottom w:val="single" w:color="auto" w:sz="12" w:space="0"/>
            <w:right w:val="single" w:color="auto" w:sz="12" w:space="0"/>
            <w:insideH w:val="single" w:color="000000" w:sz="6" w:space="0"/>
            <w:insideV w:val="single" w:color="000000" w:sz="6" w:space="0"/>
          </w:tblBorders>
          <w:tblCellMar>
            <w:top w:w="0" w:type="dxa"/>
            <w:left w:w="57" w:type="dxa"/>
            <w:bottom w:w="0" w:type="dxa"/>
            <w:right w:w="57" w:type="dxa"/>
          </w:tblCellMar>
        </w:tblPrEx>
        <w:trPr>
          <w:trHeight w:val="567" w:hRule="atLeast"/>
          <w:jc w:val="center"/>
        </w:trPr>
        <w:tc>
          <w:tcPr>
            <w:tcW w:w="349" w:type="pct"/>
            <w:gridSpan w:val="2"/>
            <w:vMerge w:val="restart"/>
            <w:noWrap/>
            <w:tcMar>
              <w:left w:w="0" w:type="dxa"/>
              <w:right w:w="0" w:type="dxa"/>
            </w:tcMar>
            <w:vAlign w:val="center"/>
          </w:tcPr>
          <w:p w14:paraId="72E0B664">
            <w:pPr>
              <w:pStyle w:val="179"/>
              <w:rPr>
                <w:rFonts w:ascii="宋体" w:hAnsi="宋体" w:cs="Times New Roman"/>
              </w:rPr>
            </w:pPr>
            <w:r>
              <w:rPr>
                <w:rFonts w:ascii="宋体" w:hAnsi="宋体" w:cs="Times New Roman"/>
              </w:rPr>
              <w:t>生态现状调查与评价</w:t>
            </w:r>
          </w:p>
        </w:tc>
        <w:tc>
          <w:tcPr>
            <w:tcW w:w="672" w:type="pct"/>
            <w:noWrap/>
            <w:tcMar>
              <w:left w:w="0" w:type="dxa"/>
              <w:right w:w="0" w:type="dxa"/>
            </w:tcMar>
            <w:vAlign w:val="center"/>
          </w:tcPr>
          <w:p w14:paraId="1CADD524">
            <w:pPr>
              <w:pStyle w:val="179"/>
              <w:rPr>
                <w:rFonts w:ascii="宋体" w:hAnsi="宋体" w:cs="Times New Roman"/>
              </w:rPr>
            </w:pPr>
            <w:r>
              <w:rPr>
                <w:rFonts w:ascii="宋体" w:hAnsi="宋体" w:cs="Times New Roman"/>
              </w:rPr>
              <w:t>调查方法</w:t>
            </w:r>
          </w:p>
        </w:tc>
        <w:tc>
          <w:tcPr>
            <w:tcW w:w="3979" w:type="pct"/>
            <w:noWrap/>
            <w:tcMar>
              <w:left w:w="0" w:type="dxa"/>
              <w:right w:w="0" w:type="dxa"/>
            </w:tcMar>
            <w:vAlign w:val="center"/>
          </w:tcPr>
          <w:p w14:paraId="20CD4834">
            <w:pPr>
              <w:pStyle w:val="179"/>
              <w:jc w:val="left"/>
              <w:rPr>
                <w:rFonts w:ascii="宋体" w:hAnsi="宋体" w:cs="Times New Roman"/>
              </w:rPr>
            </w:pPr>
            <w:r>
              <w:rPr>
                <w:rFonts w:ascii="宋体" w:hAnsi="宋体" w:cs="Times New Roman"/>
              </w:rPr>
              <w:t>资料收集</w:t>
            </w:r>
            <w:r>
              <w:rPr>
                <w:rFonts w:hint="eastAsia" w:ascii="宋体" w:hAnsi="MS Mincho" w:eastAsia="MS Mincho" w:cs="MS Mincho"/>
              </w:rPr>
              <w:t>☑</w:t>
            </w:r>
            <w:r>
              <w:rPr>
                <w:rFonts w:ascii="宋体" w:hAnsi="宋体" w:cs="Times New Roman"/>
              </w:rPr>
              <w:t>；遥感调查</w:t>
            </w:r>
            <w:r>
              <w:rPr>
                <w:rFonts w:hint="eastAsia" w:ascii="宋体" w:hAnsi="MS Mincho" w:eastAsia="MS Mincho" w:cs="MS Mincho"/>
              </w:rPr>
              <w:t>☑</w:t>
            </w:r>
            <w:r>
              <w:rPr>
                <w:rFonts w:ascii="宋体" w:hAnsi="宋体" w:cs="Times New Roman"/>
              </w:rPr>
              <w:t>；调查样方、样线</w:t>
            </w:r>
            <w:r>
              <w:rPr>
                <w:rFonts w:hint="eastAsia" w:ascii="宋体" w:hAnsi="MS Mincho" w:eastAsia="MS Mincho" w:cs="MS Mincho"/>
              </w:rPr>
              <w:t>☑</w:t>
            </w:r>
            <w:r>
              <w:rPr>
                <w:rFonts w:ascii="宋体" w:hAnsi="宋体" w:cs="Times New Roman"/>
              </w:rPr>
              <w:t>；调查点位、断面□；专家和公众咨询法</w:t>
            </w:r>
            <w:r>
              <w:rPr>
                <w:rFonts w:hint="eastAsia" w:ascii="宋体" w:hAnsi="MS Mincho" w:eastAsia="MS Mincho" w:cs="MS Mincho"/>
              </w:rPr>
              <w:t>☑</w:t>
            </w:r>
            <w:r>
              <w:rPr>
                <w:rFonts w:ascii="宋体" w:hAnsi="宋体" w:cs="Times New Roman"/>
              </w:rPr>
              <w:t>；其他□</w:t>
            </w:r>
          </w:p>
        </w:tc>
      </w:tr>
      <w:tr w14:paraId="7355B15F">
        <w:tblPrEx>
          <w:tblBorders>
            <w:top w:val="single" w:color="auto" w:sz="12" w:space="0"/>
            <w:left w:val="single" w:color="auto" w:sz="12" w:space="0"/>
            <w:bottom w:val="single" w:color="auto" w:sz="12" w:space="0"/>
            <w:right w:val="single" w:color="auto" w:sz="12" w:space="0"/>
            <w:insideH w:val="single" w:color="000000" w:sz="6" w:space="0"/>
            <w:insideV w:val="single" w:color="000000" w:sz="6" w:space="0"/>
          </w:tblBorders>
          <w:tblCellMar>
            <w:top w:w="0" w:type="dxa"/>
            <w:left w:w="57" w:type="dxa"/>
            <w:bottom w:w="0" w:type="dxa"/>
            <w:right w:w="57" w:type="dxa"/>
          </w:tblCellMar>
        </w:tblPrEx>
        <w:trPr>
          <w:trHeight w:val="567" w:hRule="atLeast"/>
          <w:jc w:val="center"/>
        </w:trPr>
        <w:tc>
          <w:tcPr>
            <w:tcW w:w="349" w:type="pct"/>
            <w:gridSpan w:val="2"/>
            <w:vMerge w:val="continue"/>
            <w:noWrap/>
            <w:tcMar>
              <w:left w:w="0" w:type="dxa"/>
              <w:right w:w="0" w:type="dxa"/>
            </w:tcMar>
            <w:vAlign w:val="center"/>
          </w:tcPr>
          <w:p w14:paraId="407B3BE8">
            <w:pPr>
              <w:pStyle w:val="179"/>
              <w:rPr>
                <w:rFonts w:cs="Times New Roman"/>
              </w:rPr>
            </w:pPr>
          </w:p>
        </w:tc>
        <w:tc>
          <w:tcPr>
            <w:tcW w:w="672" w:type="pct"/>
            <w:noWrap/>
            <w:tcMar>
              <w:left w:w="0" w:type="dxa"/>
              <w:right w:w="0" w:type="dxa"/>
            </w:tcMar>
            <w:vAlign w:val="center"/>
          </w:tcPr>
          <w:p w14:paraId="18E9407F">
            <w:pPr>
              <w:pStyle w:val="179"/>
              <w:rPr>
                <w:rFonts w:ascii="宋体" w:hAnsi="宋体" w:cs="Times New Roman"/>
              </w:rPr>
            </w:pPr>
            <w:r>
              <w:rPr>
                <w:rFonts w:ascii="宋体" w:hAnsi="宋体" w:cs="Times New Roman"/>
              </w:rPr>
              <w:t>调查时间</w:t>
            </w:r>
          </w:p>
        </w:tc>
        <w:tc>
          <w:tcPr>
            <w:tcW w:w="3979" w:type="pct"/>
            <w:noWrap/>
            <w:tcMar>
              <w:left w:w="0" w:type="dxa"/>
              <w:right w:w="0" w:type="dxa"/>
            </w:tcMar>
            <w:vAlign w:val="center"/>
          </w:tcPr>
          <w:p w14:paraId="2B62B4A1">
            <w:pPr>
              <w:pStyle w:val="179"/>
              <w:jc w:val="left"/>
              <w:rPr>
                <w:rFonts w:ascii="宋体" w:hAnsi="宋体" w:cs="Times New Roman"/>
              </w:rPr>
            </w:pPr>
            <w:r>
              <w:rPr>
                <w:rFonts w:ascii="宋体" w:hAnsi="宋体" w:cs="Times New Roman"/>
              </w:rPr>
              <w:t>春季</w:t>
            </w:r>
            <w:r>
              <w:rPr>
                <w:rFonts w:hint="eastAsia" w:ascii="宋体" w:hAnsi="MS Mincho" w:eastAsia="MS Mincho" w:cs="MS Mincho"/>
              </w:rPr>
              <w:t>☑</w:t>
            </w:r>
            <w:r>
              <w:rPr>
                <w:rFonts w:ascii="宋体" w:hAnsi="宋体" w:cs="Times New Roman"/>
              </w:rPr>
              <w:t>；夏季</w:t>
            </w:r>
            <w:r>
              <w:rPr>
                <w:rFonts w:hint="eastAsia" w:ascii="宋体" w:hAnsi="MS Mincho" w:eastAsia="MS Mincho" w:cs="MS Mincho"/>
              </w:rPr>
              <w:t>☑</w:t>
            </w:r>
            <w:r>
              <w:rPr>
                <w:rFonts w:ascii="宋体" w:hAnsi="宋体" w:cs="Times New Roman"/>
              </w:rPr>
              <w:t>；秋季</w:t>
            </w:r>
            <w:r>
              <w:rPr>
                <w:rFonts w:hint="eastAsia" w:ascii="宋体" w:hAnsi="MS Mincho" w:eastAsia="MS Mincho" w:cs="MS Mincho"/>
              </w:rPr>
              <w:t>☑</w:t>
            </w:r>
            <w:r>
              <w:rPr>
                <w:rFonts w:ascii="宋体" w:hAnsi="宋体" w:cs="Times New Roman"/>
              </w:rPr>
              <w:t>；冬季□</w:t>
            </w:r>
          </w:p>
          <w:p w14:paraId="5405D72B">
            <w:pPr>
              <w:pStyle w:val="179"/>
              <w:jc w:val="left"/>
              <w:rPr>
                <w:rFonts w:ascii="宋体" w:hAnsi="宋体" w:cs="Times New Roman"/>
              </w:rPr>
            </w:pPr>
            <w:r>
              <w:rPr>
                <w:rFonts w:ascii="宋体" w:hAnsi="宋体" w:cs="Times New Roman"/>
              </w:rPr>
              <w:t>丰水期□；枯水期□；平水期□</w:t>
            </w:r>
          </w:p>
        </w:tc>
      </w:tr>
      <w:tr w14:paraId="24F319EE">
        <w:tblPrEx>
          <w:tblBorders>
            <w:top w:val="single" w:color="auto" w:sz="12" w:space="0"/>
            <w:left w:val="single" w:color="auto" w:sz="12" w:space="0"/>
            <w:bottom w:val="single" w:color="auto" w:sz="12" w:space="0"/>
            <w:right w:val="single" w:color="auto" w:sz="12" w:space="0"/>
            <w:insideH w:val="single" w:color="000000" w:sz="6" w:space="0"/>
            <w:insideV w:val="single" w:color="000000" w:sz="6" w:space="0"/>
          </w:tblBorders>
          <w:tblCellMar>
            <w:top w:w="0" w:type="dxa"/>
            <w:left w:w="57" w:type="dxa"/>
            <w:bottom w:w="0" w:type="dxa"/>
            <w:right w:w="57" w:type="dxa"/>
          </w:tblCellMar>
        </w:tblPrEx>
        <w:trPr>
          <w:trHeight w:val="567" w:hRule="atLeast"/>
          <w:jc w:val="center"/>
        </w:trPr>
        <w:tc>
          <w:tcPr>
            <w:tcW w:w="349" w:type="pct"/>
            <w:gridSpan w:val="2"/>
            <w:vMerge w:val="continue"/>
            <w:noWrap/>
            <w:tcMar>
              <w:left w:w="0" w:type="dxa"/>
              <w:right w:w="0" w:type="dxa"/>
            </w:tcMar>
            <w:vAlign w:val="center"/>
          </w:tcPr>
          <w:p w14:paraId="2673A22A">
            <w:pPr>
              <w:pStyle w:val="179"/>
              <w:rPr>
                <w:rFonts w:cs="Times New Roman"/>
              </w:rPr>
            </w:pPr>
          </w:p>
        </w:tc>
        <w:tc>
          <w:tcPr>
            <w:tcW w:w="672" w:type="pct"/>
            <w:noWrap/>
            <w:tcMar>
              <w:left w:w="0" w:type="dxa"/>
              <w:right w:w="0" w:type="dxa"/>
            </w:tcMar>
            <w:vAlign w:val="center"/>
          </w:tcPr>
          <w:p w14:paraId="731299DE">
            <w:pPr>
              <w:pStyle w:val="179"/>
              <w:rPr>
                <w:rFonts w:ascii="宋体" w:hAnsi="宋体" w:cs="Times New Roman"/>
              </w:rPr>
            </w:pPr>
            <w:r>
              <w:rPr>
                <w:rFonts w:ascii="宋体" w:hAnsi="宋体" w:cs="Times New Roman"/>
              </w:rPr>
              <w:t>所在区域的</w:t>
            </w:r>
          </w:p>
          <w:p w14:paraId="5CB19384">
            <w:pPr>
              <w:pStyle w:val="179"/>
              <w:rPr>
                <w:rFonts w:ascii="宋体" w:hAnsi="宋体" w:cs="Times New Roman"/>
              </w:rPr>
            </w:pPr>
            <w:r>
              <w:rPr>
                <w:rFonts w:ascii="宋体" w:hAnsi="宋体" w:cs="Times New Roman"/>
              </w:rPr>
              <w:t>生态问题</w:t>
            </w:r>
          </w:p>
        </w:tc>
        <w:tc>
          <w:tcPr>
            <w:tcW w:w="3979" w:type="pct"/>
            <w:noWrap/>
            <w:tcMar>
              <w:left w:w="0" w:type="dxa"/>
              <w:right w:w="0" w:type="dxa"/>
            </w:tcMar>
            <w:vAlign w:val="center"/>
          </w:tcPr>
          <w:p w14:paraId="03434F5E">
            <w:pPr>
              <w:pStyle w:val="179"/>
              <w:jc w:val="left"/>
              <w:rPr>
                <w:rFonts w:ascii="宋体" w:hAnsi="宋体" w:cs="Times New Roman"/>
              </w:rPr>
            </w:pPr>
            <w:r>
              <w:rPr>
                <w:rFonts w:ascii="宋体" w:hAnsi="宋体" w:cs="Times New Roman"/>
              </w:rPr>
              <w:t>水土流失</w:t>
            </w:r>
            <w:r>
              <w:rPr>
                <w:rFonts w:hint="eastAsia" w:ascii="宋体" w:hAnsi="MS Mincho" w:eastAsia="MS Mincho" w:cs="MS Mincho"/>
              </w:rPr>
              <w:t>☑</w:t>
            </w:r>
            <w:r>
              <w:rPr>
                <w:rFonts w:ascii="宋体" w:hAnsi="宋体" w:cs="Times New Roman"/>
              </w:rPr>
              <w:t>；沙漠化□；石漠化□；盐渍化□；生物入侵□；污染危害□；其他</w:t>
            </w:r>
            <w:r>
              <w:rPr>
                <w:rFonts w:hint="eastAsia" w:ascii="宋体" w:hAnsi="MS Mincho" w:eastAsia="MS Mincho" w:cs="MS Mincho"/>
              </w:rPr>
              <w:t>☑</w:t>
            </w:r>
          </w:p>
        </w:tc>
      </w:tr>
      <w:tr w14:paraId="323FD651">
        <w:tblPrEx>
          <w:tblBorders>
            <w:top w:val="single" w:color="auto" w:sz="12" w:space="0"/>
            <w:left w:val="single" w:color="auto" w:sz="12" w:space="0"/>
            <w:bottom w:val="single" w:color="auto" w:sz="12" w:space="0"/>
            <w:right w:val="single" w:color="auto" w:sz="12" w:space="0"/>
            <w:insideH w:val="single" w:color="000000" w:sz="6" w:space="0"/>
            <w:insideV w:val="single" w:color="000000" w:sz="6" w:space="0"/>
          </w:tblBorders>
          <w:tblCellMar>
            <w:top w:w="0" w:type="dxa"/>
            <w:left w:w="57" w:type="dxa"/>
            <w:bottom w:w="0" w:type="dxa"/>
            <w:right w:w="57" w:type="dxa"/>
          </w:tblCellMar>
        </w:tblPrEx>
        <w:trPr>
          <w:trHeight w:val="567" w:hRule="atLeast"/>
          <w:jc w:val="center"/>
        </w:trPr>
        <w:tc>
          <w:tcPr>
            <w:tcW w:w="349" w:type="pct"/>
            <w:gridSpan w:val="2"/>
            <w:vMerge w:val="continue"/>
            <w:noWrap/>
            <w:tcMar>
              <w:left w:w="0" w:type="dxa"/>
              <w:right w:w="0" w:type="dxa"/>
            </w:tcMar>
            <w:vAlign w:val="center"/>
          </w:tcPr>
          <w:p w14:paraId="3495F0F7">
            <w:pPr>
              <w:pStyle w:val="179"/>
              <w:rPr>
                <w:rFonts w:cs="Times New Roman"/>
              </w:rPr>
            </w:pPr>
          </w:p>
        </w:tc>
        <w:tc>
          <w:tcPr>
            <w:tcW w:w="672" w:type="pct"/>
            <w:noWrap/>
            <w:tcMar>
              <w:left w:w="0" w:type="dxa"/>
              <w:right w:w="0" w:type="dxa"/>
            </w:tcMar>
            <w:vAlign w:val="center"/>
          </w:tcPr>
          <w:p w14:paraId="15939E59">
            <w:pPr>
              <w:pStyle w:val="179"/>
              <w:rPr>
                <w:rFonts w:ascii="宋体" w:hAnsi="宋体" w:cs="Times New Roman"/>
              </w:rPr>
            </w:pPr>
            <w:r>
              <w:rPr>
                <w:rFonts w:ascii="宋体" w:hAnsi="宋体" w:cs="Times New Roman"/>
              </w:rPr>
              <w:t>评价内容</w:t>
            </w:r>
          </w:p>
        </w:tc>
        <w:tc>
          <w:tcPr>
            <w:tcW w:w="3979" w:type="pct"/>
            <w:noWrap/>
            <w:tcMar>
              <w:left w:w="0" w:type="dxa"/>
              <w:right w:w="0" w:type="dxa"/>
            </w:tcMar>
            <w:vAlign w:val="center"/>
          </w:tcPr>
          <w:p w14:paraId="6BC40BDE">
            <w:pPr>
              <w:pStyle w:val="179"/>
              <w:jc w:val="left"/>
              <w:rPr>
                <w:rFonts w:ascii="宋体" w:hAnsi="宋体" w:cs="Times New Roman"/>
              </w:rPr>
            </w:pPr>
            <w:r>
              <w:rPr>
                <w:rFonts w:ascii="宋体" w:hAnsi="宋体" w:cs="Times New Roman"/>
              </w:rPr>
              <w:t>植被/植物群落</w:t>
            </w:r>
            <w:r>
              <w:rPr>
                <w:rFonts w:hint="eastAsia" w:ascii="宋体" w:hAnsi="MS Mincho" w:eastAsia="MS Mincho" w:cs="MS Mincho"/>
              </w:rPr>
              <w:t>☑</w:t>
            </w:r>
            <w:r>
              <w:rPr>
                <w:rFonts w:ascii="宋体" w:hAnsi="宋体" w:cs="Times New Roman"/>
              </w:rPr>
              <w:t>；土地利用</w:t>
            </w:r>
            <w:r>
              <w:rPr>
                <w:rFonts w:hint="eastAsia" w:ascii="宋体" w:hAnsi="MS Mincho" w:eastAsia="MS Mincho" w:cs="MS Mincho"/>
              </w:rPr>
              <w:t>☑</w:t>
            </w:r>
            <w:r>
              <w:rPr>
                <w:rFonts w:ascii="宋体" w:hAnsi="宋体" w:cs="Times New Roman"/>
              </w:rPr>
              <w:t>；生态系统</w:t>
            </w:r>
            <w:r>
              <w:rPr>
                <w:rFonts w:hint="eastAsia" w:ascii="宋体" w:hAnsi="MS Mincho" w:eastAsia="MS Mincho" w:cs="MS Mincho"/>
              </w:rPr>
              <w:t>☑</w:t>
            </w:r>
            <w:r>
              <w:rPr>
                <w:rFonts w:ascii="宋体" w:hAnsi="宋体" w:cs="Times New Roman"/>
              </w:rPr>
              <w:t>；生物多样性</w:t>
            </w:r>
            <w:r>
              <w:rPr>
                <w:rFonts w:hint="eastAsia" w:ascii="宋体" w:hAnsi="MS Mincho" w:eastAsia="MS Mincho" w:cs="MS Mincho"/>
              </w:rPr>
              <w:t>☑</w:t>
            </w:r>
            <w:r>
              <w:rPr>
                <w:rFonts w:ascii="宋体" w:hAnsi="宋体" w:cs="Times New Roman"/>
              </w:rPr>
              <w:t>；重要物种</w:t>
            </w:r>
            <w:r>
              <w:rPr>
                <w:rFonts w:hint="eastAsia" w:ascii="宋体" w:hAnsi="MS Mincho" w:eastAsia="MS Mincho" w:cs="MS Mincho"/>
              </w:rPr>
              <w:t>☑</w:t>
            </w:r>
            <w:r>
              <w:rPr>
                <w:rFonts w:ascii="宋体" w:hAnsi="宋体" w:cs="Times New Roman"/>
              </w:rPr>
              <w:t>；生态敏感区</w:t>
            </w:r>
            <w:r>
              <w:rPr>
                <w:rFonts w:hint="eastAsia" w:ascii="宋体" w:hAnsi="MS Mincho" w:eastAsia="MS Mincho" w:cs="MS Mincho"/>
              </w:rPr>
              <w:t>☑</w:t>
            </w:r>
            <w:r>
              <w:rPr>
                <w:rFonts w:ascii="宋体" w:hAnsi="宋体" w:cs="Times New Roman"/>
              </w:rPr>
              <w:t>；其他□</w:t>
            </w:r>
          </w:p>
        </w:tc>
      </w:tr>
      <w:tr w14:paraId="45CB1102">
        <w:tblPrEx>
          <w:tblBorders>
            <w:top w:val="single" w:color="auto" w:sz="12" w:space="0"/>
            <w:left w:val="single" w:color="auto" w:sz="12" w:space="0"/>
            <w:bottom w:val="single" w:color="auto" w:sz="12" w:space="0"/>
            <w:right w:val="single" w:color="auto" w:sz="12" w:space="0"/>
            <w:insideH w:val="single" w:color="000000" w:sz="6" w:space="0"/>
            <w:insideV w:val="single" w:color="000000" w:sz="6" w:space="0"/>
          </w:tblBorders>
          <w:tblCellMar>
            <w:top w:w="0" w:type="dxa"/>
            <w:left w:w="57" w:type="dxa"/>
            <w:bottom w:w="0" w:type="dxa"/>
            <w:right w:w="57" w:type="dxa"/>
          </w:tblCellMar>
        </w:tblPrEx>
        <w:trPr>
          <w:trHeight w:val="567" w:hRule="atLeast"/>
          <w:jc w:val="center"/>
        </w:trPr>
        <w:tc>
          <w:tcPr>
            <w:tcW w:w="349" w:type="pct"/>
            <w:gridSpan w:val="2"/>
            <w:vMerge w:val="restart"/>
            <w:noWrap/>
            <w:tcMar>
              <w:left w:w="0" w:type="dxa"/>
              <w:right w:w="0" w:type="dxa"/>
            </w:tcMar>
            <w:vAlign w:val="center"/>
          </w:tcPr>
          <w:p w14:paraId="30EDD933">
            <w:pPr>
              <w:pStyle w:val="179"/>
              <w:rPr>
                <w:rFonts w:cs="Times New Roman"/>
              </w:rPr>
            </w:pPr>
            <w:r>
              <w:rPr>
                <w:rFonts w:cs="Times New Roman"/>
              </w:rPr>
              <w:t>生态影响预测与评价</w:t>
            </w:r>
          </w:p>
        </w:tc>
        <w:tc>
          <w:tcPr>
            <w:tcW w:w="672" w:type="pct"/>
            <w:noWrap/>
            <w:tcMar>
              <w:left w:w="0" w:type="dxa"/>
              <w:right w:w="0" w:type="dxa"/>
            </w:tcMar>
            <w:vAlign w:val="center"/>
          </w:tcPr>
          <w:p w14:paraId="1DF68F28">
            <w:pPr>
              <w:pStyle w:val="179"/>
              <w:rPr>
                <w:rFonts w:ascii="宋体" w:hAnsi="宋体" w:cs="Times New Roman"/>
              </w:rPr>
            </w:pPr>
            <w:r>
              <w:rPr>
                <w:rFonts w:ascii="宋体" w:hAnsi="宋体" w:cs="Times New Roman"/>
              </w:rPr>
              <w:t>评价方法</w:t>
            </w:r>
          </w:p>
        </w:tc>
        <w:tc>
          <w:tcPr>
            <w:tcW w:w="3979" w:type="pct"/>
            <w:noWrap/>
            <w:tcMar>
              <w:left w:w="0" w:type="dxa"/>
              <w:right w:w="0" w:type="dxa"/>
            </w:tcMar>
            <w:vAlign w:val="center"/>
          </w:tcPr>
          <w:p w14:paraId="0F6B525B">
            <w:pPr>
              <w:pStyle w:val="179"/>
              <w:jc w:val="left"/>
              <w:rPr>
                <w:rFonts w:ascii="宋体" w:hAnsi="宋体" w:cs="Times New Roman"/>
              </w:rPr>
            </w:pPr>
            <w:r>
              <w:rPr>
                <w:rFonts w:ascii="宋体" w:hAnsi="宋体" w:cs="Times New Roman"/>
              </w:rPr>
              <w:t>定性□；定性和定量</w:t>
            </w:r>
            <w:r>
              <w:rPr>
                <w:rFonts w:hint="eastAsia" w:ascii="宋体" w:hAnsi="MS Mincho" w:eastAsia="MS Mincho" w:cs="MS Mincho"/>
              </w:rPr>
              <w:t>☑</w:t>
            </w:r>
          </w:p>
        </w:tc>
      </w:tr>
      <w:tr w14:paraId="3299A4B1">
        <w:tblPrEx>
          <w:tblBorders>
            <w:top w:val="single" w:color="auto" w:sz="12" w:space="0"/>
            <w:left w:val="single" w:color="auto" w:sz="12" w:space="0"/>
            <w:bottom w:val="single" w:color="auto" w:sz="12" w:space="0"/>
            <w:right w:val="single" w:color="auto" w:sz="12" w:space="0"/>
            <w:insideH w:val="single" w:color="000000" w:sz="6" w:space="0"/>
            <w:insideV w:val="single" w:color="000000" w:sz="6" w:space="0"/>
          </w:tblBorders>
          <w:tblCellMar>
            <w:top w:w="0" w:type="dxa"/>
            <w:left w:w="57" w:type="dxa"/>
            <w:bottom w:w="0" w:type="dxa"/>
            <w:right w:w="57" w:type="dxa"/>
          </w:tblCellMar>
        </w:tblPrEx>
        <w:trPr>
          <w:trHeight w:val="567" w:hRule="atLeast"/>
          <w:jc w:val="center"/>
        </w:trPr>
        <w:tc>
          <w:tcPr>
            <w:tcW w:w="349" w:type="pct"/>
            <w:gridSpan w:val="2"/>
            <w:vMerge w:val="continue"/>
            <w:noWrap/>
            <w:tcMar>
              <w:left w:w="0" w:type="dxa"/>
              <w:right w:w="0" w:type="dxa"/>
            </w:tcMar>
            <w:vAlign w:val="center"/>
          </w:tcPr>
          <w:p w14:paraId="126CF1A8">
            <w:pPr>
              <w:pStyle w:val="179"/>
              <w:rPr>
                <w:rFonts w:cs="Times New Roman"/>
              </w:rPr>
            </w:pPr>
          </w:p>
        </w:tc>
        <w:tc>
          <w:tcPr>
            <w:tcW w:w="672" w:type="pct"/>
            <w:noWrap/>
            <w:tcMar>
              <w:left w:w="0" w:type="dxa"/>
              <w:right w:w="0" w:type="dxa"/>
            </w:tcMar>
            <w:vAlign w:val="center"/>
          </w:tcPr>
          <w:p w14:paraId="421D874E">
            <w:pPr>
              <w:pStyle w:val="179"/>
              <w:rPr>
                <w:rFonts w:ascii="宋体" w:hAnsi="宋体" w:cs="Times New Roman"/>
              </w:rPr>
            </w:pPr>
            <w:r>
              <w:rPr>
                <w:rFonts w:ascii="宋体" w:hAnsi="宋体" w:cs="Times New Roman"/>
              </w:rPr>
              <w:t>评价内容</w:t>
            </w:r>
          </w:p>
        </w:tc>
        <w:tc>
          <w:tcPr>
            <w:tcW w:w="3979" w:type="pct"/>
            <w:noWrap/>
            <w:tcMar>
              <w:left w:w="0" w:type="dxa"/>
              <w:right w:w="0" w:type="dxa"/>
            </w:tcMar>
            <w:vAlign w:val="center"/>
          </w:tcPr>
          <w:p w14:paraId="489836AD">
            <w:pPr>
              <w:pStyle w:val="179"/>
              <w:jc w:val="left"/>
              <w:rPr>
                <w:rFonts w:ascii="宋体" w:hAnsi="宋体" w:cs="Times New Roman"/>
              </w:rPr>
            </w:pPr>
            <w:r>
              <w:rPr>
                <w:rFonts w:ascii="宋体" w:hAnsi="宋体" w:cs="Times New Roman"/>
              </w:rPr>
              <w:t>植被/植物群落</w:t>
            </w:r>
            <w:r>
              <w:rPr>
                <w:rFonts w:hint="eastAsia" w:ascii="宋体" w:hAnsi="MS Mincho" w:eastAsia="MS Mincho" w:cs="MS Mincho"/>
              </w:rPr>
              <w:t>☑</w:t>
            </w:r>
            <w:r>
              <w:rPr>
                <w:rFonts w:ascii="宋体" w:hAnsi="宋体" w:cs="Times New Roman"/>
              </w:rPr>
              <w:t>；土地利用</w:t>
            </w:r>
            <w:r>
              <w:rPr>
                <w:rFonts w:hint="eastAsia" w:ascii="宋体" w:hAnsi="MS Mincho" w:eastAsia="MS Mincho" w:cs="MS Mincho"/>
              </w:rPr>
              <w:t>☑</w:t>
            </w:r>
            <w:r>
              <w:rPr>
                <w:rFonts w:ascii="宋体" w:hAnsi="宋体" w:cs="Times New Roman"/>
              </w:rPr>
              <w:t>；生态系统</w:t>
            </w:r>
            <w:r>
              <w:rPr>
                <w:rFonts w:hint="eastAsia" w:ascii="宋体" w:hAnsi="MS Mincho" w:eastAsia="MS Mincho" w:cs="MS Mincho"/>
              </w:rPr>
              <w:t>☑</w:t>
            </w:r>
            <w:r>
              <w:rPr>
                <w:rFonts w:ascii="宋体" w:hAnsi="宋体" w:cs="Times New Roman"/>
              </w:rPr>
              <w:t>；生物多样性</w:t>
            </w:r>
            <w:r>
              <w:rPr>
                <w:rFonts w:hint="eastAsia" w:ascii="宋体" w:hAnsi="MS Mincho" w:eastAsia="MS Mincho" w:cs="MS Mincho"/>
              </w:rPr>
              <w:t>☑</w:t>
            </w:r>
            <w:r>
              <w:rPr>
                <w:rFonts w:ascii="宋体" w:hAnsi="宋体" w:cs="Times New Roman"/>
              </w:rPr>
              <w:t>；重要物种</w:t>
            </w:r>
            <w:r>
              <w:rPr>
                <w:rFonts w:hint="eastAsia" w:ascii="宋体" w:hAnsi="MS Mincho" w:eastAsia="MS Mincho" w:cs="MS Mincho"/>
              </w:rPr>
              <w:t>☑</w:t>
            </w:r>
            <w:r>
              <w:rPr>
                <w:rFonts w:ascii="宋体" w:hAnsi="宋体" w:cs="Times New Roman"/>
              </w:rPr>
              <w:t>；生态敏感区</w:t>
            </w:r>
            <w:r>
              <w:rPr>
                <w:rFonts w:hint="eastAsia" w:ascii="宋体" w:hAnsi="MS Mincho" w:eastAsia="MS Mincho" w:cs="MS Mincho"/>
              </w:rPr>
              <w:t>☑</w:t>
            </w:r>
            <w:r>
              <w:rPr>
                <w:rFonts w:ascii="宋体" w:hAnsi="宋体" w:cs="Times New Roman"/>
              </w:rPr>
              <w:t>；生物入侵风险□；其他□</w:t>
            </w:r>
          </w:p>
        </w:tc>
      </w:tr>
      <w:tr w14:paraId="68D3BA03">
        <w:tblPrEx>
          <w:tblBorders>
            <w:top w:val="single" w:color="auto" w:sz="12" w:space="0"/>
            <w:left w:val="single" w:color="auto" w:sz="12" w:space="0"/>
            <w:bottom w:val="single" w:color="auto" w:sz="12" w:space="0"/>
            <w:right w:val="single" w:color="auto" w:sz="12" w:space="0"/>
            <w:insideH w:val="single" w:color="000000" w:sz="6" w:space="0"/>
            <w:insideV w:val="single" w:color="000000" w:sz="6" w:space="0"/>
          </w:tblBorders>
          <w:tblCellMar>
            <w:top w:w="0" w:type="dxa"/>
            <w:left w:w="57" w:type="dxa"/>
            <w:bottom w:w="0" w:type="dxa"/>
            <w:right w:w="57" w:type="dxa"/>
          </w:tblCellMar>
        </w:tblPrEx>
        <w:trPr>
          <w:trHeight w:val="567" w:hRule="atLeast"/>
          <w:jc w:val="center"/>
        </w:trPr>
        <w:tc>
          <w:tcPr>
            <w:tcW w:w="349" w:type="pct"/>
            <w:gridSpan w:val="2"/>
            <w:vMerge w:val="restart"/>
            <w:noWrap/>
            <w:tcMar>
              <w:left w:w="0" w:type="dxa"/>
              <w:right w:w="0" w:type="dxa"/>
            </w:tcMar>
            <w:vAlign w:val="center"/>
          </w:tcPr>
          <w:p w14:paraId="1FA2E9D1">
            <w:pPr>
              <w:pStyle w:val="179"/>
              <w:rPr>
                <w:rFonts w:ascii="宋体" w:hAnsi="宋体" w:cs="Times New Roman"/>
              </w:rPr>
            </w:pPr>
            <w:r>
              <w:rPr>
                <w:rFonts w:ascii="宋体" w:hAnsi="宋体" w:cs="Times New Roman"/>
              </w:rPr>
              <w:t>生态保护</w:t>
            </w:r>
          </w:p>
          <w:p w14:paraId="322DDA86">
            <w:pPr>
              <w:pStyle w:val="179"/>
              <w:rPr>
                <w:rFonts w:ascii="宋体" w:hAnsi="宋体" w:cs="Times New Roman"/>
              </w:rPr>
            </w:pPr>
            <w:r>
              <w:rPr>
                <w:rFonts w:ascii="宋体" w:hAnsi="宋体" w:cs="Times New Roman"/>
              </w:rPr>
              <w:t>对策措施</w:t>
            </w:r>
          </w:p>
        </w:tc>
        <w:tc>
          <w:tcPr>
            <w:tcW w:w="672" w:type="pct"/>
            <w:noWrap/>
            <w:tcMar>
              <w:left w:w="0" w:type="dxa"/>
              <w:right w:w="0" w:type="dxa"/>
            </w:tcMar>
            <w:vAlign w:val="center"/>
          </w:tcPr>
          <w:p w14:paraId="2C059B76">
            <w:pPr>
              <w:pStyle w:val="179"/>
              <w:rPr>
                <w:rFonts w:ascii="宋体" w:hAnsi="宋体" w:cs="Times New Roman"/>
              </w:rPr>
            </w:pPr>
            <w:r>
              <w:rPr>
                <w:rFonts w:ascii="宋体" w:hAnsi="宋体" w:cs="Times New Roman"/>
              </w:rPr>
              <w:t>对策措施</w:t>
            </w:r>
          </w:p>
        </w:tc>
        <w:tc>
          <w:tcPr>
            <w:tcW w:w="3979" w:type="pct"/>
            <w:noWrap/>
            <w:tcMar>
              <w:left w:w="0" w:type="dxa"/>
              <w:right w:w="0" w:type="dxa"/>
            </w:tcMar>
            <w:vAlign w:val="center"/>
          </w:tcPr>
          <w:p w14:paraId="67417F9D">
            <w:pPr>
              <w:pStyle w:val="179"/>
              <w:jc w:val="left"/>
              <w:rPr>
                <w:rFonts w:ascii="宋体" w:hAnsi="宋体" w:cs="Times New Roman"/>
              </w:rPr>
            </w:pPr>
            <w:r>
              <w:rPr>
                <w:rFonts w:ascii="宋体" w:hAnsi="宋体" w:cs="Times New Roman"/>
              </w:rPr>
              <w:t>避让</w:t>
            </w:r>
            <w:r>
              <w:rPr>
                <w:rFonts w:hint="eastAsia" w:ascii="宋体" w:hAnsi="MS Mincho" w:eastAsia="MS Mincho" w:cs="MS Mincho"/>
              </w:rPr>
              <w:t>☑</w:t>
            </w:r>
            <w:r>
              <w:rPr>
                <w:rFonts w:ascii="宋体" w:hAnsi="宋体" w:cs="Times New Roman"/>
              </w:rPr>
              <w:t>；减缓</w:t>
            </w:r>
            <w:r>
              <w:rPr>
                <w:rFonts w:hint="eastAsia" w:ascii="宋体" w:hAnsi="MS Mincho" w:eastAsia="MS Mincho" w:cs="MS Mincho"/>
              </w:rPr>
              <w:t>☑</w:t>
            </w:r>
            <w:r>
              <w:rPr>
                <w:rFonts w:ascii="宋体" w:hAnsi="宋体" w:cs="Times New Roman"/>
              </w:rPr>
              <w:t>；生态修复</w:t>
            </w:r>
            <w:r>
              <w:rPr>
                <w:rFonts w:hint="eastAsia" w:ascii="宋体" w:hAnsi="MS Mincho" w:eastAsia="MS Mincho" w:cs="MS Mincho"/>
              </w:rPr>
              <w:t>☑</w:t>
            </w:r>
            <w:r>
              <w:rPr>
                <w:rFonts w:ascii="宋体" w:hAnsi="宋体" w:cs="Times New Roman"/>
              </w:rPr>
              <w:t>；生态补偿□；科研□；其他□</w:t>
            </w:r>
          </w:p>
        </w:tc>
      </w:tr>
      <w:tr w14:paraId="709100F0">
        <w:tblPrEx>
          <w:tblBorders>
            <w:top w:val="single" w:color="auto" w:sz="12" w:space="0"/>
            <w:left w:val="single" w:color="auto" w:sz="12" w:space="0"/>
            <w:bottom w:val="single" w:color="auto" w:sz="12" w:space="0"/>
            <w:right w:val="single" w:color="auto" w:sz="12" w:space="0"/>
            <w:insideH w:val="single" w:color="000000" w:sz="6" w:space="0"/>
            <w:insideV w:val="single" w:color="000000" w:sz="6" w:space="0"/>
          </w:tblBorders>
          <w:tblCellMar>
            <w:top w:w="0" w:type="dxa"/>
            <w:left w:w="57" w:type="dxa"/>
            <w:bottom w:w="0" w:type="dxa"/>
            <w:right w:w="57" w:type="dxa"/>
          </w:tblCellMar>
        </w:tblPrEx>
        <w:trPr>
          <w:trHeight w:val="567" w:hRule="atLeast"/>
          <w:jc w:val="center"/>
        </w:trPr>
        <w:tc>
          <w:tcPr>
            <w:tcW w:w="349" w:type="pct"/>
            <w:gridSpan w:val="2"/>
            <w:vMerge w:val="continue"/>
            <w:noWrap/>
            <w:tcMar>
              <w:left w:w="0" w:type="dxa"/>
              <w:right w:w="0" w:type="dxa"/>
            </w:tcMar>
            <w:vAlign w:val="center"/>
          </w:tcPr>
          <w:p w14:paraId="5AC24756">
            <w:pPr>
              <w:pStyle w:val="179"/>
              <w:rPr>
                <w:rFonts w:ascii="宋体" w:hAnsi="宋体" w:cs="Times New Roman"/>
              </w:rPr>
            </w:pPr>
          </w:p>
        </w:tc>
        <w:tc>
          <w:tcPr>
            <w:tcW w:w="672" w:type="pct"/>
            <w:noWrap/>
            <w:tcMar>
              <w:left w:w="0" w:type="dxa"/>
              <w:right w:w="0" w:type="dxa"/>
            </w:tcMar>
            <w:vAlign w:val="center"/>
          </w:tcPr>
          <w:p w14:paraId="3C15F474">
            <w:pPr>
              <w:pStyle w:val="179"/>
              <w:rPr>
                <w:rFonts w:ascii="宋体" w:hAnsi="宋体" w:cs="Times New Roman"/>
              </w:rPr>
            </w:pPr>
            <w:r>
              <w:rPr>
                <w:rFonts w:ascii="宋体" w:hAnsi="宋体" w:cs="Times New Roman"/>
              </w:rPr>
              <w:t>生态监测计划</w:t>
            </w:r>
          </w:p>
        </w:tc>
        <w:tc>
          <w:tcPr>
            <w:tcW w:w="3979" w:type="pct"/>
            <w:noWrap/>
            <w:tcMar>
              <w:left w:w="0" w:type="dxa"/>
              <w:right w:w="0" w:type="dxa"/>
            </w:tcMar>
            <w:vAlign w:val="center"/>
          </w:tcPr>
          <w:p w14:paraId="66FAF1A1">
            <w:pPr>
              <w:pStyle w:val="179"/>
              <w:jc w:val="left"/>
              <w:rPr>
                <w:rFonts w:ascii="宋体" w:hAnsi="宋体" w:cs="Times New Roman"/>
              </w:rPr>
            </w:pPr>
            <w:r>
              <w:rPr>
                <w:rFonts w:ascii="宋体" w:hAnsi="宋体" w:cs="Times New Roman"/>
              </w:rPr>
              <w:t>全生命周期□；长期跟踪□；常规</w:t>
            </w:r>
            <w:r>
              <w:rPr>
                <w:rFonts w:hint="eastAsia" w:ascii="宋体" w:hAnsi="MS Mincho" w:eastAsia="MS Mincho" w:cs="MS Mincho"/>
              </w:rPr>
              <w:t>☑</w:t>
            </w:r>
            <w:r>
              <w:rPr>
                <w:rFonts w:ascii="宋体" w:hAnsi="宋体" w:cs="Times New Roman"/>
              </w:rPr>
              <w:t>；无□</w:t>
            </w:r>
          </w:p>
        </w:tc>
      </w:tr>
      <w:tr w14:paraId="50223C76">
        <w:tblPrEx>
          <w:tblBorders>
            <w:top w:val="single" w:color="auto" w:sz="12" w:space="0"/>
            <w:left w:val="single" w:color="auto" w:sz="12" w:space="0"/>
            <w:bottom w:val="single" w:color="auto" w:sz="12" w:space="0"/>
            <w:right w:val="single" w:color="auto" w:sz="12" w:space="0"/>
            <w:insideH w:val="single" w:color="000000" w:sz="6" w:space="0"/>
            <w:insideV w:val="single" w:color="000000" w:sz="6" w:space="0"/>
          </w:tblBorders>
          <w:tblCellMar>
            <w:top w:w="0" w:type="dxa"/>
            <w:left w:w="57" w:type="dxa"/>
            <w:bottom w:w="0" w:type="dxa"/>
            <w:right w:w="57" w:type="dxa"/>
          </w:tblCellMar>
        </w:tblPrEx>
        <w:trPr>
          <w:trHeight w:val="567" w:hRule="atLeast"/>
          <w:jc w:val="center"/>
        </w:trPr>
        <w:tc>
          <w:tcPr>
            <w:tcW w:w="349" w:type="pct"/>
            <w:gridSpan w:val="2"/>
            <w:vMerge w:val="continue"/>
            <w:noWrap/>
            <w:tcMar>
              <w:left w:w="0" w:type="dxa"/>
              <w:right w:w="0" w:type="dxa"/>
            </w:tcMar>
            <w:vAlign w:val="center"/>
          </w:tcPr>
          <w:p w14:paraId="1CF25E32">
            <w:pPr>
              <w:pStyle w:val="179"/>
              <w:rPr>
                <w:rFonts w:ascii="宋体" w:hAnsi="宋体" w:cs="Times New Roman"/>
              </w:rPr>
            </w:pPr>
          </w:p>
        </w:tc>
        <w:tc>
          <w:tcPr>
            <w:tcW w:w="672" w:type="pct"/>
            <w:noWrap/>
            <w:tcMar>
              <w:left w:w="0" w:type="dxa"/>
              <w:right w:w="0" w:type="dxa"/>
            </w:tcMar>
            <w:vAlign w:val="center"/>
          </w:tcPr>
          <w:p w14:paraId="5E5C6292">
            <w:pPr>
              <w:pStyle w:val="179"/>
              <w:rPr>
                <w:rFonts w:ascii="宋体" w:hAnsi="宋体" w:cs="Times New Roman"/>
              </w:rPr>
            </w:pPr>
            <w:r>
              <w:rPr>
                <w:rFonts w:ascii="宋体" w:hAnsi="宋体" w:cs="Times New Roman"/>
              </w:rPr>
              <w:t>环境管理</w:t>
            </w:r>
          </w:p>
        </w:tc>
        <w:tc>
          <w:tcPr>
            <w:tcW w:w="3979" w:type="pct"/>
            <w:noWrap/>
            <w:tcMar>
              <w:left w:w="0" w:type="dxa"/>
              <w:right w:w="0" w:type="dxa"/>
            </w:tcMar>
            <w:vAlign w:val="center"/>
          </w:tcPr>
          <w:p w14:paraId="5CD516C3">
            <w:pPr>
              <w:pStyle w:val="179"/>
              <w:jc w:val="left"/>
              <w:rPr>
                <w:rFonts w:ascii="宋体" w:hAnsi="宋体" w:cs="Times New Roman"/>
              </w:rPr>
            </w:pPr>
            <w:r>
              <w:rPr>
                <w:rFonts w:ascii="宋体" w:hAnsi="宋体" w:cs="Times New Roman"/>
              </w:rPr>
              <w:t>环境监理□；环境影响后评价□；其他</w:t>
            </w:r>
            <w:r>
              <w:rPr>
                <w:rFonts w:hint="eastAsia" w:ascii="宋体" w:hAnsi="MS Mincho" w:eastAsia="MS Mincho" w:cs="MS Mincho"/>
              </w:rPr>
              <w:t>☑</w:t>
            </w:r>
          </w:p>
        </w:tc>
      </w:tr>
      <w:tr w14:paraId="6F9A098B">
        <w:tblPrEx>
          <w:tblBorders>
            <w:top w:val="single" w:color="auto" w:sz="12" w:space="0"/>
            <w:left w:val="single" w:color="auto" w:sz="12" w:space="0"/>
            <w:bottom w:val="single" w:color="auto" w:sz="12" w:space="0"/>
            <w:right w:val="single" w:color="auto" w:sz="12" w:space="0"/>
            <w:insideH w:val="single" w:color="000000" w:sz="6" w:space="0"/>
            <w:insideV w:val="single" w:color="000000" w:sz="6" w:space="0"/>
          </w:tblBorders>
          <w:tblCellMar>
            <w:top w:w="0" w:type="dxa"/>
            <w:left w:w="57" w:type="dxa"/>
            <w:bottom w:w="0" w:type="dxa"/>
            <w:right w:w="57" w:type="dxa"/>
          </w:tblCellMar>
        </w:tblPrEx>
        <w:trPr>
          <w:trHeight w:val="567" w:hRule="atLeast"/>
          <w:jc w:val="center"/>
        </w:trPr>
        <w:tc>
          <w:tcPr>
            <w:tcW w:w="349" w:type="pct"/>
            <w:gridSpan w:val="2"/>
            <w:noWrap/>
            <w:tcMar>
              <w:left w:w="0" w:type="dxa"/>
              <w:right w:w="0" w:type="dxa"/>
            </w:tcMar>
            <w:vAlign w:val="center"/>
          </w:tcPr>
          <w:p w14:paraId="72178366">
            <w:pPr>
              <w:pStyle w:val="179"/>
              <w:rPr>
                <w:rFonts w:ascii="宋体" w:hAnsi="宋体" w:cs="Times New Roman"/>
              </w:rPr>
            </w:pPr>
            <w:r>
              <w:rPr>
                <w:rFonts w:ascii="宋体" w:hAnsi="宋体" w:cs="Times New Roman"/>
              </w:rPr>
              <w:t>评价结论</w:t>
            </w:r>
          </w:p>
        </w:tc>
        <w:tc>
          <w:tcPr>
            <w:tcW w:w="672" w:type="pct"/>
            <w:noWrap/>
            <w:tcMar>
              <w:left w:w="0" w:type="dxa"/>
              <w:right w:w="0" w:type="dxa"/>
            </w:tcMar>
            <w:vAlign w:val="center"/>
          </w:tcPr>
          <w:p w14:paraId="05C99912">
            <w:pPr>
              <w:pStyle w:val="179"/>
              <w:rPr>
                <w:rFonts w:ascii="宋体" w:hAnsi="宋体" w:cs="Times New Roman"/>
              </w:rPr>
            </w:pPr>
            <w:r>
              <w:rPr>
                <w:rFonts w:ascii="宋体" w:hAnsi="宋体" w:cs="Times New Roman"/>
              </w:rPr>
              <w:t>生态影响</w:t>
            </w:r>
          </w:p>
        </w:tc>
        <w:tc>
          <w:tcPr>
            <w:tcW w:w="3979" w:type="pct"/>
            <w:noWrap/>
            <w:tcMar>
              <w:left w:w="0" w:type="dxa"/>
              <w:right w:w="0" w:type="dxa"/>
            </w:tcMar>
            <w:vAlign w:val="center"/>
          </w:tcPr>
          <w:p w14:paraId="30AE0A94">
            <w:pPr>
              <w:pStyle w:val="179"/>
              <w:jc w:val="left"/>
              <w:rPr>
                <w:rFonts w:ascii="宋体" w:hAnsi="宋体" w:cs="Times New Roman"/>
              </w:rPr>
            </w:pPr>
            <w:r>
              <w:rPr>
                <w:rFonts w:ascii="宋体" w:hAnsi="宋体" w:cs="Times New Roman"/>
              </w:rPr>
              <w:t>可行</w:t>
            </w:r>
            <w:r>
              <w:rPr>
                <w:rFonts w:hint="eastAsia" w:ascii="宋体" w:hAnsi="MS Mincho" w:eastAsia="MS Mincho" w:cs="MS Mincho"/>
              </w:rPr>
              <w:t>☑</w:t>
            </w:r>
            <w:r>
              <w:rPr>
                <w:rFonts w:ascii="宋体" w:hAnsi="宋体" w:cs="Times New Roman"/>
              </w:rPr>
              <w:t>；不可行□</w:t>
            </w:r>
          </w:p>
        </w:tc>
      </w:tr>
      <w:tr w14:paraId="6C39D42B">
        <w:tblPrEx>
          <w:tblBorders>
            <w:top w:val="single" w:color="auto" w:sz="12" w:space="0"/>
            <w:left w:val="single" w:color="auto" w:sz="12" w:space="0"/>
            <w:bottom w:val="single" w:color="auto" w:sz="12" w:space="0"/>
            <w:right w:val="single" w:color="auto" w:sz="12" w:space="0"/>
            <w:insideH w:val="single" w:color="000000" w:sz="6" w:space="0"/>
            <w:insideV w:val="single" w:color="000000" w:sz="6" w:space="0"/>
          </w:tblBorders>
          <w:tblCellMar>
            <w:top w:w="0" w:type="dxa"/>
            <w:left w:w="57" w:type="dxa"/>
            <w:bottom w:w="0" w:type="dxa"/>
            <w:right w:w="57" w:type="dxa"/>
          </w:tblCellMar>
        </w:tblPrEx>
        <w:trPr>
          <w:trHeight w:val="567" w:hRule="atLeast"/>
          <w:jc w:val="center"/>
        </w:trPr>
        <w:tc>
          <w:tcPr>
            <w:tcW w:w="5000" w:type="pct"/>
            <w:gridSpan w:val="4"/>
            <w:noWrap/>
            <w:tcMar>
              <w:left w:w="0" w:type="dxa"/>
              <w:right w:w="0" w:type="dxa"/>
            </w:tcMar>
            <w:vAlign w:val="center"/>
          </w:tcPr>
          <w:p w14:paraId="4DC6363E">
            <w:pPr>
              <w:pStyle w:val="179"/>
              <w:rPr>
                <w:rFonts w:cs="Times New Roman"/>
              </w:rPr>
            </w:pPr>
            <w:r>
              <w:rPr>
                <w:rFonts w:cs="Times New Roman"/>
              </w:rPr>
              <w:t>注：“□”为勾选项，可√；“（  ）”为内容填写项。</w:t>
            </w:r>
          </w:p>
        </w:tc>
      </w:tr>
    </w:tbl>
    <w:p w14:paraId="719D1D1F">
      <w:pPr>
        <w:pStyle w:val="66"/>
        <w:spacing w:line="20" w:lineRule="exact"/>
        <w:ind w:firstLine="0" w:firstLineChars="0"/>
        <w:jc w:val="both"/>
        <w:rPr>
          <w:rFonts w:cs="Times New Roman"/>
        </w:rPr>
      </w:pPr>
    </w:p>
    <w:p w14:paraId="4E0A7BF0">
      <w:pPr>
        <w:pStyle w:val="66"/>
        <w:spacing w:line="20" w:lineRule="exact"/>
        <w:ind w:firstLine="0" w:firstLineChars="0"/>
        <w:jc w:val="both"/>
        <w:rPr>
          <w:rFonts w:cs="Times New Roman"/>
        </w:rPr>
      </w:pPr>
    </w:p>
    <w:sectPr>
      <w:pgSz w:w="11906" w:h="16838"/>
      <w:pgMar w:top="1440" w:right="1797" w:bottom="1440" w:left="1797" w:header="851" w:footer="1134" w:gutter="0"/>
      <w:cols w:space="425" w:num="1"/>
      <w:docGrid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7DDDF2CB-7A1C-4D6D-A535-5426A2FDFAF3}"/>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9345AD7C-C592-4C4E-A6A7-AF43AE8BF1DD}"/>
  </w:font>
  <w:font w:name="微软雅黑">
    <w:panose1 w:val="020B0503020204020204"/>
    <w:charset w:val="86"/>
    <w:family w:val="swiss"/>
    <w:pitch w:val="default"/>
    <w:sig w:usb0="80000287" w:usb1="2ACF3C50" w:usb2="00000016" w:usb3="00000000" w:csb0="0004001F" w:csb1="00000000"/>
    <w:embedRegular r:id="rId3" w:fontKey="{C946F643-7DF4-40E3-8331-DD61DAB17EF0}"/>
  </w:font>
  <w:font w:name="仿宋_GB2312">
    <w:panose1 w:val="02010609030101010101"/>
    <w:charset w:val="86"/>
    <w:family w:val="modern"/>
    <w:pitch w:val="default"/>
    <w:sig w:usb0="00000001" w:usb1="080E0000" w:usb2="00000000" w:usb3="00000000" w:csb0="00040000" w:csb1="00000000"/>
    <w:embedRegular r:id="rId4" w:fontKey="{5D89CC2D-080E-491E-BC31-E5B8F8F9D747}"/>
  </w:font>
  <w:font w:name="Arial">
    <w:panose1 w:val="020B0604020202020204"/>
    <w:charset w:val="00"/>
    <w:family w:val="swiss"/>
    <w:pitch w:val="default"/>
    <w:sig w:usb0="E0002EFF" w:usb1="C000785B" w:usb2="00000009" w:usb3="00000000" w:csb0="400001FF" w:csb1="FFFF0000"/>
  </w:font>
  <w:font w:name="ESRI SDS 2.00 2">
    <w:altName w:val="Wide Latin"/>
    <w:panose1 w:val="02000000000000000000"/>
    <w:charset w:val="00"/>
    <w:family w:val="auto"/>
    <w:pitch w:val="default"/>
    <w:sig w:usb0="00000000" w:usb1="00000000" w:usb2="00000000" w:usb3="00000000" w:csb0="00000001" w:csb1="00000000"/>
  </w:font>
  <w:font w:name="Courier New">
    <w:panose1 w:val="02070309020205020404"/>
    <w:charset w:val="00"/>
    <w:family w:val="modern"/>
    <w:pitch w:val="default"/>
    <w:sig w:usb0="E0002EFF" w:usb1="C0007843" w:usb2="00000009" w:usb3="00000000" w:csb0="400001FF" w:csb1="FFFF0000"/>
  </w:font>
  <w:font w:name="Calibri Light">
    <w:panose1 w:val="020F03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MingLiU">
    <w:panose1 w:val="02020509000000000000"/>
    <w:charset w:val="88"/>
    <w:family w:val="modern"/>
    <w:pitch w:val="default"/>
    <w:sig w:usb0="A00002FF" w:usb1="28CFFCFA" w:usb2="00000016" w:usb3="00000000" w:csb0="00100001" w:csb1="00000000"/>
  </w:font>
  <w:font w:name="仿宋">
    <w:panose1 w:val="02010609060101010101"/>
    <w:charset w:val="86"/>
    <w:family w:val="modern"/>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楷体">
    <w:panose1 w:val="02010609060101010101"/>
    <w:charset w:val="86"/>
    <w:family w:val="modern"/>
    <w:pitch w:val="default"/>
    <w:sig w:usb0="800002BF" w:usb1="38CF7CFA" w:usb2="00000016" w:usb3="00000000" w:csb0="00040001" w:csb1="00000000"/>
  </w:font>
  <w:font w:name="方正小标宋_GBK">
    <w:panose1 w:val="03000509000000000000"/>
    <w:charset w:val="86"/>
    <w:family w:val="script"/>
    <w:pitch w:val="default"/>
    <w:sig w:usb0="00000001" w:usb1="080E0000" w:usb2="00000000" w:usb3="00000000" w:csb0="00040000" w:csb1="00000000"/>
    <w:embedRegular r:id="rId5" w:fontKey="{18B4A259-50A4-4A88-8B8C-37E8B2BFEBAB}"/>
  </w:font>
  <w:font w:name="MS Mincho">
    <w:panose1 w:val="02020609040205080304"/>
    <w:charset w:val="80"/>
    <w:family w:val="modern"/>
    <w:pitch w:val="default"/>
    <w:sig w:usb0="E00002FF" w:usb1="6AC7FDFB" w:usb2="00000012" w:usb3="00000000" w:csb0="4002009F" w:csb1="DFD70000"/>
    <w:embedRegular r:id="rId6" w:fontKey="{E21100C0-C2CB-4380-B7B2-0E7ABAE8DA6A}"/>
  </w:font>
  <w:font w:name="WPSEMBED1">
    <w:panose1 w:val="03000509000000000000"/>
    <w:charset w:val="86"/>
    <w:family w:val="auto"/>
    <w:pitch w:val="default"/>
    <w:sig w:usb0="00000001" w:usb1="080E0000" w:usb2="00000000" w:usb3="00000000" w:csb0="00040000" w:csb1="00000000"/>
  </w:font>
  <w:font w:name="Cambria Math">
    <w:panose1 w:val="02040503050406030204"/>
    <w:charset w:val="00"/>
    <w:family w:val="roman"/>
    <w:pitch w:val="default"/>
    <w:sig w:usb0="E00006FF" w:usb1="420024FF" w:usb2="02000000" w:usb3="00000000" w:csb0="2000019F" w:csb1="00000000"/>
    <w:embedRegular r:id="rId7" w:fontKey="{EB85993F-11EC-4F96-BAEB-9F0898918E1B}"/>
  </w:font>
  <w:font w:name="Wingdings 2">
    <w:panose1 w:val="05020102010507070707"/>
    <w:charset w:val="02"/>
    <w:family w:val="roman"/>
    <w:pitch w:val="default"/>
    <w:sig w:usb0="00000000" w:usb1="00000000" w:usb2="00000000" w:usb3="00000000" w:csb0="80000000" w:csb1="00000000"/>
    <w:embedRegular r:id="rId8" w:fontKey="{267C2AE5-8028-401C-B985-75BD4521A594}"/>
  </w:font>
  <w:font w:name="Wide Latin">
    <w:panose1 w:val="020A0A07050505020404"/>
    <w:charset w:val="00"/>
    <w:family w:val="auto"/>
    <w:pitch w:val="default"/>
    <w:sig w:usb0="00000003" w:usb1="00000000" w:usb2="00000000" w:usb3="00000000" w:csb0="2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129934">
    <w:pPr>
      <w:ind w:firstLine="480"/>
      <w:jc w:val="center"/>
    </w:pPr>
  </w:p>
  <w:p w14:paraId="0E6DFE52">
    <w:pPr>
      <w:pStyle w:val="26"/>
      <w:ind w:firstLine="36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4F90AB">
    <w:pPr>
      <w:pStyle w:val="26"/>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6CC00C">
    <w:pPr>
      <w:pStyle w:val="26"/>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5636C9">
    <w:pPr>
      <w:pStyle w:val="26"/>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E17830">
    <w:pPr>
      <w:ind w:firstLine="480"/>
      <w:jc w:val="center"/>
    </w:pPr>
  </w:p>
  <w:p w14:paraId="0C1B7684">
    <w:pPr>
      <w:pStyle w:val="26"/>
      <w:ind w:firstLine="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873424516"/>
    </w:sdtPr>
    <w:sdtContent>
      <w:p w14:paraId="0D15B1F6">
        <w:pPr>
          <w:pStyle w:val="26"/>
          <w:ind w:firstLine="0" w:firstLineChars="0"/>
          <w:jc w:val="center"/>
        </w:pPr>
        <w:r>
          <w:fldChar w:fldCharType="begin"/>
        </w:r>
        <w:r>
          <w:instrText xml:space="preserve"> PAGE   \* MERGEFORMAT </w:instrText>
        </w:r>
        <w:r>
          <w:fldChar w:fldCharType="separate"/>
        </w:r>
        <w:r>
          <w:rPr>
            <w:lang w:val="zh-CN"/>
          </w:rPr>
          <w:t>III</w:t>
        </w:r>
        <w:r>
          <w:fldChar w:fldCharType="end"/>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0727297"/>
    </w:sdtPr>
    <w:sdtContent>
      <w:p w14:paraId="79632635">
        <w:pPr>
          <w:pStyle w:val="26"/>
          <w:ind w:firstLine="360"/>
          <w:jc w:val="center"/>
        </w:pPr>
        <w:r>
          <w:fldChar w:fldCharType="begin"/>
        </w:r>
        <w:r>
          <w:instrText xml:space="preserve"> PAGE   \* MERGEFORMAT </w:instrText>
        </w:r>
        <w:r>
          <w:fldChar w:fldCharType="separate"/>
        </w:r>
        <w:r>
          <w:rPr>
            <w:lang w:val="zh-CN"/>
          </w:rPr>
          <w:t>1</w:t>
        </w:r>
        <w:r>
          <w:fldChar w:fldCharType="end"/>
        </w:r>
      </w:p>
    </w:sdtContent>
  </w:sdt>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4606454"/>
    </w:sdtPr>
    <w:sdtContent>
      <w:p w14:paraId="5F986A14">
        <w:pPr>
          <w:pStyle w:val="26"/>
          <w:ind w:firstLine="360"/>
          <w:jc w:val="center"/>
        </w:pPr>
        <w:r>
          <w:fldChar w:fldCharType="begin"/>
        </w:r>
        <w:r>
          <w:instrText xml:space="preserve"> PAGE   \* MERGEFORMAT </w:instrText>
        </w:r>
        <w:r>
          <w:fldChar w:fldCharType="separate"/>
        </w:r>
        <w:r>
          <w:rPr>
            <w:lang w:val="zh-CN"/>
          </w:rPr>
          <w:t>91</w:t>
        </w:r>
        <w:r>
          <w:fldChar w:fldCharType="end"/>
        </w:r>
      </w:p>
    </w:sdtContent>
  </w:sdt>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60512735"/>
    </w:sdtPr>
    <w:sdtContent>
      <w:p w14:paraId="0F1465BB">
        <w:pPr>
          <w:pStyle w:val="26"/>
          <w:ind w:firstLine="360"/>
          <w:jc w:val="center"/>
        </w:pPr>
        <w:r>
          <w:fldChar w:fldCharType="begin"/>
        </w:r>
        <w:r>
          <w:instrText xml:space="preserve"> PAGE   \* MERGEFORMAT </w:instrText>
        </w:r>
        <w:r>
          <w:fldChar w:fldCharType="separate"/>
        </w:r>
        <w:r>
          <w:rPr>
            <w:lang w:val="zh-CN"/>
          </w:rPr>
          <w:t>168</w:t>
        </w:r>
        <w:r>
          <w:fldChar w:fldCharType="end"/>
        </w:r>
      </w:p>
    </w:sdtContent>
  </w:sdt>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BCDE5B">
    <w:pPr>
      <w:pStyle w:val="26"/>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283BE7">
    <w:pPr>
      <w:pStyle w:val="27"/>
      <w:ind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BA6912">
    <w:pPr>
      <w:pStyle w:val="27"/>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6831BE">
    <w:pPr>
      <w:pStyle w:val="27"/>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404DAE">
    <w:pPr>
      <w:ind w:left="480" w:firstLine="0" w:firstLineChars="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3400F3">
    <w:pPr>
      <w:pStyle w:val="27"/>
      <w:pBdr>
        <w:bottom w:val="none" w:color="auto" w:sz="0" w:space="1"/>
      </w:pBdr>
      <w:ind w:firstLine="36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782A0D">
    <w:pPr>
      <w:pStyle w:val="14"/>
      <w:spacing w:line="14" w:lineRule="auto"/>
      <w:ind w:firstLine="40"/>
      <w:rPr>
        <w:sz w:val="2"/>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A0E19A">
    <w:pPr>
      <w:pStyle w:val="27"/>
      <w:pBdr>
        <w:bottom w:val="none" w:color="auto" w:sz="0" w:space="1"/>
      </w:pBdr>
      <w:ind w:firstLine="360"/>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73BFA4">
    <w:pPr>
      <w:pStyle w:val="27"/>
      <w:pBdr>
        <w:bottom w:val="none" w:color="auto" w:sz="0" w:space="1"/>
      </w:pBdr>
      <w:ind w:firstLine="360"/>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903BDF">
    <w:pPr>
      <w:ind w:left="559" w:leftChars="233" w:firstLine="480"/>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58F803">
    <w:pPr>
      <w:pStyle w:val="27"/>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42C4318"/>
    <w:multiLevelType w:val="multilevel"/>
    <w:tmpl w:val="042C4318"/>
    <w:lvl w:ilvl="0" w:tentative="0">
      <w:start w:val="1"/>
      <w:numFmt w:val="decimal"/>
      <w:lvlText w:val="（%1）"/>
      <w:lvlJc w:val="left"/>
      <w:pPr>
        <w:ind w:left="1697"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
    <w:nsid w:val="0CF54C4C"/>
    <w:multiLevelType w:val="multilevel"/>
    <w:tmpl w:val="0CF54C4C"/>
    <w:lvl w:ilvl="0" w:tentative="0">
      <w:start w:val="1"/>
      <w:numFmt w:val="decimal"/>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2">
    <w:nsid w:val="166137D7"/>
    <w:multiLevelType w:val="multilevel"/>
    <w:tmpl w:val="166137D7"/>
    <w:lvl w:ilvl="0" w:tentative="0">
      <w:start w:val="1"/>
      <w:numFmt w:val="decimal"/>
      <w:pStyle w:val="2"/>
      <w:suff w:val="space"/>
      <w:lvlText w:val="第%1章"/>
      <w:lvlJc w:val="left"/>
      <w:pPr>
        <w:ind w:left="432" w:hanging="432"/>
      </w:pPr>
    </w:lvl>
    <w:lvl w:ilvl="1" w:tentative="0">
      <w:start w:val="1"/>
      <w:numFmt w:val="decimal"/>
      <w:pStyle w:val="3"/>
      <w:suff w:val="space"/>
      <w:lvlText w:val="%1.%2"/>
      <w:lvlJc w:val="left"/>
      <w:pPr>
        <w:ind w:left="142" w:firstLine="0"/>
      </w:pPr>
      <w:rPr>
        <w:rFonts w:ascii="Times New Roman" w:hAnsi="Times New Roman" w:cs="Times New Roman"/>
        <w:b w:val="0"/>
        <w:bCs w:val="0"/>
        <w:i w:val="0"/>
        <w:iCs w:val="0"/>
        <w:caps w:val="0"/>
        <w:smallCaps w:val="0"/>
        <w:strike w:val="0"/>
        <w:dstrike w:val="0"/>
        <w:outline w:val="0"/>
        <w:shadow w:val="0"/>
        <w:emboss w:val="0"/>
        <w:imprint w:val="0"/>
        <w:snapToGrid w:val="0"/>
        <w:vanish w:val="0"/>
        <w:color w:val="000000"/>
        <w:spacing w:val="0"/>
        <w:w w:val="0"/>
        <w:kern w:val="0"/>
        <w:position w:val="0"/>
        <w:szCs w:val="0"/>
        <w:u w:val="none"/>
        <w:vertAlign w:val="baseline"/>
      </w:rPr>
    </w:lvl>
    <w:lvl w:ilvl="2" w:tentative="0">
      <w:start w:val="1"/>
      <w:numFmt w:val="decimal"/>
      <w:pStyle w:val="4"/>
      <w:suff w:val="space"/>
      <w:lvlText w:val="%1.%2.%3"/>
      <w:lvlJc w:val="left"/>
      <w:pPr>
        <w:ind w:left="710" w:firstLine="0"/>
      </w:pPr>
    </w:lvl>
    <w:lvl w:ilvl="3" w:tentative="0">
      <w:start w:val="1"/>
      <w:numFmt w:val="decimal"/>
      <w:pStyle w:val="5"/>
      <w:suff w:val="space"/>
      <w:lvlText w:val="%1.%2.%3.%4"/>
      <w:lvlJc w:val="left"/>
      <w:pPr>
        <w:ind w:left="864" w:hanging="864"/>
      </w:pPr>
      <w:rPr>
        <w:rFonts w:hint="default" w:ascii="Times New Roman" w:hAnsi="Times New Roman" w:eastAsia="黑体"/>
        <w:b w:val="0"/>
        <w:i w:val="0"/>
        <w:sz w:val="28"/>
      </w:rPr>
    </w:lvl>
    <w:lvl w:ilvl="4" w:tentative="0">
      <w:start w:val="1"/>
      <w:numFmt w:val="decimal"/>
      <w:lvlText w:val="%1.%2.%3.%4.%5"/>
      <w:lvlJc w:val="left"/>
      <w:pPr>
        <w:tabs>
          <w:tab w:val="left" w:pos="1008"/>
        </w:tabs>
        <w:ind w:left="1008" w:hanging="1008"/>
      </w:pPr>
      <w:rPr>
        <w:rFonts w:hint="eastAsia"/>
      </w:rPr>
    </w:lvl>
    <w:lvl w:ilvl="5" w:tentative="0">
      <w:start w:val="1"/>
      <w:numFmt w:val="decimal"/>
      <w:lvlText w:val="%1.%2.%3.%4.%5.%6"/>
      <w:lvlJc w:val="left"/>
      <w:pPr>
        <w:tabs>
          <w:tab w:val="left" w:pos="1152"/>
        </w:tabs>
        <w:ind w:left="1152"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abstractNum w:abstractNumId="3">
    <w:nsid w:val="55A13C6B"/>
    <w:multiLevelType w:val="multilevel"/>
    <w:tmpl w:val="55A13C6B"/>
    <w:lvl w:ilvl="0" w:tentative="0">
      <w:start w:val="1"/>
      <w:numFmt w:val="decimal"/>
      <w:lvlText w:val="（%1）"/>
      <w:lvlJc w:val="left"/>
      <w:pPr>
        <w:ind w:left="704"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4">
    <w:nsid w:val="57726919"/>
    <w:multiLevelType w:val="multilevel"/>
    <w:tmpl w:val="57726919"/>
    <w:lvl w:ilvl="0" w:tentative="0">
      <w:start w:val="1"/>
      <w:numFmt w:val="decimal"/>
      <w:lvlText w:val="（%1）"/>
      <w:lvlJc w:val="left"/>
      <w:pPr>
        <w:ind w:left="1555" w:hanging="420"/>
      </w:pPr>
      <w:rPr>
        <w:rFonts w:hint="eastAsia"/>
        <w:lang w:val="en-US"/>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num w:numId="1">
    <w:abstractNumId w:val="2"/>
  </w:num>
  <w:num w:numId="2">
    <w:abstractNumId w:val="3"/>
  </w:num>
  <w:num w:numId="3">
    <w:abstractNumId w:val="4"/>
  </w:num>
  <w:num w:numId="4">
    <w:abstractNumId w:val="1"/>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embedTrueTypeFonts/>
  <w:saveSubsetFonts/>
  <w:bordersDoNotSurroundHeader w:val="1"/>
  <w:bordersDoNotSurroundFooter w:val="1"/>
  <w:hideSpellingErrors/>
  <w:documentProtection w:enforcement="0"/>
  <w:defaultTabStop w:val="420"/>
  <w:drawingGridHorizontalSpacing w:val="120"/>
  <w:drawingGridVerticalSpacing w:val="163"/>
  <w:displayHorizontalDrawingGridEvery w:val="2"/>
  <w:displayVerticalDrawingGridEvery w:val="2"/>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2"/>
  </w:compat>
  <w:docVars>
    <w:docVar w:name="commondata" w:val="eyJoZGlkIjoiMzNkNmM5NDhhOWMwMGYxNmY1ZDNjZDY0YWY3MTNhZDIifQ=="/>
  </w:docVars>
  <w:rsids>
    <w:rsidRoot w:val="006E245A"/>
    <w:rsid w:val="00010600"/>
    <w:rsid w:val="0001288E"/>
    <w:rsid w:val="00020390"/>
    <w:rsid w:val="0002117A"/>
    <w:rsid w:val="000226F9"/>
    <w:rsid w:val="000279F1"/>
    <w:rsid w:val="00037F6A"/>
    <w:rsid w:val="00043571"/>
    <w:rsid w:val="00047D21"/>
    <w:rsid w:val="00051CA0"/>
    <w:rsid w:val="000654F7"/>
    <w:rsid w:val="00065BB0"/>
    <w:rsid w:val="00066D6C"/>
    <w:rsid w:val="00071C02"/>
    <w:rsid w:val="000805D3"/>
    <w:rsid w:val="000827E7"/>
    <w:rsid w:val="00092DFA"/>
    <w:rsid w:val="00093CE6"/>
    <w:rsid w:val="00096BC2"/>
    <w:rsid w:val="000A48DF"/>
    <w:rsid w:val="000A5893"/>
    <w:rsid w:val="000A5D9E"/>
    <w:rsid w:val="000B0DDA"/>
    <w:rsid w:val="000B1A2E"/>
    <w:rsid w:val="000B6FA0"/>
    <w:rsid w:val="000C330C"/>
    <w:rsid w:val="000D2F37"/>
    <w:rsid w:val="000E10F7"/>
    <w:rsid w:val="000E2762"/>
    <w:rsid w:val="000E404A"/>
    <w:rsid w:val="000E5F8C"/>
    <w:rsid w:val="000E71EA"/>
    <w:rsid w:val="000F7F00"/>
    <w:rsid w:val="00100CDE"/>
    <w:rsid w:val="001049E2"/>
    <w:rsid w:val="00115185"/>
    <w:rsid w:val="001227CE"/>
    <w:rsid w:val="00125511"/>
    <w:rsid w:val="00133BAC"/>
    <w:rsid w:val="00134273"/>
    <w:rsid w:val="00141FD4"/>
    <w:rsid w:val="001540FE"/>
    <w:rsid w:val="001621FD"/>
    <w:rsid w:val="00163BF6"/>
    <w:rsid w:val="001657B3"/>
    <w:rsid w:val="0016588D"/>
    <w:rsid w:val="001712D0"/>
    <w:rsid w:val="00173B25"/>
    <w:rsid w:val="00177123"/>
    <w:rsid w:val="00181D2C"/>
    <w:rsid w:val="0018388A"/>
    <w:rsid w:val="001875A5"/>
    <w:rsid w:val="0019012E"/>
    <w:rsid w:val="00191AC3"/>
    <w:rsid w:val="001A2A37"/>
    <w:rsid w:val="001A4807"/>
    <w:rsid w:val="001C0BCF"/>
    <w:rsid w:val="001C23EB"/>
    <w:rsid w:val="001C771D"/>
    <w:rsid w:val="001D0392"/>
    <w:rsid w:val="001D3BF4"/>
    <w:rsid w:val="001E09FD"/>
    <w:rsid w:val="001E19E2"/>
    <w:rsid w:val="001E51B5"/>
    <w:rsid w:val="001E7949"/>
    <w:rsid w:val="001F1F9B"/>
    <w:rsid w:val="001F3185"/>
    <w:rsid w:val="00205B9E"/>
    <w:rsid w:val="00206501"/>
    <w:rsid w:val="002073DD"/>
    <w:rsid w:val="00210761"/>
    <w:rsid w:val="002145E5"/>
    <w:rsid w:val="002253F4"/>
    <w:rsid w:val="0023758B"/>
    <w:rsid w:val="0024112F"/>
    <w:rsid w:val="0024164C"/>
    <w:rsid w:val="00241F13"/>
    <w:rsid w:val="00247085"/>
    <w:rsid w:val="00254ADE"/>
    <w:rsid w:val="0026037D"/>
    <w:rsid w:val="002644D9"/>
    <w:rsid w:val="00265955"/>
    <w:rsid w:val="00267769"/>
    <w:rsid w:val="002748A9"/>
    <w:rsid w:val="00274A79"/>
    <w:rsid w:val="002844A7"/>
    <w:rsid w:val="00291ADF"/>
    <w:rsid w:val="002A03A0"/>
    <w:rsid w:val="002A3A34"/>
    <w:rsid w:val="002A49D4"/>
    <w:rsid w:val="002A7D49"/>
    <w:rsid w:val="002B587B"/>
    <w:rsid w:val="002C3B79"/>
    <w:rsid w:val="002D13D0"/>
    <w:rsid w:val="002D7CE0"/>
    <w:rsid w:val="002E501C"/>
    <w:rsid w:val="002E66B9"/>
    <w:rsid w:val="0030038F"/>
    <w:rsid w:val="0031531E"/>
    <w:rsid w:val="00316D8A"/>
    <w:rsid w:val="0032152D"/>
    <w:rsid w:val="00323D6E"/>
    <w:rsid w:val="00326B78"/>
    <w:rsid w:val="00326D6A"/>
    <w:rsid w:val="003320B6"/>
    <w:rsid w:val="00332789"/>
    <w:rsid w:val="0033627F"/>
    <w:rsid w:val="00355DF8"/>
    <w:rsid w:val="00363D21"/>
    <w:rsid w:val="00364C61"/>
    <w:rsid w:val="00380494"/>
    <w:rsid w:val="003842F4"/>
    <w:rsid w:val="00384F86"/>
    <w:rsid w:val="00391703"/>
    <w:rsid w:val="003959C8"/>
    <w:rsid w:val="00395ED3"/>
    <w:rsid w:val="003971AD"/>
    <w:rsid w:val="003A640A"/>
    <w:rsid w:val="003B25B4"/>
    <w:rsid w:val="003B36AE"/>
    <w:rsid w:val="003B6882"/>
    <w:rsid w:val="003B7C22"/>
    <w:rsid w:val="003C04A0"/>
    <w:rsid w:val="003C7024"/>
    <w:rsid w:val="003D0029"/>
    <w:rsid w:val="003D2FC9"/>
    <w:rsid w:val="003D3017"/>
    <w:rsid w:val="003D3D8C"/>
    <w:rsid w:val="003E7F57"/>
    <w:rsid w:val="003F15CF"/>
    <w:rsid w:val="0041213D"/>
    <w:rsid w:val="00412334"/>
    <w:rsid w:val="004322B0"/>
    <w:rsid w:val="004337C1"/>
    <w:rsid w:val="004352E8"/>
    <w:rsid w:val="004356EF"/>
    <w:rsid w:val="00442068"/>
    <w:rsid w:val="004514F3"/>
    <w:rsid w:val="00451B34"/>
    <w:rsid w:val="00456A25"/>
    <w:rsid w:val="00461215"/>
    <w:rsid w:val="00461CF5"/>
    <w:rsid w:val="004641B7"/>
    <w:rsid w:val="00467D0C"/>
    <w:rsid w:val="004710AF"/>
    <w:rsid w:val="00472AEF"/>
    <w:rsid w:val="00473584"/>
    <w:rsid w:val="00475978"/>
    <w:rsid w:val="004820A5"/>
    <w:rsid w:val="00482FA6"/>
    <w:rsid w:val="004879DB"/>
    <w:rsid w:val="004A0EA1"/>
    <w:rsid w:val="004A5554"/>
    <w:rsid w:val="004B568B"/>
    <w:rsid w:val="004B6AEB"/>
    <w:rsid w:val="004B79F3"/>
    <w:rsid w:val="004C06F0"/>
    <w:rsid w:val="004C1E6B"/>
    <w:rsid w:val="004C3947"/>
    <w:rsid w:val="004C4B06"/>
    <w:rsid w:val="004C63E0"/>
    <w:rsid w:val="004C6900"/>
    <w:rsid w:val="004D057B"/>
    <w:rsid w:val="004D4B63"/>
    <w:rsid w:val="004D4E96"/>
    <w:rsid w:val="004D74CC"/>
    <w:rsid w:val="004F3AA4"/>
    <w:rsid w:val="004F580F"/>
    <w:rsid w:val="00500B2D"/>
    <w:rsid w:val="00506007"/>
    <w:rsid w:val="00512A74"/>
    <w:rsid w:val="00514621"/>
    <w:rsid w:val="0051606F"/>
    <w:rsid w:val="005255BA"/>
    <w:rsid w:val="0052672D"/>
    <w:rsid w:val="00526E7F"/>
    <w:rsid w:val="00533DFD"/>
    <w:rsid w:val="005340F7"/>
    <w:rsid w:val="00535BB2"/>
    <w:rsid w:val="005426D9"/>
    <w:rsid w:val="005462CC"/>
    <w:rsid w:val="00551F7A"/>
    <w:rsid w:val="0055758A"/>
    <w:rsid w:val="0056120E"/>
    <w:rsid w:val="00566E77"/>
    <w:rsid w:val="005716DB"/>
    <w:rsid w:val="00574831"/>
    <w:rsid w:val="00590278"/>
    <w:rsid w:val="00590CE2"/>
    <w:rsid w:val="00593FAF"/>
    <w:rsid w:val="005A3EB4"/>
    <w:rsid w:val="005A6814"/>
    <w:rsid w:val="005C0584"/>
    <w:rsid w:val="005D1F72"/>
    <w:rsid w:val="005F0C43"/>
    <w:rsid w:val="005F429F"/>
    <w:rsid w:val="006073DB"/>
    <w:rsid w:val="00621C15"/>
    <w:rsid w:val="00623974"/>
    <w:rsid w:val="006249D0"/>
    <w:rsid w:val="0062759C"/>
    <w:rsid w:val="00634E9D"/>
    <w:rsid w:val="00637BE3"/>
    <w:rsid w:val="00640997"/>
    <w:rsid w:val="00646643"/>
    <w:rsid w:val="00653B37"/>
    <w:rsid w:val="00661941"/>
    <w:rsid w:val="00665C64"/>
    <w:rsid w:val="00671C11"/>
    <w:rsid w:val="00686979"/>
    <w:rsid w:val="00697B89"/>
    <w:rsid w:val="006A2741"/>
    <w:rsid w:val="006A2ECE"/>
    <w:rsid w:val="006B4E11"/>
    <w:rsid w:val="006B65FC"/>
    <w:rsid w:val="006C51F4"/>
    <w:rsid w:val="006C5A4D"/>
    <w:rsid w:val="006C6BD2"/>
    <w:rsid w:val="006C765A"/>
    <w:rsid w:val="006E06D3"/>
    <w:rsid w:val="006E245A"/>
    <w:rsid w:val="006E53D7"/>
    <w:rsid w:val="006F30C9"/>
    <w:rsid w:val="006F629A"/>
    <w:rsid w:val="0070686C"/>
    <w:rsid w:val="00710F9F"/>
    <w:rsid w:val="0071340F"/>
    <w:rsid w:val="00713E98"/>
    <w:rsid w:val="007142FF"/>
    <w:rsid w:val="00724C67"/>
    <w:rsid w:val="007254CF"/>
    <w:rsid w:val="00725F9C"/>
    <w:rsid w:val="00726AB4"/>
    <w:rsid w:val="00726BED"/>
    <w:rsid w:val="00732B15"/>
    <w:rsid w:val="00732C52"/>
    <w:rsid w:val="00740558"/>
    <w:rsid w:val="0074124E"/>
    <w:rsid w:val="007533D8"/>
    <w:rsid w:val="00754207"/>
    <w:rsid w:val="00755549"/>
    <w:rsid w:val="00761D80"/>
    <w:rsid w:val="0076463B"/>
    <w:rsid w:val="007741E4"/>
    <w:rsid w:val="0077465C"/>
    <w:rsid w:val="00775BCC"/>
    <w:rsid w:val="007763BE"/>
    <w:rsid w:val="00776730"/>
    <w:rsid w:val="00777D75"/>
    <w:rsid w:val="00786277"/>
    <w:rsid w:val="00787CA8"/>
    <w:rsid w:val="00790EDE"/>
    <w:rsid w:val="007918F3"/>
    <w:rsid w:val="00794EC0"/>
    <w:rsid w:val="007A0D3F"/>
    <w:rsid w:val="007A4D97"/>
    <w:rsid w:val="007A79B2"/>
    <w:rsid w:val="007B6AE9"/>
    <w:rsid w:val="007C3903"/>
    <w:rsid w:val="007D110E"/>
    <w:rsid w:val="007D1F48"/>
    <w:rsid w:val="007D363D"/>
    <w:rsid w:val="007E037C"/>
    <w:rsid w:val="007E4AEF"/>
    <w:rsid w:val="007F1BA3"/>
    <w:rsid w:val="00807E10"/>
    <w:rsid w:val="008135C1"/>
    <w:rsid w:val="00817D55"/>
    <w:rsid w:val="0082765A"/>
    <w:rsid w:val="0083732C"/>
    <w:rsid w:val="008373D9"/>
    <w:rsid w:val="008515F8"/>
    <w:rsid w:val="008547BE"/>
    <w:rsid w:val="008568D9"/>
    <w:rsid w:val="00867EBE"/>
    <w:rsid w:val="00880433"/>
    <w:rsid w:val="00881213"/>
    <w:rsid w:val="0088212C"/>
    <w:rsid w:val="0089767C"/>
    <w:rsid w:val="008B237C"/>
    <w:rsid w:val="008C24EA"/>
    <w:rsid w:val="008C49EE"/>
    <w:rsid w:val="008D18C4"/>
    <w:rsid w:val="008D394B"/>
    <w:rsid w:val="008E7915"/>
    <w:rsid w:val="008F169F"/>
    <w:rsid w:val="008F307C"/>
    <w:rsid w:val="008F314F"/>
    <w:rsid w:val="00900BDC"/>
    <w:rsid w:val="009017B3"/>
    <w:rsid w:val="00905FB4"/>
    <w:rsid w:val="00906979"/>
    <w:rsid w:val="009115A8"/>
    <w:rsid w:val="009141A0"/>
    <w:rsid w:val="00916D87"/>
    <w:rsid w:val="0093139D"/>
    <w:rsid w:val="00932BB8"/>
    <w:rsid w:val="00934EBC"/>
    <w:rsid w:val="0094147E"/>
    <w:rsid w:val="00953C28"/>
    <w:rsid w:val="0095506F"/>
    <w:rsid w:val="00975D02"/>
    <w:rsid w:val="00980CBA"/>
    <w:rsid w:val="0098148E"/>
    <w:rsid w:val="00981F51"/>
    <w:rsid w:val="00983E3B"/>
    <w:rsid w:val="009846EF"/>
    <w:rsid w:val="0098642A"/>
    <w:rsid w:val="009A1777"/>
    <w:rsid w:val="009A18B5"/>
    <w:rsid w:val="009A6841"/>
    <w:rsid w:val="009A705C"/>
    <w:rsid w:val="009A7C39"/>
    <w:rsid w:val="009B2928"/>
    <w:rsid w:val="009C7228"/>
    <w:rsid w:val="009D241E"/>
    <w:rsid w:val="009D2B70"/>
    <w:rsid w:val="009D3E1E"/>
    <w:rsid w:val="009D7795"/>
    <w:rsid w:val="009E1DE5"/>
    <w:rsid w:val="009E30A0"/>
    <w:rsid w:val="009E5794"/>
    <w:rsid w:val="009F28DE"/>
    <w:rsid w:val="009F4124"/>
    <w:rsid w:val="009F54CC"/>
    <w:rsid w:val="00A21A50"/>
    <w:rsid w:val="00A23005"/>
    <w:rsid w:val="00A241D7"/>
    <w:rsid w:val="00A25CEA"/>
    <w:rsid w:val="00A339CD"/>
    <w:rsid w:val="00A40CB4"/>
    <w:rsid w:val="00A50582"/>
    <w:rsid w:val="00A67107"/>
    <w:rsid w:val="00AA4188"/>
    <w:rsid w:val="00AA6038"/>
    <w:rsid w:val="00AA72FD"/>
    <w:rsid w:val="00AA778D"/>
    <w:rsid w:val="00AB1200"/>
    <w:rsid w:val="00AB19BF"/>
    <w:rsid w:val="00AB32C3"/>
    <w:rsid w:val="00AB4050"/>
    <w:rsid w:val="00AC0BE8"/>
    <w:rsid w:val="00AC5107"/>
    <w:rsid w:val="00AD0F51"/>
    <w:rsid w:val="00AE0520"/>
    <w:rsid w:val="00AE09F4"/>
    <w:rsid w:val="00AE2493"/>
    <w:rsid w:val="00AE550E"/>
    <w:rsid w:val="00AF3E3F"/>
    <w:rsid w:val="00AF5B9A"/>
    <w:rsid w:val="00AF6436"/>
    <w:rsid w:val="00B07780"/>
    <w:rsid w:val="00B13018"/>
    <w:rsid w:val="00B16888"/>
    <w:rsid w:val="00B2541C"/>
    <w:rsid w:val="00B30197"/>
    <w:rsid w:val="00B313B3"/>
    <w:rsid w:val="00B40C4F"/>
    <w:rsid w:val="00B41F40"/>
    <w:rsid w:val="00B4764D"/>
    <w:rsid w:val="00B57E2C"/>
    <w:rsid w:val="00B61BA8"/>
    <w:rsid w:val="00B635FC"/>
    <w:rsid w:val="00B73C24"/>
    <w:rsid w:val="00B75550"/>
    <w:rsid w:val="00B770CD"/>
    <w:rsid w:val="00B844D5"/>
    <w:rsid w:val="00BA1F4F"/>
    <w:rsid w:val="00BA328B"/>
    <w:rsid w:val="00BA7E51"/>
    <w:rsid w:val="00BB4782"/>
    <w:rsid w:val="00BB66B8"/>
    <w:rsid w:val="00BC0372"/>
    <w:rsid w:val="00BC79FB"/>
    <w:rsid w:val="00BC7D74"/>
    <w:rsid w:val="00BD1DE3"/>
    <w:rsid w:val="00BD450B"/>
    <w:rsid w:val="00BE6327"/>
    <w:rsid w:val="00BF1568"/>
    <w:rsid w:val="00BF5DEE"/>
    <w:rsid w:val="00C01EC0"/>
    <w:rsid w:val="00C123AF"/>
    <w:rsid w:val="00C12CEF"/>
    <w:rsid w:val="00C14D21"/>
    <w:rsid w:val="00C17364"/>
    <w:rsid w:val="00C219C6"/>
    <w:rsid w:val="00C24A96"/>
    <w:rsid w:val="00C24CA7"/>
    <w:rsid w:val="00C26B57"/>
    <w:rsid w:val="00C2711D"/>
    <w:rsid w:val="00C319C1"/>
    <w:rsid w:val="00C3316F"/>
    <w:rsid w:val="00C40D17"/>
    <w:rsid w:val="00C51E73"/>
    <w:rsid w:val="00C55C6F"/>
    <w:rsid w:val="00C57CD8"/>
    <w:rsid w:val="00C609DA"/>
    <w:rsid w:val="00C61F23"/>
    <w:rsid w:val="00C6674F"/>
    <w:rsid w:val="00C75459"/>
    <w:rsid w:val="00C7658F"/>
    <w:rsid w:val="00C86C40"/>
    <w:rsid w:val="00C923BF"/>
    <w:rsid w:val="00C935B5"/>
    <w:rsid w:val="00C94508"/>
    <w:rsid w:val="00C96CF2"/>
    <w:rsid w:val="00C97F8C"/>
    <w:rsid w:val="00CA6283"/>
    <w:rsid w:val="00CB1137"/>
    <w:rsid w:val="00CB13B1"/>
    <w:rsid w:val="00CB24C7"/>
    <w:rsid w:val="00CB7B2F"/>
    <w:rsid w:val="00CC273C"/>
    <w:rsid w:val="00CC564F"/>
    <w:rsid w:val="00CD4E72"/>
    <w:rsid w:val="00CD53FF"/>
    <w:rsid w:val="00CD7C95"/>
    <w:rsid w:val="00CE79A2"/>
    <w:rsid w:val="00CF10FB"/>
    <w:rsid w:val="00CF3382"/>
    <w:rsid w:val="00D034CD"/>
    <w:rsid w:val="00D14074"/>
    <w:rsid w:val="00D20424"/>
    <w:rsid w:val="00D2361D"/>
    <w:rsid w:val="00D26AB6"/>
    <w:rsid w:val="00D325B8"/>
    <w:rsid w:val="00D32FC4"/>
    <w:rsid w:val="00D36635"/>
    <w:rsid w:val="00D556BA"/>
    <w:rsid w:val="00D64D2F"/>
    <w:rsid w:val="00D67A77"/>
    <w:rsid w:val="00D727C6"/>
    <w:rsid w:val="00D845E6"/>
    <w:rsid w:val="00D864E3"/>
    <w:rsid w:val="00D90C4A"/>
    <w:rsid w:val="00DA227D"/>
    <w:rsid w:val="00DA4BFE"/>
    <w:rsid w:val="00DB4426"/>
    <w:rsid w:val="00DC5387"/>
    <w:rsid w:val="00DC55BC"/>
    <w:rsid w:val="00DC7941"/>
    <w:rsid w:val="00DD335A"/>
    <w:rsid w:val="00DE07AD"/>
    <w:rsid w:val="00DE0C00"/>
    <w:rsid w:val="00DE2166"/>
    <w:rsid w:val="00DE468E"/>
    <w:rsid w:val="00DE7B9D"/>
    <w:rsid w:val="00DF3822"/>
    <w:rsid w:val="00DF4A23"/>
    <w:rsid w:val="00E013FF"/>
    <w:rsid w:val="00E1041F"/>
    <w:rsid w:val="00E20981"/>
    <w:rsid w:val="00E22007"/>
    <w:rsid w:val="00E25379"/>
    <w:rsid w:val="00E25602"/>
    <w:rsid w:val="00E279F9"/>
    <w:rsid w:val="00E33034"/>
    <w:rsid w:val="00E34075"/>
    <w:rsid w:val="00E421AF"/>
    <w:rsid w:val="00E42957"/>
    <w:rsid w:val="00E43210"/>
    <w:rsid w:val="00E50A47"/>
    <w:rsid w:val="00E50A99"/>
    <w:rsid w:val="00E50C32"/>
    <w:rsid w:val="00E544D1"/>
    <w:rsid w:val="00E5586D"/>
    <w:rsid w:val="00E57DF4"/>
    <w:rsid w:val="00E61D69"/>
    <w:rsid w:val="00E75015"/>
    <w:rsid w:val="00E77D52"/>
    <w:rsid w:val="00E91A32"/>
    <w:rsid w:val="00E93295"/>
    <w:rsid w:val="00E95637"/>
    <w:rsid w:val="00EA3CB4"/>
    <w:rsid w:val="00EB2DA0"/>
    <w:rsid w:val="00EB7BB5"/>
    <w:rsid w:val="00EC0242"/>
    <w:rsid w:val="00EC3100"/>
    <w:rsid w:val="00EC546A"/>
    <w:rsid w:val="00EC5AE1"/>
    <w:rsid w:val="00ED2C16"/>
    <w:rsid w:val="00ED2C9D"/>
    <w:rsid w:val="00EF2983"/>
    <w:rsid w:val="00EF535C"/>
    <w:rsid w:val="00F015FD"/>
    <w:rsid w:val="00F02FE4"/>
    <w:rsid w:val="00F1391C"/>
    <w:rsid w:val="00F26548"/>
    <w:rsid w:val="00F279F8"/>
    <w:rsid w:val="00F30211"/>
    <w:rsid w:val="00F35350"/>
    <w:rsid w:val="00F353F7"/>
    <w:rsid w:val="00F474BC"/>
    <w:rsid w:val="00F5107F"/>
    <w:rsid w:val="00F53529"/>
    <w:rsid w:val="00F56CCE"/>
    <w:rsid w:val="00F6575C"/>
    <w:rsid w:val="00F76246"/>
    <w:rsid w:val="00F7697C"/>
    <w:rsid w:val="00F83190"/>
    <w:rsid w:val="00F836B0"/>
    <w:rsid w:val="00F84F77"/>
    <w:rsid w:val="00F86859"/>
    <w:rsid w:val="00F90083"/>
    <w:rsid w:val="00F90AF7"/>
    <w:rsid w:val="00F91E9D"/>
    <w:rsid w:val="00F96767"/>
    <w:rsid w:val="00FA1399"/>
    <w:rsid w:val="00FA2563"/>
    <w:rsid w:val="00FA526E"/>
    <w:rsid w:val="00FB2FFA"/>
    <w:rsid w:val="00FB594E"/>
    <w:rsid w:val="00FC02BF"/>
    <w:rsid w:val="00FD127D"/>
    <w:rsid w:val="00FD20AC"/>
    <w:rsid w:val="00FE35FF"/>
    <w:rsid w:val="00FF1028"/>
    <w:rsid w:val="00FF13BD"/>
    <w:rsid w:val="010B2E65"/>
    <w:rsid w:val="010D3D68"/>
    <w:rsid w:val="01170C55"/>
    <w:rsid w:val="012A693D"/>
    <w:rsid w:val="01414A8F"/>
    <w:rsid w:val="01520363"/>
    <w:rsid w:val="0187467E"/>
    <w:rsid w:val="018D0AE9"/>
    <w:rsid w:val="018F0740"/>
    <w:rsid w:val="01910DE7"/>
    <w:rsid w:val="01940EDA"/>
    <w:rsid w:val="019537BE"/>
    <w:rsid w:val="01D44E92"/>
    <w:rsid w:val="01F67098"/>
    <w:rsid w:val="01FD6322"/>
    <w:rsid w:val="02086BB3"/>
    <w:rsid w:val="0224187C"/>
    <w:rsid w:val="0225410B"/>
    <w:rsid w:val="02290C40"/>
    <w:rsid w:val="022B42BD"/>
    <w:rsid w:val="022C787B"/>
    <w:rsid w:val="02504A8C"/>
    <w:rsid w:val="02555ED9"/>
    <w:rsid w:val="025A704C"/>
    <w:rsid w:val="028751DA"/>
    <w:rsid w:val="02902A6D"/>
    <w:rsid w:val="02A05595"/>
    <w:rsid w:val="02AB3046"/>
    <w:rsid w:val="02B06AF0"/>
    <w:rsid w:val="02DB7B66"/>
    <w:rsid w:val="02EA4582"/>
    <w:rsid w:val="031D794B"/>
    <w:rsid w:val="03367AB9"/>
    <w:rsid w:val="036916FE"/>
    <w:rsid w:val="036B1211"/>
    <w:rsid w:val="036C1B50"/>
    <w:rsid w:val="037409EA"/>
    <w:rsid w:val="038C575E"/>
    <w:rsid w:val="03951D3F"/>
    <w:rsid w:val="03A32C74"/>
    <w:rsid w:val="03A66934"/>
    <w:rsid w:val="03AE5BF8"/>
    <w:rsid w:val="03DD48AC"/>
    <w:rsid w:val="03E326F1"/>
    <w:rsid w:val="03E77005"/>
    <w:rsid w:val="03F90AE6"/>
    <w:rsid w:val="03FD19B5"/>
    <w:rsid w:val="040A553D"/>
    <w:rsid w:val="04186B93"/>
    <w:rsid w:val="04245131"/>
    <w:rsid w:val="045301F6"/>
    <w:rsid w:val="0460774E"/>
    <w:rsid w:val="0476142B"/>
    <w:rsid w:val="048207CA"/>
    <w:rsid w:val="04862A5A"/>
    <w:rsid w:val="04A07571"/>
    <w:rsid w:val="04A42800"/>
    <w:rsid w:val="04B755C8"/>
    <w:rsid w:val="04CA40CD"/>
    <w:rsid w:val="04EF2408"/>
    <w:rsid w:val="04F84426"/>
    <w:rsid w:val="05392A6E"/>
    <w:rsid w:val="0546436F"/>
    <w:rsid w:val="054E2606"/>
    <w:rsid w:val="05654685"/>
    <w:rsid w:val="05665243"/>
    <w:rsid w:val="0571142D"/>
    <w:rsid w:val="05726CA9"/>
    <w:rsid w:val="05AA02EA"/>
    <w:rsid w:val="05DA0551"/>
    <w:rsid w:val="05F30072"/>
    <w:rsid w:val="05F81055"/>
    <w:rsid w:val="05FF2835"/>
    <w:rsid w:val="060519C4"/>
    <w:rsid w:val="06085010"/>
    <w:rsid w:val="06150398"/>
    <w:rsid w:val="061B35BC"/>
    <w:rsid w:val="0637790D"/>
    <w:rsid w:val="063A0F90"/>
    <w:rsid w:val="063A42EE"/>
    <w:rsid w:val="06420522"/>
    <w:rsid w:val="064222D0"/>
    <w:rsid w:val="064A4380"/>
    <w:rsid w:val="067976B4"/>
    <w:rsid w:val="068C7E6E"/>
    <w:rsid w:val="068E730D"/>
    <w:rsid w:val="069C2D6E"/>
    <w:rsid w:val="069C40D7"/>
    <w:rsid w:val="06AB7B59"/>
    <w:rsid w:val="06AC1E40"/>
    <w:rsid w:val="06BD404D"/>
    <w:rsid w:val="06C84719"/>
    <w:rsid w:val="06CF01FF"/>
    <w:rsid w:val="06D44E2C"/>
    <w:rsid w:val="06E11A9E"/>
    <w:rsid w:val="06EE60D9"/>
    <w:rsid w:val="06F91983"/>
    <w:rsid w:val="06FE6719"/>
    <w:rsid w:val="071316CD"/>
    <w:rsid w:val="071C4D02"/>
    <w:rsid w:val="07271EB2"/>
    <w:rsid w:val="072D11D3"/>
    <w:rsid w:val="07411D9F"/>
    <w:rsid w:val="076C4208"/>
    <w:rsid w:val="07885275"/>
    <w:rsid w:val="07893F2F"/>
    <w:rsid w:val="078A7007"/>
    <w:rsid w:val="079B68A4"/>
    <w:rsid w:val="07A11A7E"/>
    <w:rsid w:val="07B216D8"/>
    <w:rsid w:val="07CD00C5"/>
    <w:rsid w:val="07D2081D"/>
    <w:rsid w:val="080B6232"/>
    <w:rsid w:val="08163548"/>
    <w:rsid w:val="08183067"/>
    <w:rsid w:val="083C55ED"/>
    <w:rsid w:val="084C5688"/>
    <w:rsid w:val="085D7896"/>
    <w:rsid w:val="08602DD3"/>
    <w:rsid w:val="0865290D"/>
    <w:rsid w:val="086E47AF"/>
    <w:rsid w:val="08734E7A"/>
    <w:rsid w:val="08A671FE"/>
    <w:rsid w:val="08B96BD8"/>
    <w:rsid w:val="08D33783"/>
    <w:rsid w:val="08DD6155"/>
    <w:rsid w:val="090321A2"/>
    <w:rsid w:val="090C33A6"/>
    <w:rsid w:val="090C5F32"/>
    <w:rsid w:val="09175C96"/>
    <w:rsid w:val="09215ED7"/>
    <w:rsid w:val="09471D6C"/>
    <w:rsid w:val="094C3466"/>
    <w:rsid w:val="09585107"/>
    <w:rsid w:val="095855A3"/>
    <w:rsid w:val="096A04BC"/>
    <w:rsid w:val="09710163"/>
    <w:rsid w:val="09736060"/>
    <w:rsid w:val="097C01EF"/>
    <w:rsid w:val="099B498F"/>
    <w:rsid w:val="09A304B1"/>
    <w:rsid w:val="09A3577C"/>
    <w:rsid w:val="09A36C6C"/>
    <w:rsid w:val="09A45050"/>
    <w:rsid w:val="09BC7DF2"/>
    <w:rsid w:val="09C04D15"/>
    <w:rsid w:val="09CD6D1D"/>
    <w:rsid w:val="09DE12BD"/>
    <w:rsid w:val="09E518F1"/>
    <w:rsid w:val="09EC2ADF"/>
    <w:rsid w:val="09FB55B8"/>
    <w:rsid w:val="0A0A30D9"/>
    <w:rsid w:val="0A1E2EF6"/>
    <w:rsid w:val="0A2A556E"/>
    <w:rsid w:val="0A2F0DBE"/>
    <w:rsid w:val="0A3E5045"/>
    <w:rsid w:val="0A440C41"/>
    <w:rsid w:val="0A515849"/>
    <w:rsid w:val="0A550EB4"/>
    <w:rsid w:val="0A721F65"/>
    <w:rsid w:val="0A774726"/>
    <w:rsid w:val="0A7D2F7F"/>
    <w:rsid w:val="0A872E9B"/>
    <w:rsid w:val="0A87384C"/>
    <w:rsid w:val="0A8A2498"/>
    <w:rsid w:val="0A960E3D"/>
    <w:rsid w:val="0A9D666F"/>
    <w:rsid w:val="0AB6615F"/>
    <w:rsid w:val="0ABF1E7F"/>
    <w:rsid w:val="0AC260D6"/>
    <w:rsid w:val="0AC36031"/>
    <w:rsid w:val="0AC95A24"/>
    <w:rsid w:val="0ADA51CD"/>
    <w:rsid w:val="0AF83225"/>
    <w:rsid w:val="0AF84BEE"/>
    <w:rsid w:val="0AFB22B5"/>
    <w:rsid w:val="0B1B7594"/>
    <w:rsid w:val="0B250D0E"/>
    <w:rsid w:val="0B2B0D64"/>
    <w:rsid w:val="0B31069D"/>
    <w:rsid w:val="0B330D82"/>
    <w:rsid w:val="0B470389"/>
    <w:rsid w:val="0B4D7D2D"/>
    <w:rsid w:val="0B500B56"/>
    <w:rsid w:val="0B55696E"/>
    <w:rsid w:val="0B725406"/>
    <w:rsid w:val="0B942CBA"/>
    <w:rsid w:val="0B9C1255"/>
    <w:rsid w:val="0B9C6927"/>
    <w:rsid w:val="0BA15CEB"/>
    <w:rsid w:val="0BFA0333"/>
    <w:rsid w:val="0BFC52F7"/>
    <w:rsid w:val="0C15136F"/>
    <w:rsid w:val="0C174989"/>
    <w:rsid w:val="0C260B43"/>
    <w:rsid w:val="0C321977"/>
    <w:rsid w:val="0C48260B"/>
    <w:rsid w:val="0C534244"/>
    <w:rsid w:val="0C676F35"/>
    <w:rsid w:val="0C6868B7"/>
    <w:rsid w:val="0C807CE3"/>
    <w:rsid w:val="0C8838E2"/>
    <w:rsid w:val="0C9943C2"/>
    <w:rsid w:val="0C99598D"/>
    <w:rsid w:val="0CAA1561"/>
    <w:rsid w:val="0CB06072"/>
    <w:rsid w:val="0CCC7B09"/>
    <w:rsid w:val="0CDB7272"/>
    <w:rsid w:val="0CDF1CDE"/>
    <w:rsid w:val="0CF5365C"/>
    <w:rsid w:val="0CF8429C"/>
    <w:rsid w:val="0D132C19"/>
    <w:rsid w:val="0D17461A"/>
    <w:rsid w:val="0D294BF7"/>
    <w:rsid w:val="0D2E35AF"/>
    <w:rsid w:val="0D305579"/>
    <w:rsid w:val="0D360845"/>
    <w:rsid w:val="0D413743"/>
    <w:rsid w:val="0D4E59FF"/>
    <w:rsid w:val="0D5511E7"/>
    <w:rsid w:val="0D56746B"/>
    <w:rsid w:val="0D577BC9"/>
    <w:rsid w:val="0D6E76D0"/>
    <w:rsid w:val="0D80089D"/>
    <w:rsid w:val="0D8A65CF"/>
    <w:rsid w:val="0DAB33A1"/>
    <w:rsid w:val="0DB42E50"/>
    <w:rsid w:val="0DB8556E"/>
    <w:rsid w:val="0DC224BF"/>
    <w:rsid w:val="0DC2656C"/>
    <w:rsid w:val="0DD643C0"/>
    <w:rsid w:val="0DDC4D6F"/>
    <w:rsid w:val="0DE95643"/>
    <w:rsid w:val="0DFA3B07"/>
    <w:rsid w:val="0E030E27"/>
    <w:rsid w:val="0E19425F"/>
    <w:rsid w:val="0E1C565C"/>
    <w:rsid w:val="0E1E2B9E"/>
    <w:rsid w:val="0E4E485B"/>
    <w:rsid w:val="0E500807"/>
    <w:rsid w:val="0E5A4365"/>
    <w:rsid w:val="0E7618AE"/>
    <w:rsid w:val="0E811086"/>
    <w:rsid w:val="0E8611C8"/>
    <w:rsid w:val="0E9B6C94"/>
    <w:rsid w:val="0EA703B8"/>
    <w:rsid w:val="0EAF1D10"/>
    <w:rsid w:val="0EBD2674"/>
    <w:rsid w:val="0ED14F76"/>
    <w:rsid w:val="0ED15AE5"/>
    <w:rsid w:val="0EDF5078"/>
    <w:rsid w:val="0EE303C9"/>
    <w:rsid w:val="0F0337F8"/>
    <w:rsid w:val="0F2D00FE"/>
    <w:rsid w:val="0F2F4BA8"/>
    <w:rsid w:val="0F423341"/>
    <w:rsid w:val="0F684F69"/>
    <w:rsid w:val="0F6B6D3C"/>
    <w:rsid w:val="0F6E755A"/>
    <w:rsid w:val="0F76137F"/>
    <w:rsid w:val="0F7D25CB"/>
    <w:rsid w:val="0F851480"/>
    <w:rsid w:val="0F8669D2"/>
    <w:rsid w:val="0F883257"/>
    <w:rsid w:val="0FA77450"/>
    <w:rsid w:val="0FB105F3"/>
    <w:rsid w:val="0FB73D28"/>
    <w:rsid w:val="0FB85B18"/>
    <w:rsid w:val="0FC873B1"/>
    <w:rsid w:val="0FD21EC0"/>
    <w:rsid w:val="0FD541B5"/>
    <w:rsid w:val="0FF76E61"/>
    <w:rsid w:val="0FF77B34"/>
    <w:rsid w:val="100B038A"/>
    <w:rsid w:val="100B2A6E"/>
    <w:rsid w:val="100E41CD"/>
    <w:rsid w:val="10167F27"/>
    <w:rsid w:val="101C784D"/>
    <w:rsid w:val="102A1FC5"/>
    <w:rsid w:val="102B0279"/>
    <w:rsid w:val="102D1D41"/>
    <w:rsid w:val="10371A3A"/>
    <w:rsid w:val="1049643F"/>
    <w:rsid w:val="104D6442"/>
    <w:rsid w:val="1063645C"/>
    <w:rsid w:val="10802373"/>
    <w:rsid w:val="10AA73F0"/>
    <w:rsid w:val="10F1501F"/>
    <w:rsid w:val="10F24918"/>
    <w:rsid w:val="11082F7E"/>
    <w:rsid w:val="111778DA"/>
    <w:rsid w:val="111C18AC"/>
    <w:rsid w:val="111D5E14"/>
    <w:rsid w:val="11211529"/>
    <w:rsid w:val="112173A4"/>
    <w:rsid w:val="11271E41"/>
    <w:rsid w:val="11382C4E"/>
    <w:rsid w:val="113B41D4"/>
    <w:rsid w:val="11496D36"/>
    <w:rsid w:val="115775F8"/>
    <w:rsid w:val="115D4430"/>
    <w:rsid w:val="115F6B73"/>
    <w:rsid w:val="11AE4D35"/>
    <w:rsid w:val="11C02D36"/>
    <w:rsid w:val="11D54078"/>
    <w:rsid w:val="11FB709A"/>
    <w:rsid w:val="12171047"/>
    <w:rsid w:val="124A5412"/>
    <w:rsid w:val="124A701E"/>
    <w:rsid w:val="12525F91"/>
    <w:rsid w:val="126C30D5"/>
    <w:rsid w:val="12800F56"/>
    <w:rsid w:val="128B1872"/>
    <w:rsid w:val="128E689D"/>
    <w:rsid w:val="12B24C82"/>
    <w:rsid w:val="12B72298"/>
    <w:rsid w:val="12BC340B"/>
    <w:rsid w:val="12BF7EC0"/>
    <w:rsid w:val="12C77562"/>
    <w:rsid w:val="12E65AA9"/>
    <w:rsid w:val="12F67D81"/>
    <w:rsid w:val="130448D7"/>
    <w:rsid w:val="13117BFA"/>
    <w:rsid w:val="13137D4B"/>
    <w:rsid w:val="132D2741"/>
    <w:rsid w:val="13450148"/>
    <w:rsid w:val="13556BE8"/>
    <w:rsid w:val="13573133"/>
    <w:rsid w:val="13900C73"/>
    <w:rsid w:val="13BA3DEE"/>
    <w:rsid w:val="13BC4EB9"/>
    <w:rsid w:val="13C470E7"/>
    <w:rsid w:val="13C9412E"/>
    <w:rsid w:val="13CB3889"/>
    <w:rsid w:val="13DB5B12"/>
    <w:rsid w:val="13F41CFE"/>
    <w:rsid w:val="13FB7F63"/>
    <w:rsid w:val="13FD202D"/>
    <w:rsid w:val="14011A1D"/>
    <w:rsid w:val="140908D1"/>
    <w:rsid w:val="14365577"/>
    <w:rsid w:val="143D67CD"/>
    <w:rsid w:val="144013E8"/>
    <w:rsid w:val="144045D7"/>
    <w:rsid w:val="144227CC"/>
    <w:rsid w:val="14716E2D"/>
    <w:rsid w:val="148C19FF"/>
    <w:rsid w:val="14B95E54"/>
    <w:rsid w:val="14C319DD"/>
    <w:rsid w:val="14F371D1"/>
    <w:rsid w:val="15076FBB"/>
    <w:rsid w:val="15186A1A"/>
    <w:rsid w:val="15385E01"/>
    <w:rsid w:val="1543676F"/>
    <w:rsid w:val="15450F92"/>
    <w:rsid w:val="15575715"/>
    <w:rsid w:val="155E3039"/>
    <w:rsid w:val="156B3F80"/>
    <w:rsid w:val="15712BD2"/>
    <w:rsid w:val="1594066F"/>
    <w:rsid w:val="15BA117F"/>
    <w:rsid w:val="15CE592F"/>
    <w:rsid w:val="15E329A1"/>
    <w:rsid w:val="15EF1877"/>
    <w:rsid w:val="15F40354"/>
    <w:rsid w:val="15F81002"/>
    <w:rsid w:val="16050FA2"/>
    <w:rsid w:val="160E00AD"/>
    <w:rsid w:val="16296ABE"/>
    <w:rsid w:val="162A10D5"/>
    <w:rsid w:val="163F030A"/>
    <w:rsid w:val="16491459"/>
    <w:rsid w:val="16565924"/>
    <w:rsid w:val="167B1476"/>
    <w:rsid w:val="1680169A"/>
    <w:rsid w:val="16A85BB4"/>
    <w:rsid w:val="16B9280C"/>
    <w:rsid w:val="16BF34C9"/>
    <w:rsid w:val="16C72FFA"/>
    <w:rsid w:val="16D10E90"/>
    <w:rsid w:val="16E55626"/>
    <w:rsid w:val="16E9754F"/>
    <w:rsid w:val="1712499E"/>
    <w:rsid w:val="17215F32"/>
    <w:rsid w:val="17216EEE"/>
    <w:rsid w:val="17300E0B"/>
    <w:rsid w:val="17465999"/>
    <w:rsid w:val="175B295C"/>
    <w:rsid w:val="17664606"/>
    <w:rsid w:val="17742506"/>
    <w:rsid w:val="17783E44"/>
    <w:rsid w:val="17802FF0"/>
    <w:rsid w:val="1794667B"/>
    <w:rsid w:val="17960D95"/>
    <w:rsid w:val="17AE0FCD"/>
    <w:rsid w:val="17D96B2F"/>
    <w:rsid w:val="17F45028"/>
    <w:rsid w:val="17F55C13"/>
    <w:rsid w:val="17F6539C"/>
    <w:rsid w:val="18034851"/>
    <w:rsid w:val="18095344"/>
    <w:rsid w:val="182B350C"/>
    <w:rsid w:val="183369F2"/>
    <w:rsid w:val="18462D04"/>
    <w:rsid w:val="184D3671"/>
    <w:rsid w:val="187D188E"/>
    <w:rsid w:val="189B4EFD"/>
    <w:rsid w:val="18A32E5C"/>
    <w:rsid w:val="18BA663E"/>
    <w:rsid w:val="18D314AE"/>
    <w:rsid w:val="18E25EE2"/>
    <w:rsid w:val="19051E03"/>
    <w:rsid w:val="190B50EC"/>
    <w:rsid w:val="19263D89"/>
    <w:rsid w:val="192A57B1"/>
    <w:rsid w:val="192D2C89"/>
    <w:rsid w:val="19326DDB"/>
    <w:rsid w:val="193C607D"/>
    <w:rsid w:val="19513C6E"/>
    <w:rsid w:val="195C35AF"/>
    <w:rsid w:val="196547FC"/>
    <w:rsid w:val="197467ED"/>
    <w:rsid w:val="197F4BE7"/>
    <w:rsid w:val="19A90B8D"/>
    <w:rsid w:val="19B83FA9"/>
    <w:rsid w:val="19C05ED6"/>
    <w:rsid w:val="19C45513"/>
    <w:rsid w:val="19EB0380"/>
    <w:rsid w:val="1A177C84"/>
    <w:rsid w:val="1A213D00"/>
    <w:rsid w:val="1A2F1077"/>
    <w:rsid w:val="1A56528C"/>
    <w:rsid w:val="1A6B4094"/>
    <w:rsid w:val="1A732E59"/>
    <w:rsid w:val="1A7B3BAB"/>
    <w:rsid w:val="1A9C716B"/>
    <w:rsid w:val="1AAA528A"/>
    <w:rsid w:val="1AB16D6E"/>
    <w:rsid w:val="1AD41DF0"/>
    <w:rsid w:val="1AF76D08"/>
    <w:rsid w:val="1B09580A"/>
    <w:rsid w:val="1B323486"/>
    <w:rsid w:val="1B3668E0"/>
    <w:rsid w:val="1B5542FA"/>
    <w:rsid w:val="1B6864F5"/>
    <w:rsid w:val="1B801578"/>
    <w:rsid w:val="1B811695"/>
    <w:rsid w:val="1B8B10B8"/>
    <w:rsid w:val="1BA17641"/>
    <w:rsid w:val="1BC752FA"/>
    <w:rsid w:val="1BCA1C22"/>
    <w:rsid w:val="1BCB1529"/>
    <w:rsid w:val="1BD94263"/>
    <w:rsid w:val="1BF81957"/>
    <w:rsid w:val="1BF95E61"/>
    <w:rsid w:val="1C06133D"/>
    <w:rsid w:val="1C1D316C"/>
    <w:rsid w:val="1C22648D"/>
    <w:rsid w:val="1C2C33AF"/>
    <w:rsid w:val="1C355DEC"/>
    <w:rsid w:val="1C617B1C"/>
    <w:rsid w:val="1C7B6BA9"/>
    <w:rsid w:val="1C7D2587"/>
    <w:rsid w:val="1C905EBC"/>
    <w:rsid w:val="1CA4048E"/>
    <w:rsid w:val="1CB40433"/>
    <w:rsid w:val="1CC2721E"/>
    <w:rsid w:val="1CC45F52"/>
    <w:rsid w:val="1CC614DF"/>
    <w:rsid w:val="1CDC38E1"/>
    <w:rsid w:val="1CE43C8A"/>
    <w:rsid w:val="1CF6061D"/>
    <w:rsid w:val="1D061C43"/>
    <w:rsid w:val="1D3249F5"/>
    <w:rsid w:val="1D3906B6"/>
    <w:rsid w:val="1D4806BC"/>
    <w:rsid w:val="1D4C57AE"/>
    <w:rsid w:val="1D5A219E"/>
    <w:rsid w:val="1D6A233A"/>
    <w:rsid w:val="1DA518C8"/>
    <w:rsid w:val="1DBA2C3C"/>
    <w:rsid w:val="1DBE38F2"/>
    <w:rsid w:val="1DCB7599"/>
    <w:rsid w:val="1DD050DF"/>
    <w:rsid w:val="1DDB3284"/>
    <w:rsid w:val="1DEF0B38"/>
    <w:rsid w:val="1E001F03"/>
    <w:rsid w:val="1E094B81"/>
    <w:rsid w:val="1E14234D"/>
    <w:rsid w:val="1E1B5E64"/>
    <w:rsid w:val="1E252E3F"/>
    <w:rsid w:val="1E2E46BF"/>
    <w:rsid w:val="1E3F77AE"/>
    <w:rsid w:val="1E4A0464"/>
    <w:rsid w:val="1E561D16"/>
    <w:rsid w:val="1E6B022D"/>
    <w:rsid w:val="1E786D7F"/>
    <w:rsid w:val="1E8E14C8"/>
    <w:rsid w:val="1E970F7E"/>
    <w:rsid w:val="1E996432"/>
    <w:rsid w:val="1E9A0651"/>
    <w:rsid w:val="1EC023AD"/>
    <w:rsid w:val="1EDF295B"/>
    <w:rsid w:val="1EE767EA"/>
    <w:rsid w:val="1F01713F"/>
    <w:rsid w:val="1F1075BA"/>
    <w:rsid w:val="1F2110B9"/>
    <w:rsid w:val="1F242B00"/>
    <w:rsid w:val="1F2E743E"/>
    <w:rsid w:val="1F382D59"/>
    <w:rsid w:val="1F3D3B25"/>
    <w:rsid w:val="1F410D8B"/>
    <w:rsid w:val="1F464788"/>
    <w:rsid w:val="1F4777BA"/>
    <w:rsid w:val="1F4A2641"/>
    <w:rsid w:val="1F59095F"/>
    <w:rsid w:val="1F5F2F3D"/>
    <w:rsid w:val="1F6A490D"/>
    <w:rsid w:val="1F6E0DDD"/>
    <w:rsid w:val="1F7B20AF"/>
    <w:rsid w:val="1F884CB8"/>
    <w:rsid w:val="1FAD79D7"/>
    <w:rsid w:val="1FB266BE"/>
    <w:rsid w:val="1FC3045C"/>
    <w:rsid w:val="1FDB5818"/>
    <w:rsid w:val="1FEA17EE"/>
    <w:rsid w:val="1FFE1506"/>
    <w:rsid w:val="20086EC0"/>
    <w:rsid w:val="20250841"/>
    <w:rsid w:val="203037E2"/>
    <w:rsid w:val="203C3DDD"/>
    <w:rsid w:val="203F0B4B"/>
    <w:rsid w:val="20402755"/>
    <w:rsid w:val="206D14A8"/>
    <w:rsid w:val="207F7F55"/>
    <w:rsid w:val="20827A42"/>
    <w:rsid w:val="209B2FE9"/>
    <w:rsid w:val="20A0611A"/>
    <w:rsid w:val="20C0764A"/>
    <w:rsid w:val="20C2086E"/>
    <w:rsid w:val="20C74A47"/>
    <w:rsid w:val="20D3029D"/>
    <w:rsid w:val="20D579A1"/>
    <w:rsid w:val="20E71F9A"/>
    <w:rsid w:val="20E73FDC"/>
    <w:rsid w:val="20EA5156"/>
    <w:rsid w:val="20ED12A2"/>
    <w:rsid w:val="20F876CC"/>
    <w:rsid w:val="210A410C"/>
    <w:rsid w:val="21186D16"/>
    <w:rsid w:val="21204764"/>
    <w:rsid w:val="21257950"/>
    <w:rsid w:val="21294ED6"/>
    <w:rsid w:val="2130749E"/>
    <w:rsid w:val="21381DC5"/>
    <w:rsid w:val="21441798"/>
    <w:rsid w:val="214516C8"/>
    <w:rsid w:val="214E5B76"/>
    <w:rsid w:val="215A09BE"/>
    <w:rsid w:val="21752768"/>
    <w:rsid w:val="217A4C60"/>
    <w:rsid w:val="217A696B"/>
    <w:rsid w:val="219000FD"/>
    <w:rsid w:val="21B57205"/>
    <w:rsid w:val="21C46C12"/>
    <w:rsid w:val="21CD297D"/>
    <w:rsid w:val="21D205B0"/>
    <w:rsid w:val="21F901D7"/>
    <w:rsid w:val="22014A28"/>
    <w:rsid w:val="22056B7C"/>
    <w:rsid w:val="221D5844"/>
    <w:rsid w:val="22246E85"/>
    <w:rsid w:val="222A4975"/>
    <w:rsid w:val="222B4766"/>
    <w:rsid w:val="222D4D02"/>
    <w:rsid w:val="222E5063"/>
    <w:rsid w:val="223B25C8"/>
    <w:rsid w:val="22492AB4"/>
    <w:rsid w:val="224B1F19"/>
    <w:rsid w:val="224E5D66"/>
    <w:rsid w:val="225A6D54"/>
    <w:rsid w:val="226065A9"/>
    <w:rsid w:val="2269067B"/>
    <w:rsid w:val="226F3872"/>
    <w:rsid w:val="22A60DD7"/>
    <w:rsid w:val="22B42350"/>
    <w:rsid w:val="22B47E03"/>
    <w:rsid w:val="22DB2D85"/>
    <w:rsid w:val="22E66C6E"/>
    <w:rsid w:val="22E725E7"/>
    <w:rsid w:val="22EC5646"/>
    <w:rsid w:val="230C5CE8"/>
    <w:rsid w:val="23245EC0"/>
    <w:rsid w:val="232F5259"/>
    <w:rsid w:val="23440897"/>
    <w:rsid w:val="234711B7"/>
    <w:rsid w:val="23485F72"/>
    <w:rsid w:val="23495531"/>
    <w:rsid w:val="23753F06"/>
    <w:rsid w:val="239C5753"/>
    <w:rsid w:val="23AA71DC"/>
    <w:rsid w:val="23AC3027"/>
    <w:rsid w:val="23B90B33"/>
    <w:rsid w:val="23CA4220"/>
    <w:rsid w:val="23D80E82"/>
    <w:rsid w:val="23DB5AB1"/>
    <w:rsid w:val="23EA5945"/>
    <w:rsid w:val="23F8265D"/>
    <w:rsid w:val="24332B17"/>
    <w:rsid w:val="24410764"/>
    <w:rsid w:val="2443782B"/>
    <w:rsid w:val="24482D50"/>
    <w:rsid w:val="24515BBF"/>
    <w:rsid w:val="24612064"/>
    <w:rsid w:val="248217B2"/>
    <w:rsid w:val="24881FBA"/>
    <w:rsid w:val="24AA7567"/>
    <w:rsid w:val="24B22973"/>
    <w:rsid w:val="24D00CBE"/>
    <w:rsid w:val="24DB0068"/>
    <w:rsid w:val="24E14A0E"/>
    <w:rsid w:val="2506219C"/>
    <w:rsid w:val="25243C65"/>
    <w:rsid w:val="252F110B"/>
    <w:rsid w:val="253170FB"/>
    <w:rsid w:val="25452A56"/>
    <w:rsid w:val="25457290"/>
    <w:rsid w:val="25496D80"/>
    <w:rsid w:val="254A0D4A"/>
    <w:rsid w:val="254C061E"/>
    <w:rsid w:val="255319AC"/>
    <w:rsid w:val="25680286"/>
    <w:rsid w:val="25757B75"/>
    <w:rsid w:val="257D7041"/>
    <w:rsid w:val="258D1F7D"/>
    <w:rsid w:val="25965D3D"/>
    <w:rsid w:val="25992C8F"/>
    <w:rsid w:val="25A20B86"/>
    <w:rsid w:val="25B276F2"/>
    <w:rsid w:val="25B44258"/>
    <w:rsid w:val="25C73059"/>
    <w:rsid w:val="25F030AD"/>
    <w:rsid w:val="26025EF9"/>
    <w:rsid w:val="26053671"/>
    <w:rsid w:val="260D5FFF"/>
    <w:rsid w:val="260F4EEE"/>
    <w:rsid w:val="261437AE"/>
    <w:rsid w:val="263961DD"/>
    <w:rsid w:val="26573841"/>
    <w:rsid w:val="269D3BA8"/>
    <w:rsid w:val="26A83F7A"/>
    <w:rsid w:val="26B524EF"/>
    <w:rsid w:val="26C764AB"/>
    <w:rsid w:val="26D4220A"/>
    <w:rsid w:val="26F1572B"/>
    <w:rsid w:val="26F4451D"/>
    <w:rsid w:val="2709351A"/>
    <w:rsid w:val="270F48B4"/>
    <w:rsid w:val="27362CE4"/>
    <w:rsid w:val="2746390C"/>
    <w:rsid w:val="27706F5D"/>
    <w:rsid w:val="277B34B0"/>
    <w:rsid w:val="27991793"/>
    <w:rsid w:val="27A30669"/>
    <w:rsid w:val="27A47FAC"/>
    <w:rsid w:val="27E67AAB"/>
    <w:rsid w:val="27EF2CCF"/>
    <w:rsid w:val="28153C5B"/>
    <w:rsid w:val="28274F63"/>
    <w:rsid w:val="285F5293"/>
    <w:rsid w:val="286640ED"/>
    <w:rsid w:val="287E1AB2"/>
    <w:rsid w:val="287F7254"/>
    <w:rsid w:val="28865B09"/>
    <w:rsid w:val="28B27332"/>
    <w:rsid w:val="28CA391A"/>
    <w:rsid w:val="28D04EB2"/>
    <w:rsid w:val="28E250CE"/>
    <w:rsid w:val="28EF24A4"/>
    <w:rsid w:val="28F11F25"/>
    <w:rsid w:val="28FC5745"/>
    <w:rsid w:val="290032A5"/>
    <w:rsid w:val="29066C44"/>
    <w:rsid w:val="292540AD"/>
    <w:rsid w:val="293E52B8"/>
    <w:rsid w:val="294376C3"/>
    <w:rsid w:val="29447AFE"/>
    <w:rsid w:val="294C5091"/>
    <w:rsid w:val="295760A9"/>
    <w:rsid w:val="29594384"/>
    <w:rsid w:val="296043B9"/>
    <w:rsid w:val="296C4D0F"/>
    <w:rsid w:val="296E3259"/>
    <w:rsid w:val="297153BB"/>
    <w:rsid w:val="297C5622"/>
    <w:rsid w:val="297E7214"/>
    <w:rsid w:val="298671EB"/>
    <w:rsid w:val="299B5B69"/>
    <w:rsid w:val="29AC6B1E"/>
    <w:rsid w:val="29AD1F44"/>
    <w:rsid w:val="29CA2459"/>
    <w:rsid w:val="29D47A98"/>
    <w:rsid w:val="29DD3F3B"/>
    <w:rsid w:val="29EA794C"/>
    <w:rsid w:val="29EB42FF"/>
    <w:rsid w:val="29F714A0"/>
    <w:rsid w:val="2A0B6062"/>
    <w:rsid w:val="2A0E67EA"/>
    <w:rsid w:val="2A1C4276"/>
    <w:rsid w:val="2A1D26A2"/>
    <w:rsid w:val="2A2A6E2D"/>
    <w:rsid w:val="2A316D30"/>
    <w:rsid w:val="2A38164D"/>
    <w:rsid w:val="2A470A00"/>
    <w:rsid w:val="2A5255D7"/>
    <w:rsid w:val="2A596BD7"/>
    <w:rsid w:val="2A745FBD"/>
    <w:rsid w:val="2A975C19"/>
    <w:rsid w:val="2A9F7442"/>
    <w:rsid w:val="2AA00C75"/>
    <w:rsid w:val="2ABF1786"/>
    <w:rsid w:val="2AC135BE"/>
    <w:rsid w:val="2AEF03B2"/>
    <w:rsid w:val="2AF14141"/>
    <w:rsid w:val="2B10258F"/>
    <w:rsid w:val="2B416A06"/>
    <w:rsid w:val="2B434FD1"/>
    <w:rsid w:val="2B5072DE"/>
    <w:rsid w:val="2B580502"/>
    <w:rsid w:val="2B58570C"/>
    <w:rsid w:val="2B620B9B"/>
    <w:rsid w:val="2B6C1254"/>
    <w:rsid w:val="2B833782"/>
    <w:rsid w:val="2B9010B9"/>
    <w:rsid w:val="2BC36512"/>
    <w:rsid w:val="2BC57CC0"/>
    <w:rsid w:val="2BD52412"/>
    <w:rsid w:val="2BEB723D"/>
    <w:rsid w:val="2BF04FB9"/>
    <w:rsid w:val="2BF060DC"/>
    <w:rsid w:val="2C1C51EE"/>
    <w:rsid w:val="2C387C52"/>
    <w:rsid w:val="2C465743"/>
    <w:rsid w:val="2C574D45"/>
    <w:rsid w:val="2C7768C8"/>
    <w:rsid w:val="2C8758A3"/>
    <w:rsid w:val="2CA45E23"/>
    <w:rsid w:val="2CA60ACC"/>
    <w:rsid w:val="2CC82C80"/>
    <w:rsid w:val="2CCF04B2"/>
    <w:rsid w:val="2CE54D5A"/>
    <w:rsid w:val="2CE618B6"/>
    <w:rsid w:val="2D040526"/>
    <w:rsid w:val="2D07665D"/>
    <w:rsid w:val="2D0D5D1F"/>
    <w:rsid w:val="2D2714C9"/>
    <w:rsid w:val="2D3415D7"/>
    <w:rsid w:val="2D3A6028"/>
    <w:rsid w:val="2D4D13D7"/>
    <w:rsid w:val="2D5D7104"/>
    <w:rsid w:val="2D7163C5"/>
    <w:rsid w:val="2D722588"/>
    <w:rsid w:val="2D88005C"/>
    <w:rsid w:val="2DA42713"/>
    <w:rsid w:val="2DBA631F"/>
    <w:rsid w:val="2DE2521C"/>
    <w:rsid w:val="2E042156"/>
    <w:rsid w:val="2E112C5C"/>
    <w:rsid w:val="2E1C2578"/>
    <w:rsid w:val="2E3877F2"/>
    <w:rsid w:val="2E3903E0"/>
    <w:rsid w:val="2E4873F8"/>
    <w:rsid w:val="2E524BB3"/>
    <w:rsid w:val="2E552C39"/>
    <w:rsid w:val="2E5B11A8"/>
    <w:rsid w:val="2E607CFF"/>
    <w:rsid w:val="2E8B21B7"/>
    <w:rsid w:val="2E907881"/>
    <w:rsid w:val="2E9215A3"/>
    <w:rsid w:val="2E927A64"/>
    <w:rsid w:val="2EC706DF"/>
    <w:rsid w:val="2EE2740A"/>
    <w:rsid w:val="2EF3754C"/>
    <w:rsid w:val="2EFB66A6"/>
    <w:rsid w:val="2F0B32F8"/>
    <w:rsid w:val="2F0B779C"/>
    <w:rsid w:val="2F0E40F4"/>
    <w:rsid w:val="2F112316"/>
    <w:rsid w:val="2F297EB9"/>
    <w:rsid w:val="2F3D7961"/>
    <w:rsid w:val="2F68699C"/>
    <w:rsid w:val="2F6B3D97"/>
    <w:rsid w:val="2F880DEC"/>
    <w:rsid w:val="2F8E71A3"/>
    <w:rsid w:val="2FA20F14"/>
    <w:rsid w:val="2FB90FA6"/>
    <w:rsid w:val="2FD23E16"/>
    <w:rsid w:val="2FD33202"/>
    <w:rsid w:val="2FF11E92"/>
    <w:rsid w:val="2FF15166"/>
    <w:rsid w:val="2FF400FF"/>
    <w:rsid w:val="301E6E5D"/>
    <w:rsid w:val="30213C48"/>
    <w:rsid w:val="303803AA"/>
    <w:rsid w:val="305338DB"/>
    <w:rsid w:val="3063427E"/>
    <w:rsid w:val="307807C8"/>
    <w:rsid w:val="308D4871"/>
    <w:rsid w:val="30AE00FA"/>
    <w:rsid w:val="30BB7842"/>
    <w:rsid w:val="30C0334B"/>
    <w:rsid w:val="30D00355"/>
    <w:rsid w:val="30E84BA8"/>
    <w:rsid w:val="30F524B2"/>
    <w:rsid w:val="30FB2DBA"/>
    <w:rsid w:val="30FF50DE"/>
    <w:rsid w:val="310E3E5B"/>
    <w:rsid w:val="310E4E49"/>
    <w:rsid w:val="311B730B"/>
    <w:rsid w:val="312D1A73"/>
    <w:rsid w:val="313B0BB6"/>
    <w:rsid w:val="31411253"/>
    <w:rsid w:val="31462D0D"/>
    <w:rsid w:val="31523357"/>
    <w:rsid w:val="3166515D"/>
    <w:rsid w:val="316D3DF6"/>
    <w:rsid w:val="3173474F"/>
    <w:rsid w:val="3175273B"/>
    <w:rsid w:val="31992E3D"/>
    <w:rsid w:val="31A03824"/>
    <w:rsid w:val="31A67308"/>
    <w:rsid w:val="31C81974"/>
    <w:rsid w:val="31E24CC1"/>
    <w:rsid w:val="31F167D5"/>
    <w:rsid w:val="31F50C88"/>
    <w:rsid w:val="32024721"/>
    <w:rsid w:val="320C360F"/>
    <w:rsid w:val="321C75CA"/>
    <w:rsid w:val="32217968"/>
    <w:rsid w:val="323F4F6C"/>
    <w:rsid w:val="32432DA9"/>
    <w:rsid w:val="32474792"/>
    <w:rsid w:val="325E7967"/>
    <w:rsid w:val="32A0405F"/>
    <w:rsid w:val="32E2187B"/>
    <w:rsid w:val="32FE389F"/>
    <w:rsid w:val="33042538"/>
    <w:rsid w:val="330B76EF"/>
    <w:rsid w:val="33226E62"/>
    <w:rsid w:val="333053D4"/>
    <w:rsid w:val="333F2A00"/>
    <w:rsid w:val="33463A63"/>
    <w:rsid w:val="334F429F"/>
    <w:rsid w:val="33571934"/>
    <w:rsid w:val="335E43F8"/>
    <w:rsid w:val="33745910"/>
    <w:rsid w:val="338A6DD9"/>
    <w:rsid w:val="338B14E9"/>
    <w:rsid w:val="33A1247D"/>
    <w:rsid w:val="33A335DC"/>
    <w:rsid w:val="33C32EF0"/>
    <w:rsid w:val="33CF7CE6"/>
    <w:rsid w:val="33D910B6"/>
    <w:rsid w:val="33FC76B3"/>
    <w:rsid w:val="340136BF"/>
    <w:rsid w:val="34050C5E"/>
    <w:rsid w:val="34525525"/>
    <w:rsid w:val="345C0152"/>
    <w:rsid w:val="347F7212"/>
    <w:rsid w:val="34841269"/>
    <w:rsid w:val="348D1E4C"/>
    <w:rsid w:val="34A00986"/>
    <w:rsid w:val="34A27F2F"/>
    <w:rsid w:val="34A93E4E"/>
    <w:rsid w:val="34AF2977"/>
    <w:rsid w:val="34B9686E"/>
    <w:rsid w:val="34E645EB"/>
    <w:rsid w:val="34F21D20"/>
    <w:rsid w:val="34F256BC"/>
    <w:rsid w:val="35061822"/>
    <w:rsid w:val="35070DA0"/>
    <w:rsid w:val="351822E6"/>
    <w:rsid w:val="35197F73"/>
    <w:rsid w:val="351B1DBB"/>
    <w:rsid w:val="35226904"/>
    <w:rsid w:val="35271848"/>
    <w:rsid w:val="35332A85"/>
    <w:rsid w:val="358D0F0B"/>
    <w:rsid w:val="35977693"/>
    <w:rsid w:val="35AF13CE"/>
    <w:rsid w:val="35CC4F41"/>
    <w:rsid w:val="35DE76BA"/>
    <w:rsid w:val="35E3749B"/>
    <w:rsid w:val="35F703D1"/>
    <w:rsid w:val="36004458"/>
    <w:rsid w:val="360B1E2F"/>
    <w:rsid w:val="36284378"/>
    <w:rsid w:val="36375BD2"/>
    <w:rsid w:val="3639699D"/>
    <w:rsid w:val="36397BD2"/>
    <w:rsid w:val="363F0633"/>
    <w:rsid w:val="365C49CC"/>
    <w:rsid w:val="3684230E"/>
    <w:rsid w:val="36897924"/>
    <w:rsid w:val="368F6FC0"/>
    <w:rsid w:val="369A1E88"/>
    <w:rsid w:val="36AA5455"/>
    <w:rsid w:val="36E80ECA"/>
    <w:rsid w:val="36E8167B"/>
    <w:rsid w:val="37085E73"/>
    <w:rsid w:val="37212061"/>
    <w:rsid w:val="372B6808"/>
    <w:rsid w:val="372C4753"/>
    <w:rsid w:val="37384606"/>
    <w:rsid w:val="37441A9D"/>
    <w:rsid w:val="375A49EA"/>
    <w:rsid w:val="37743902"/>
    <w:rsid w:val="37A96352"/>
    <w:rsid w:val="37C54099"/>
    <w:rsid w:val="37DB26C9"/>
    <w:rsid w:val="37F2328A"/>
    <w:rsid w:val="380926AF"/>
    <w:rsid w:val="38370FEA"/>
    <w:rsid w:val="38431AED"/>
    <w:rsid w:val="38703E97"/>
    <w:rsid w:val="387A227B"/>
    <w:rsid w:val="387E0FDF"/>
    <w:rsid w:val="3882184F"/>
    <w:rsid w:val="38832151"/>
    <w:rsid w:val="38A55FDA"/>
    <w:rsid w:val="38A77444"/>
    <w:rsid w:val="38AF060F"/>
    <w:rsid w:val="38C27EC8"/>
    <w:rsid w:val="38C420A7"/>
    <w:rsid w:val="38D812D2"/>
    <w:rsid w:val="38FA7F86"/>
    <w:rsid w:val="39031C3A"/>
    <w:rsid w:val="390A218D"/>
    <w:rsid w:val="392A3862"/>
    <w:rsid w:val="393035D3"/>
    <w:rsid w:val="393D2C48"/>
    <w:rsid w:val="393D3B8F"/>
    <w:rsid w:val="39414964"/>
    <w:rsid w:val="396252C2"/>
    <w:rsid w:val="399E6C41"/>
    <w:rsid w:val="39A607ED"/>
    <w:rsid w:val="39A64349"/>
    <w:rsid w:val="39BA1BA2"/>
    <w:rsid w:val="39FA37C6"/>
    <w:rsid w:val="39FC15C5"/>
    <w:rsid w:val="39FF7EFD"/>
    <w:rsid w:val="3A022CDE"/>
    <w:rsid w:val="3A04597F"/>
    <w:rsid w:val="3A0533BB"/>
    <w:rsid w:val="3A215BB4"/>
    <w:rsid w:val="3A2505AB"/>
    <w:rsid w:val="3A3C6A5B"/>
    <w:rsid w:val="3A4144F3"/>
    <w:rsid w:val="3A5814C3"/>
    <w:rsid w:val="3A6B6969"/>
    <w:rsid w:val="3A761B81"/>
    <w:rsid w:val="3AA840F1"/>
    <w:rsid w:val="3AC51364"/>
    <w:rsid w:val="3AE01ADD"/>
    <w:rsid w:val="3AE81CB1"/>
    <w:rsid w:val="3AEA4709"/>
    <w:rsid w:val="3AF47DCC"/>
    <w:rsid w:val="3AF76748"/>
    <w:rsid w:val="3B022106"/>
    <w:rsid w:val="3B0A5207"/>
    <w:rsid w:val="3B102560"/>
    <w:rsid w:val="3B130C19"/>
    <w:rsid w:val="3B1F13A3"/>
    <w:rsid w:val="3B2C2093"/>
    <w:rsid w:val="3B2E16A9"/>
    <w:rsid w:val="3B48186C"/>
    <w:rsid w:val="3B4A7619"/>
    <w:rsid w:val="3B546CE5"/>
    <w:rsid w:val="3B6A1E5E"/>
    <w:rsid w:val="3B6B6389"/>
    <w:rsid w:val="3B6F2E3C"/>
    <w:rsid w:val="3B977E56"/>
    <w:rsid w:val="3BC66F24"/>
    <w:rsid w:val="3BD36CD0"/>
    <w:rsid w:val="3BE707CC"/>
    <w:rsid w:val="3BE817F1"/>
    <w:rsid w:val="3BE96EAC"/>
    <w:rsid w:val="3BFF1DAD"/>
    <w:rsid w:val="3C103373"/>
    <w:rsid w:val="3C1A101E"/>
    <w:rsid w:val="3C21415B"/>
    <w:rsid w:val="3C2921D2"/>
    <w:rsid w:val="3C2A5807"/>
    <w:rsid w:val="3C4130CC"/>
    <w:rsid w:val="3C425E1E"/>
    <w:rsid w:val="3C502942"/>
    <w:rsid w:val="3C596DDC"/>
    <w:rsid w:val="3CAF5C0A"/>
    <w:rsid w:val="3CBF321F"/>
    <w:rsid w:val="3CC11AA5"/>
    <w:rsid w:val="3CCF3BB7"/>
    <w:rsid w:val="3CE07B72"/>
    <w:rsid w:val="3CF42890"/>
    <w:rsid w:val="3D0451F0"/>
    <w:rsid w:val="3D084283"/>
    <w:rsid w:val="3D1141CF"/>
    <w:rsid w:val="3D132438"/>
    <w:rsid w:val="3D1908F2"/>
    <w:rsid w:val="3D282D29"/>
    <w:rsid w:val="3D3B2264"/>
    <w:rsid w:val="3D3C3BEE"/>
    <w:rsid w:val="3D507186"/>
    <w:rsid w:val="3D5807A3"/>
    <w:rsid w:val="3D6307DC"/>
    <w:rsid w:val="3D6A2266"/>
    <w:rsid w:val="3D833967"/>
    <w:rsid w:val="3D912D0A"/>
    <w:rsid w:val="3DAF6437"/>
    <w:rsid w:val="3DB37034"/>
    <w:rsid w:val="3DB66B25"/>
    <w:rsid w:val="3DC11A87"/>
    <w:rsid w:val="3DD43CB3"/>
    <w:rsid w:val="3DE94611"/>
    <w:rsid w:val="3DEB108B"/>
    <w:rsid w:val="3E0930F8"/>
    <w:rsid w:val="3E09759C"/>
    <w:rsid w:val="3E0D055A"/>
    <w:rsid w:val="3E0E070F"/>
    <w:rsid w:val="3E280DF1"/>
    <w:rsid w:val="3E2F5C06"/>
    <w:rsid w:val="3E3031FF"/>
    <w:rsid w:val="3E3A0996"/>
    <w:rsid w:val="3E3D2DA2"/>
    <w:rsid w:val="3E4D4155"/>
    <w:rsid w:val="3E595A08"/>
    <w:rsid w:val="3E67796F"/>
    <w:rsid w:val="3E7C0682"/>
    <w:rsid w:val="3E8D5DE3"/>
    <w:rsid w:val="3E973569"/>
    <w:rsid w:val="3EB95071"/>
    <w:rsid w:val="3ECB7550"/>
    <w:rsid w:val="3ED2798E"/>
    <w:rsid w:val="3EDA6843"/>
    <w:rsid w:val="3EDC03C1"/>
    <w:rsid w:val="3EE14075"/>
    <w:rsid w:val="3EEB3B99"/>
    <w:rsid w:val="3F137CE2"/>
    <w:rsid w:val="3F22398E"/>
    <w:rsid w:val="3F310B5F"/>
    <w:rsid w:val="3F3643C1"/>
    <w:rsid w:val="3F372243"/>
    <w:rsid w:val="3F3B7206"/>
    <w:rsid w:val="3F5D73B3"/>
    <w:rsid w:val="3F5E7FE3"/>
    <w:rsid w:val="3F6F51DD"/>
    <w:rsid w:val="3F760C61"/>
    <w:rsid w:val="3F9609BC"/>
    <w:rsid w:val="3FA73300"/>
    <w:rsid w:val="3FC8246F"/>
    <w:rsid w:val="3FE7406E"/>
    <w:rsid w:val="3FEA0D08"/>
    <w:rsid w:val="3FF05893"/>
    <w:rsid w:val="3FF22480"/>
    <w:rsid w:val="3FF25A89"/>
    <w:rsid w:val="40211B54"/>
    <w:rsid w:val="403C5749"/>
    <w:rsid w:val="403E637A"/>
    <w:rsid w:val="404623E2"/>
    <w:rsid w:val="4046666A"/>
    <w:rsid w:val="404B5C4A"/>
    <w:rsid w:val="40582115"/>
    <w:rsid w:val="406015E5"/>
    <w:rsid w:val="40630396"/>
    <w:rsid w:val="406E31DF"/>
    <w:rsid w:val="409619DD"/>
    <w:rsid w:val="40BE466E"/>
    <w:rsid w:val="40C229B8"/>
    <w:rsid w:val="40D317EF"/>
    <w:rsid w:val="40EA5571"/>
    <w:rsid w:val="40ED6D01"/>
    <w:rsid w:val="40F35A1F"/>
    <w:rsid w:val="410A340F"/>
    <w:rsid w:val="41312C16"/>
    <w:rsid w:val="41357297"/>
    <w:rsid w:val="413722F8"/>
    <w:rsid w:val="415212C7"/>
    <w:rsid w:val="4156440F"/>
    <w:rsid w:val="41845A77"/>
    <w:rsid w:val="41875525"/>
    <w:rsid w:val="4189114E"/>
    <w:rsid w:val="418C6B56"/>
    <w:rsid w:val="419324D3"/>
    <w:rsid w:val="419779D4"/>
    <w:rsid w:val="419E31E0"/>
    <w:rsid w:val="41A07ECD"/>
    <w:rsid w:val="41AD42BC"/>
    <w:rsid w:val="41C6592E"/>
    <w:rsid w:val="41D61543"/>
    <w:rsid w:val="41E754DB"/>
    <w:rsid w:val="41EE0F83"/>
    <w:rsid w:val="41F67391"/>
    <w:rsid w:val="4214183D"/>
    <w:rsid w:val="4215173E"/>
    <w:rsid w:val="421C710F"/>
    <w:rsid w:val="42267196"/>
    <w:rsid w:val="423111A5"/>
    <w:rsid w:val="42330A76"/>
    <w:rsid w:val="42343097"/>
    <w:rsid w:val="42403007"/>
    <w:rsid w:val="42536263"/>
    <w:rsid w:val="42593FBD"/>
    <w:rsid w:val="428529B3"/>
    <w:rsid w:val="4287290A"/>
    <w:rsid w:val="428B4190"/>
    <w:rsid w:val="42976F25"/>
    <w:rsid w:val="42AC77A4"/>
    <w:rsid w:val="42B65E61"/>
    <w:rsid w:val="42BC6182"/>
    <w:rsid w:val="42DB3358"/>
    <w:rsid w:val="42DC702D"/>
    <w:rsid w:val="42FC322C"/>
    <w:rsid w:val="430C617D"/>
    <w:rsid w:val="431171CA"/>
    <w:rsid w:val="43273F4E"/>
    <w:rsid w:val="432D7889"/>
    <w:rsid w:val="434240D9"/>
    <w:rsid w:val="43482915"/>
    <w:rsid w:val="434A0702"/>
    <w:rsid w:val="43613D3E"/>
    <w:rsid w:val="436626CE"/>
    <w:rsid w:val="439D4E0D"/>
    <w:rsid w:val="43BC1B1D"/>
    <w:rsid w:val="43C10301"/>
    <w:rsid w:val="43D93F00"/>
    <w:rsid w:val="43E00070"/>
    <w:rsid w:val="43E06D85"/>
    <w:rsid w:val="440525B4"/>
    <w:rsid w:val="44064E36"/>
    <w:rsid w:val="44167D0E"/>
    <w:rsid w:val="4454726B"/>
    <w:rsid w:val="446D0585"/>
    <w:rsid w:val="448453CD"/>
    <w:rsid w:val="4488791B"/>
    <w:rsid w:val="448B0D0B"/>
    <w:rsid w:val="44991EDC"/>
    <w:rsid w:val="44A66F4F"/>
    <w:rsid w:val="44AC08D6"/>
    <w:rsid w:val="44BC346D"/>
    <w:rsid w:val="44C62657"/>
    <w:rsid w:val="44D30C3F"/>
    <w:rsid w:val="44DF0A86"/>
    <w:rsid w:val="44FE5BA7"/>
    <w:rsid w:val="45121DDB"/>
    <w:rsid w:val="45270BE0"/>
    <w:rsid w:val="452C3B05"/>
    <w:rsid w:val="452D1EEB"/>
    <w:rsid w:val="4545625B"/>
    <w:rsid w:val="454B473F"/>
    <w:rsid w:val="4556583B"/>
    <w:rsid w:val="455C26A8"/>
    <w:rsid w:val="45800144"/>
    <w:rsid w:val="458319E2"/>
    <w:rsid w:val="459D348E"/>
    <w:rsid w:val="45C411B0"/>
    <w:rsid w:val="45C700B0"/>
    <w:rsid w:val="45C74A2E"/>
    <w:rsid w:val="45D1274E"/>
    <w:rsid w:val="45EC7D85"/>
    <w:rsid w:val="460402E6"/>
    <w:rsid w:val="463902F3"/>
    <w:rsid w:val="463A35CC"/>
    <w:rsid w:val="463C0001"/>
    <w:rsid w:val="464329B0"/>
    <w:rsid w:val="464623C7"/>
    <w:rsid w:val="464913A3"/>
    <w:rsid w:val="465F5D80"/>
    <w:rsid w:val="46670824"/>
    <w:rsid w:val="46837AAD"/>
    <w:rsid w:val="46840AB0"/>
    <w:rsid w:val="46A40139"/>
    <w:rsid w:val="46B5206F"/>
    <w:rsid w:val="46B9103D"/>
    <w:rsid w:val="46BB32F9"/>
    <w:rsid w:val="46D655C8"/>
    <w:rsid w:val="46DF70EC"/>
    <w:rsid w:val="470F65DA"/>
    <w:rsid w:val="47156510"/>
    <w:rsid w:val="47165E4E"/>
    <w:rsid w:val="471C20EE"/>
    <w:rsid w:val="47213261"/>
    <w:rsid w:val="4732546E"/>
    <w:rsid w:val="47613FA5"/>
    <w:rsid w:val="476416AD"/>
    <w:rsid w:val="478A5281"/>
    <w:rsid w:val="478F245B"/>
    <w:rsid w:val="47A224DB"/>
    <w:rsid w:val="47AC3C9F"/>
    <w:rsid w:val="47B10E0E"/>
    <w:rsid w:val="47B21E1A"/>
    <w:rsid w:val="47C51219"/>
    <w:rsid w:val="47C61DDB"/>
    <w:rsid w:val="47D10A4C"/>
    <w:rsid w:val="48000069"/>
    <w:rsid w:val="480F2BB8"/>
    <w:rsid w:val="481F34F1"/>
    <w:rsid w:val="482C6361"/>
    <w:rsid w:val="4835630B"/>
    <w:rsid w:val="483B65A4"/>
    <w:rsid w:val="48432DC1"/>
    <w:rsid w:val="4863041D"/>
    <w:rsid w:val="4880505A"/>
    <w:rsid w:val="48B6310F"/>
    <w:rsid w:val="48B72D62"/>
    <w:rsid w:val="48BF255C"/>
    <w:rsid w:val="48C77AED"/>
    <w:rsid w:val="48C8247E"/>
    <w:rsid w:val="48D923C7"/>
    <w:rsid w:val="48EA2B5B"/>
    <w:rsid w:val="48F6738E"/>
    <w:rsid w:val="48F755B9"/>
    <w:rsid w:val="49084082"/>
    <w:rsid w:val="490951D7"/>
    <w:rsid w:val="492271E9"/>
    <w:rsid w:val="493511A9"/>
    <w:rsid w:val="4938192A"/>
    <w:rsid w:val="49433FBF"/>
    <w:rsid w:val="49540EF9"/>
    <w:rsid w:val="495906E1"/>
    <w:rsid w:val="497E3A5E"/>
    <w:rsid w:val="497E3F0D"/>
    <w:rsid w:val="498C3945"/>
    <w:rsid w:val="498E5D4D"/>
    <w:rsid w:val="49A164A8"/>
    <w:rsid w:val="49A61CF4"/>
    <w:rsid w:val="49CA3943"/>
    <w:rsid w:val="49D82603"/>
    <w:rsid w:val="49E367E4"/>
    <w:rsid w:val="49FB3BDD"/>
    <w:rsid w:val="4A0250DD"/>
    <w:rsid w:val="4A266DE0"/>
    <w:rsid w:val="4A3239D7"/>
    <w:rsid w:val="4A3E1DFD"/>
    <w:rsid w:val="4A6F5702"/>
    <w:rsid w:val="4A7D10F6"/>
    <w:rsid w:val="4A8521B1"/>
    <w:rsid w:val="4A86186D"/>
    <w:rsid w:val="4AA04DE4"/>
    <w:rsid w:val="4ABC4FB6"/>
    <w:rsid w:val="4AC46A3A"/>
    <w:rsid w:val="4AC565F9"/>
    <w:rsid w:val="4AC56C5C"/>
    <w:rsid w:val="4AE97FCC"/>
    <w:rsid w:val="4AEC002A"/>
    <w:rsid w:val="4B056CFA"/>
    <w:rsid w:val="4B094738"/>
    <w:rsid w:val="4B0B4954"/>
    <w:rsid w:val="4B1D0DC0"/>
    <w:rsid w:val="4B1E117A"/>
    <w:rsid w:val="4B224D62"/>
    <w:rsid w:val="4B524F04"/>
    <w:rsid w:val="4B5856BF"/>
    <w:rsid w:val="4B6608CB"/>
    <w:rsid w:val="4B6745FE"/>
    <w:rsid w:val="4B6E6C91"/>
    <w:rsid w:val="4B702B99"/>
    <w:rsid w:val="4B8B4663"/>
    <w:rsid w:val="4BAE52DF"/>
    <w:rsid w:val="4BB234FB"/>
    <w:rsid w:val="4BBB4B6C"/>
    <w:rsid w:val="4BD064A3"/>
    <w:rsid w:val="4BD27749"/>
    <w:rsid w:val="4BE64E34"/>
    <w:rsid w:val="4C090918"/>
    <w:rsid w:val="4C115F9A"/>
    <w:rsid w:val="4C126C12"/>
    <w:rsid w:val="4C205BEE"/>
    <w:rsid w:val="4C3610C3"/>
    <w:rsid w:val="4C4A5008"/>
    <w:rsid w:val="4C58225C"/>
    <w:rsid w:val="4C62506F"/>
    <w:rsid w:val="4C65022D"/>
    <w:rsid w:val="4C7B5005"/>
    <w:rsid w:val="4C7F5A9B"/>
    <w:rsid w:val="4CD55219"/>
    <w:rsid w:val="4CD67068"/>
    <w:rsid w:val="4CE069C2"/>
    <w:rsid w:val="4CE220A3"/>
    <w:rsid w:val="4CEE0C69"/>
    <w:rsid w:val="4D0305B0"/>
    <w:rsid w:val="4D03307E"/>
    <w:rsid w:val="4D0F1DAD"/>
    <w:rsid w:val="4D15564E"/>
    <w:rsid w:val="4D275349"/>
    <w:rsid w:val="4D330192"/>
    <w:rsid w:val="4D3F61F8"/>
    <w:rsid w:val="4D4F51FE"/>
    <w:rsid w:val="4D507D0D"/>
    <w:rsid w:val="4D560AA4"/>
    <w:rsid w:val="4D5C1C0C"/>
    <w:rsid w:val="4D614D80"/>
    <w:rsid w:val="4D8363DF"/>
    <w:rsid w:val="4D8A0D00"/>
    <w:rsid w:val="4DCD3C0D"/>
    <w:rsid w:val="4DDB1D82"/>
    <w:rsid w:val="4DDD65AE"/>
    <w:rsid w:val="4E1E008E"/>
    <w:rsid w:val="4E286638"/>
    <w:rsid w:val="4E347D1E"/>
    <w:rsid w:val="4E3C47C9"/>
    <w:rsid w:val="4E3F727A"/>
    <w:rsid w:val="4E4A05B2"/>
    <w:rsid w:val="4E4D5283"/>
    <w:rsid w:val="4EAA4EA4"/>
    <w:rsid w:val="4EB40E5E"/>
    <w:rsid w:val="4EBF2218"/>
    <w:rsid w:val="4EC8490A"/>
    <w:rsid w:val="4ED35788"/>
    <w:rsid w:val="4EFE4947"/>
    <w:rsid w:val="4F1B334D"/>
    <w:rsid w:val="4F216F91"/>
    <w:rsid w:val="4F2C67E3"/>
    <w:rsid w:val="4F302BDB"/>
    <w:rsid w:val="4F336227"/>
    <w:rsid w:val="4F3B7EBF"/>
    <w:rsid w:val="4F4D346E"/>
    <w:rsid w:val="4F52422F"/>
    <w:rsid w:val="4F7F1595"/>
    <w:rsid w:val="4F8D1DDB"/>
    <w:rsid w:val="4F944685"/>
    <w:rsid w:val="4F952A3E"/>
    <w:rsid w:val="4FC76A56"/>
    <w:rsid w:val="4FD16190"/>
    <w:rsid w:val="4FDC066D"/>
    <w:rsid w:val="4FE910C3"/>
    <w:rsid w:val="4FFA0AF3"/>
    <w:rsid w:val="5017786A"/>
    <w:rsid w:val="501F46C7"/>
    <w:rsid w:val="501F67AB"/>
    <w:rsid w:val="50203954"/>
    <w:rsid w:val="50327120"/>
    <w:rsid w:val="50377A0F"/>
    <w:rsid w:val="503C1682"/>
    <w:rsid w:val="503E4C7D"/>
    <w:rsid w:val="504424DD"/>
    <w:rsid w:val="50501D1E"/>
    <w:rsid w:val="505A5A36"/>
    <w:rsid w:val="505C586D"/>
    <w:rsid w:val="50610782"/>
    <w:rsid w:val="506266B3"/>
    <w:rsid w:val="506707F7"/>
    <w:rsid w:val="506D3ED7"/>
    <w:rsid w:val="5079523B"/>
    <w:rsid w:val="507E52B8"/>
    <w:rsid w:val="50946C0C"/>
    <w:rsid w:val="5095013B"/>
    <w:rsid w:val="50A60A81"/>
    <w:rsid w:val="50B213CE"/>
    <w:rsid w:val="50B2284D"/>
    <w:rsid w:val="50BB4726"/>
    <w:rsid w:val="50DA1B83"/>
    <w:rsid w:val="50DB3F55"/>
    <w:rsid w:val="50FB388D"/>
    <w:rsid w:val="512513CA"/>
    <w:rsid w:val="513B5867"/>
    <w:rsid w:val="51401C9C"/>
    <w:rsid w:val="515D57DD"/>
    <w:rsid w:val="516B5167"/>
    <w:rsid w:val="517363F1"/>
    <w:rsid w:val="51840C19"/>
    <w:rsid w:val="51870F9A"/>
    <w:rsid w:val="51881DF7"/>
    <w:rsid w:val="51911325"/>
    <w:rsid w:val="519E3C21"/>
    <w:rsid w:val="519F1952"/>
    <w:rsid w:val="51B31E55"/>
    <w:rsid w:val="51D12986"/>
    <w:rsid w:val="51D84E64"/>
    <w:rsid w:val="51F35A34"/>
    <w:rsid w:val="52036DD7"/>
    <w:rsid w:val="520E00F8"/>
    <w:rsid w:val="520E3FA0"/>
    <w:rsid w:val="52151E80"/>
    <w:rsid w:val="521F16E2"/>
    <w:rsid w:val="52465B52"/>
    <w:rsid w:val="5254022A"/>
    <w:rsid w:val="52567130"/>
    <w:rsid w:val="52673C06"/>
    <w:rsid w:val="52770EFC"/>
    <w:rsid w:val="5279024A"/>
    <w:rsid w:val="528374C6"/>
    <w:rsid w:val="52923265"/>
    <w:rsid w:val="52A72A52"/>
    <w:rsid w:val="52E45554"/>
    <w:rsid w:val="52FA0195"/>
    <w:rsid w:val="53181C64"/>
    <w:rsid w:val="53240CCB"/>
    <w:rsid w:val="53641887"/>
    <w:rsid w:val="53944756"/>
    <w:rsid w:val="53A048F1"/>
    <w:rsid w:val="53AC35AD"/>
    <w:rsid w:val="53CA74E6"/>
    <w:rsid w:val="53D37FD9"/>
    <w:rsid w:val="53DE78D1"/>
    <w:rsid w:val="53E105BC"/>
    <w:rsid w:val="53EE27A0"/>
    <w:rsid w:val="53F602FB"/>
    <w:rsid w:val="53F80F26"/>
    <w:rsid w:val="540E2E08"/>
    <w:rsid w:val="54171FA5"/>
    <w:rsid w:val="542130AF"/>
    <w:rsid w:val="54266814"/>
    <w:rsid w:val="542E3461"/>
    <w:rsid w:val="543D36A4"/>
    <w:rsid w:val="544246B9"/>
    <w:rsid w:val="5447267E"/>
    <w:rsid w:val="54581A81"/>
    <w:rsid w:val="54612A79"/>
    <w:rsid w:val="54652D81"/>
    <w:rsid w:val="54662BFB"/>
    <w:rsid w:val="54934BD1"/>
    <w:rsid w:val="5495528E"/>
    <w:rsid w:val="549C661D"/>
    <w:rsid w:val="54AB3777"/>
    <w:rsid w:val="54AB4AB2"/>
    <w:rsid w:val="54C10CE6"/>
    <w:rsid w:val="54CE37EB"/>
    <w:rsid w:val="54D1274A"/>
    <w:rsid w:val="54D73AF9"/>
    <w:rsid w:val="54DF4875"/>
    <w:rsid w:val="54E426B1"/>
    <w:rsid w:val="54E45CF2"/>
    <w:rsid w:val="54E83610"/>
    <w:rsid w:val="54EA42A5"/>
    <w:rsid w:val="54F975CB"/>
    <w:rsid w:val="54FB139E"/>
    <w:rsid w:val="553B0A59"/>
    <w:rsid w:val="55436A98"/>
    <w:rsid w:val="554F4178"/>
    <w:rsid w:val="557B3610"/>
    <w:rsid w:val="557C6707"/>
    <w:rsid w:val="55A07084"/>
    <w:rsid w:val="55C027DF"/>
    <w:rsid w:val="55CE0A58"/>
    <w:rsid w:val="55CE5FA1"/>
    <w:rsid w:val="55D3478A"/>
    <w:rsid w:val="55DB36F0"/>
    <w:rsid w:val="55F84612"/>
    <w:rsid w:val="56116A28"/>
    <w:rsid w:val="5613179A"/>
    <w:rsid w:val="56256A8D"/>
    <w:rsid w:val="56270168"/>
    <w:rsid w:val="562F7AA7"/>
    <w:rsid w:val="56305B12"/>
    <w:rsid w:val="56325506"/>
    <w:rsid w:val="56327239"/>
    <w:rsid w:val="563357D9"/>
    <w:rsid w:val="564451BE"/>
    <w:rsid w:val="564832B2"/>
    <w:rsid w:val="565809C8"/>
    <w:rsid w:val="56596AC5"/>
    <w:rsid w:val="565C4147"/>
    <w:rsid w:val="5685512C"/>
    <w:rsid w:val="568C4703"/>
    <w:rsid w:val="569E74BF"/>
    <w:rsid w:val="56A874FB"/>
    <w:rsid w:val="56AD4B11"/>
    <w:rsid w:val="56B12417"/>
    <w:rsid w:val="56B75990"/>
    <w:rsid w:val="56C244E7"/>
    <w:rsid w:val="56D23BB1"/>
    <w:rsid w:val="56E10C5F"/>
    <w:rsid w:val="56E83D9B"/>
    <w:rsid w:val="56EA715F"/>
    <w:rsid w:val="56F276D1"/>
    <w:rsid w:val="56FA587C"/>
    <w:rsid w:val="57015F4B"/>
    <w:rsid w:val="5706129E"/>
    <w:rsid w:val="571312D1"/>
    <w:rsid w:val="572A6162"/>
    <w:rsid w:val="575516E1"/>
    <w:rsid w:val="575E3EE9"/>
    <w:rsid w:val="57841EF1"/>
    <w:rsid w:val="57866C88"/>
    <w:rsid w:val="57B45FDD"/>
    <w:rsid w:val="57CC7219"/>
    <w:rsid w:val="57FD0622"/>
    <w:rsid w:val="580A2195"/>
    <w:rsid w:val="580E10EC"/>
    <w:rsid w:val="583D4704"/>
    <w:rsid w:val="58421289"/>
    <w:rsid w:val="584E692F"/>
    <w:rsid w:val="58575408"/>
    <w:rsid w:val="585A6483"/>
    <w:rsid w:val="58694A68"/>
    <w:rsid w:val="587A1E4E"/>
    <w:rsid w:val="587D77FC"/>
    <w:rsid w:val="58AA371B"/>
    <w:rsid w:val="58AD2E16"/>
    <w:rsid w:val="58CC3EF5"/>
    <w:rsid w:val="58D02436"/>
    <w:rsid w:val="58DE502E"/>
    <w:rsid w:val="58E20AFD"/>
    <w:rsid w:val="58F178E2"/>
    <w:rsid w:val="59085E60"/>
    <w:rsid w:val="590B7941"/>
    <w:rsid w:val="591A0145"/>
    <w:rsid w:val="591A4790"/>
    <w:rsid w:val="591E375B"/>
    <w:rsid w:val="59377F93"/>
    <w:rsid w:val="59446045"/>
    <w:rsid w:val="594667C6"/>
    <w:rsid w:val="595B0F1B"/>
    <w:rsid w:val="596603B4"/>
    <w:rsid w:val="59701E26"/>
    <w:rsid w:val="597D4EA5"/>
    <w:rsid w:val="5984098A"/>
    <w:rsid w:val="59874531"/>
    <w:rsid w:val="599A469C"/>
    <w:rsid w:val="59A54AB1"/>
    <w:rsid w:val="59B05959"/>
    <w:rsid w:val="59B40B50"/>
    <w:rsid w:val="59B7220B"/>
    <w:rsid w:val="59E940B2"/>
    <w:rsid w:val="5A00384F"/>
    <w:rsid w:val="5A137381"/>
    <w:rsid w:val="5A265B01"/>
    <w:rsid w:val="5A3B6D20"/>
    <w:rsid w:val="5A5A5B18"/>
    <w:rsid w:val="5A630F53"/>
    <w:rsid w:val="5A7616BE"/>
    <w:rsid w:val="5A825E57"/>
    <w:rsid w:val="5A8A7CF1"/>
    <w:rsid w:val="5A9D6F8E"/>
    <w:rsid w:val="5AB75F5E"/>
    <w:rsid w:val="5AC468CD"/>
    <w:rsid w:val="5AD308BE"/>
    <w:rsid w:val="5AD85A9C"/>
    <w:rsid w:val="5AEC0EC4"/>
    <w:rsid w:val="5AEE56F8"/>
    <w:rsid w:val="5AF20E4A"/>
    <w:rsid w:val="5B0145B3"/>
    <w:rsid w:val="5B0E7B48"/>
    <w:rsid w:val="5B162266"/>
    <w:rsid w:val="5B3C6463"/>
    <w:rsid w:val="5B433C96"/>
    <w:rsid w:val="5B4932C7"/>
    <w:rsid w:val="5B6E38C3"/>
    <w:rsid w:val="5B727555"/>
    <w:rsid w:val="5B823A92"/>
    <w:rsid w:val="5B8B775D"/>
    <w:rsid w:val="5B982641"/>
    <w:rsid w:val="5BA1276A"/>
    <w:rsid w:val="5BA936EC"/>
    <w:rsid w:val="5BAA6E4B"/>
    <w:rsid w:val="5BB458B2"/>
    <w:rsid w:val="5BE663CF"/>
    <w:rsid w:val="5BEF1808"/>
    <w:rsid w:val="5C125416"/>
    <w:rsid w:val="5C207B33"/>
    <w:rsid w:val="5C235D33"/>
    <w:rsid w:val="5C2B6B98"/>
    <w:rsid w:val="5C3E2B00"/>
    <w:rsid w:val="5C4D7E8D"/>
    <w:rsid w:val="5C71038F"/>
    <w:rsid w:val="5C7F429B"/>
    <w:rsid w:val="5C8E61FD"/>
    <w:rsid w:val="5C9A0F5A"/>
    <w:rsid w:val="5C9E53A9"/>
    <w:rsid w:val="5C9F4EFC"/>
    <w:rsid w:val="5CAC3AB5"/>
    <w:rsid w:val="5CC446CC"/>
    <w:rsid w:val="5CCB1AB4"/>
    <w:rsid w:val="5CD450A0"/>
    <w:rsid w:val="5CE04602"/>
    <w:rsid w:val="5CE65588"/>
    <w:rsid w:val="5D041015"/>
    <w:rsid w:val="5D092EF2"/>
    <w:rsid w:val="5D0B2591"/>
    <w:rsid w:val="5D133138"/>
    <w:rsid w:val="5D18463B"/>
    <w:rsid w:val="5D246CC2"/>
    <w:rsid w:val="5D312DE1"/>
    <w:rsid w:val="5D5E6B65"/>
    <w:rsid w:val="5D683540"/>
    <w:rsid w:val="5D6B24D1"/>
    <w:rsid w:val="5D6F1A84"/>
    <w:rsid w:val="5D9B2F2D"/>
    <w:rsid w:val="5D9E6F62"/>
    <w:rsid w:val="5DAB0242"/>
    <w:rsid w:val="5DBD0D8C"/>
    <w:rsid w:val="5DC06671"/>
    <w:rsid w:val="5DC44F64"/>
    <w:rsid w:val="5DF179D9"/>
    <w:rsid w:val="5E2533F7"/>
    <w:rsid w:val="5E2579DF"/>
    <w:rsid w:val="5E275B1D"/>
    <w:rsid w:val="5E28728D"/>
    <w:rsid w:val="5E301D99"/>
    <w:rsid w:val="5E3A177D"/>
    <w:rsid w:val="5E3F62FE"/>
    <w:rsid w:val="5E59732C"/>
    <w:rsid w:val="5E8720EC"/>
    <w:rsid w:val="5E896574"/>
    <w:rsid w:val="5E912F6A"/>
    <w:rsid w:val="5E942BAA"/>
    <w:rsid w:val="5EB01D78"/>
    <w:rsid w:val="5EB37341"/>
    <w:rsid w:val="5EB9482A"/>
    <w:rsid w:val="5ECA3D86"/>
    <w:rsid w:val="5ED24069"/>
    <w:rsid w:val="5ED331BB"/>
    <w:rsid w:val="5EDB7F65"/>
    <w:rsid w:val="5EE31D84"/>
    <w:rsid w:val="5EEB267A"/>
    <w:rsid w:val="5EEC3D30"/>
    <w:rsid w:val="5EEC6CC0"/>
    <w:rsid w:val="5F13717F"/>
    <w:rsid w:val="5F2913F5"/>
    <w:rsid w:val="5F2C59E8"/>
    <w:rsid w:val="5F405D08"/>
    <w:rsid w:val="5F730A40"/>
    <w:rsid w:val="5F7B4619"/>
    <w:rsid w:val="5F8946F3"/>
    <w:rsid w:val="5F9E593F"/>
    <w:rsid w:val="5FBE1B3D"/>
    <w:rsid w:val="5FC13604"/>
    <w:rsid w:val="5FC627A0"/>
    <w:rsid w:val="5FEF38C7"/>
    <w:rsid w:val="6004304F"/>
    <w:rsid w:val="60151C26"/>
    <w:rsid w:val="60152A39"/>
    <w:rsid w:val="604262E9"/>
    <w:rsid w:val="60496C09"/>
    <w:rsid w:val="604D25F0"/>
    <w:rsid w:val="60526130"/>
    <w:rsid w:val="60766BD7"/>
    <w:rsid w:val="60786395"/>
    <w:rsid w:val="607C268E"/>
    <w:rsid w:val="60922BEA"/>
    <w:rsid w:val="609907A5"/>
    <w:rsid w:val="609D5BF6"/>
    <w:rsid w:val="60B847DE"/>
    <w:rsid w:val="60C24AB5"/>
    <w:rsid w:val="60CC4F7B"/>
    <w:rsid w:val="60D417C7"/>
    <w:rsid w:val="60DD5FF3"/>
    <w:rsid w:val="60F63558"/>
    <w:rsid w:val="61006F21"/>
    <w:rsid w:val="61073B91"/>
    <w:rsid w:val="61120671"/>
    <w:rsid w:val="611B44C2"/>
    <w:rsid w:val="61232AE7"/>
    <w:rsid w:val="61282722"/>
    <w:rsid w:val="612B63A9"/>
    <w:rsid w:val="612E2CF2"/>
    <w:rsid w:val="613D2F35"/>
    <w:rsid w:val="6141718C"/>
    <w:rsid w:val="61433C74"/>
    <w:rsid w:val="614D48C2"/>
    <w:rsid w:val="61682ED0"/>
    <w:rsid w:val="616964DC"/>
    <w:rsid w:val="616C13D1"/>
    <w:rsid w:val="61804119"/>
    <w:rsid w:val="618157BC"/>
    <w:rsid w:val="61920E5E"/>
    <w:rsid w:val="61BA1A8A"/>
    <w:rsid w:val="61BD7BD2"/>
    <w:rsid w:val="61C03014"/>
    <w:rsid w:val="61C22258"/>
    <w:rsid w:val="61C80A51"/>
    <w:rsid w:val="61FD5DEE"/>
    <w:rsid w:val="621C17BD"/>
    <w:rsid w:val="62440670"/>
    <w:rsid w:val="62480208"/>
    <w:rsid w:val="62683CAE"/>
    <w:rsid w:val="62A72D5C"/>
    <w:rsid w:val="62CD4296"/>
    <w:rsid w:val="62E33669"/>
    <w:rsid w:val="62E4089D"/>
    <w:rsid w:val="62F34A15"/>
    <w:rsid w:val="63001992"/>
    <w:rsid w:val="631A16A8"/>
    <w:rsid w:val="631B619C"/>
    <w:rsid w:val="631D6A6F"/>
    <w:rsid w:val="632510FC"/>
    <w:rsid w:val="63251ED3"/>
    <w:rsid w:val="634B1F48"/>
    <w:rsid w:val="634C2248"/>
    <w:rsid w:val="635A1B7D"/>
    <w:rsid w:val="63691152"/>
    <w:rsid w:val="638530F0"/>
    <w:rsid w:val="638C3C94"/>
    <w:rsid w:val="639366A2"/>
    <w:rsid w:val="63A31776"/>
    <w:rsid w:val="63AC739C"/>
    <w:rsid w:val="63BA6ABF"/>
    <w:rsid w:val="63CA7174"/>
    <w:rsid w:val="63E17D6C"/>
    <w:rsid w:val="64034960"/>
    <w:rsid w:val="643859C1"/>
    <w:rsid w:val="64432611"/>
    <w:rsid w:val="64520EFB"/>
    <w:rsid w:val="64597892"/>
    <w:rsid w:val="64713622"/>
    <w:rsid w:val="647A1F5D"/>
    <w:rsid w:val="6481672D"/>
    <w:rsid w:val="649B069F"/>
    <w:rsid w:val="64A43EA1"/>
    <w:rsid w:val="64B5421B"/>
    <w:rsid w:val="64BE2594"/>
    <w:rsid w:val="651F47B6"/>
    <w:rsid w:val="652E11F0"/>
    <w:rsid w:val="653426AD"/>
    <w:rsid w:val="65534AD5"/>
    <w:rsid w:val="65632278"/>
    <w:rsid w:val="656A1E1F"/>
    <w:rsid w:val="65754CFD"/>
    <w:rsid w:val="657A02B4"/>
    <w:rsid w:val="657A3C29"/>
    <w:rsid w:val="65A215B9"/>
    <w:rsid w:val="65BB267B"/>
    <w:rsid w:val="65C71020"/>
    <w:rsid w:val="65D13050"/>
    <w:rsid w:val="65D5198E"/>
    <w:rsid w:val="65D57BE0"/>
    <w:rsid w:val="65EC11CA"/>
    <w:rsid w:val="660A5ADC"/>
    <w:rsid w:val="66100C18"/>
    <w:rsid w:val="661E1452"/>
    <w:rsid w:val="66216982"/>
    <w:rsid w:val="6636534B"/>
    <w:rsid w:val="6639016F"/>
    <w:rsid w:val="66423D7D"/>
    <w:rsid w:val="6659436D"/>
    <w:rsid w:val="665E16AE"/>
    <w:rsid w:val="666213D7"/>
    <w:rsid w:val="66624557"/>
    <w:rsid w:val="66644DDA"/>
    <w:rsid w:val="66734CD3"/>
    <w:rsid w:val="66763171"/>
    <w:rsid w:val="667B06C7"/>
    <w:rsid w:val="66962876"/>
    <w:rsid w:val="66C66FD4"/>
    <w:rsid w:val="66C8504F"/>
    <w:rsid w:val="66F97F7F"/>
    <w:rsid w:val="66FE53C0"/>
    <w:rsid w:val="67137DA5"/>
    <w:rsid w:val="67310E46"/>
    <w:rsid w:val="673450C6"/>
    <w:rsid w:val="673E12EC"/>
    <w:rsid w:val="67607929"/>
    <w:rsid w:val="67850025"/>
    <w:rsid w:val="6789458E"/>
    <w:rsid w:val="678A42C0"/>
    <w:rsid w:val="678C0773"/>
    <w:rsid w:val="678C6FED"/>
    <w:rsid w:val="67A07D7A"/>
    <w:rsid w:val="67AC0BB1"/>
    <w:rsid w:val="67C15C5B"/>
    <w:rsid w:val="67C62E5E"/>
    <w:rsid w:val="67CA2976"/>
    <w:rsid w:val="67D21C1E"/>
    <w:rsid w:val="67D41D14"/>
    <w:rsid w:val="67D43B66"/>
    <w:rsid w:val="67D619EE"/>
    <w:rsid w:val="67D73259"/>
    <w:rsid w:val="67E57681"/>
    <w:rsid w:val="67EB2D8A"/>
    <w:rsid w:val="67FB05C1"/>
    <w:rsid w:val="68071BA7"/>
    <w:rsid w:val="680B538A"/>
    <w:rsid w:val="681A7F11"/>
    <w:rsid w:val="681B7611"/>
    <w:rsid w:val="682415D2"/>
    <w:rsid w:val="684841AB"/>
    <w:rsid w:val="685748DD"/>
    <w:rsid w:val="687C115E"/>
    <w:rsid w:val="689F0032"/>
    <w:rsid w:val="68AE5CB9"/>
    <w:rsid w:val="68B522BA"/>
    <w:rsid w:val="68B62204"/>
    <w:rsid w:val="68CD28DE"/>
    <w:rsid w:val="68E50ABA"/>
    <w:rsid w:val="68EB7B8D"/>
    <w:rsid w:val="68F57175"/>
    <w:rsid w:val="69021811"/>
    <w:rsid w:val="690600B1"/>
    <w:rsid w:val="690E7995"/>
    <w:rsid w:val="69154DAB"/>
    <w:rsid w:val="691F619D"/>
    <w:rsid w:val="69241999"/>
    <w:rsid w:val="69405EF9"/>
    <w:rsid w:val="694A759D"/>
    <w:rsid w:val="69692B1A"/>
    <w:rsid w:val="69801CC3"/>
    <w:rsid w:val="69B875FD"/>
    <w:rsid w:val="69DD207F"/>
    <w:rsid w:val="69F90537"/>
    <w:rsid w:val="69FC5C4E"/>
    <w:rsid w:val="6A1432CD"/>
    <w:rsid w:val="6A23139D"/>
    <w:rsid w:val="6A322D64"/>
    <w:rsid w:val="6A3B58F4"/>
    <w:rsid w:val="6A3F46DB"/>
    <w:rsid w:val="6A433C3C"/>
    <w:rsid w:val="6A5B0290"/>
    <w:rsid w:val="6A5C4584"/>
    <w:rsid w:val="6A635A56"/>
    <w:rsid w:val="6A71363A"/>
    <w:rsid w:val="6A81273A"/>
    <w:rsid w:val="6AA302AD"/>
    <w:rsid w:val="6AD40467"/>
    <w:rsid w:val="6AD93891"/>
    <w:rsid w:val="6AED127A"/>
    <w:rsid w:val="6AF70AA7"/>
    <w:rsid w:val="6B080A91"/>
    <w:rsid w:val="6B155D49"/>
    <w:rsid w:val="6B1F7220"/>
    <w:rsid w:val="6B3B2294"/>
    <w:rsid w:val="6B4355EC"/>
    <w:rsid w:val="6B615266"/>
    <w:rsid w:val="6B6F4633"/>
    <w:rsid w:val="6B711108"/>
    <w:rsid w:val="6B792DBC"/>
    <w:rsid w:val="6B8A58FA"/>
    <w:rsid w:val="6B8B6F79"/>
    <w:rsid w:val="6B910106"/>
    <w:rsid w:val="6BBE51DA"/>
    <w:rsid w:val="6BFA214F"/>
    <w:rsid w:val="6C065035"/>
    <w:rsid w:val="6C0E6BEE"/>
    <w:rsid w:val="6C47560C"/>
    <w:rsid w:val="6C507B7D"/>
    <w:rsid w:val="6C5222E4"/>
    <w:rsid w:val="6C586513"/>
    <w:rsid w:val="6C6B09EF"/>
    <w:rsid w:val="6C733CAF"/>
    <w:rsid w:val="6C785B06"/>
    <w:rsid w:val="6C9117EF"/>
    <w:rsid w:val="6CA31CA8"/>
    <w:rsid w:val="6CA43E69"/>
    <w:rsid w:val="6CA73C22"/>
    <w:rsid w:val="6CAA5835"/>
    <w:rsid w:val="6CC45EA3"/>
    <w:rsid w:val="6CDB5FB8"/>
    <w:rsid w:val="6CE92E24"/>
    <w:rsid w:val="6CF4628B"/>
    <w:rsid w:val="6CFE7A1D"/>
    <w:rsid w:val="6D1E00BF"/>
    <w:rsid w:val="6D1E38D6"/>
    <w:rsid w:val="6D266F73"/>
    <w:rsid w:val="6D277236"/>
    <w:rsid w:val="6D2C6968"/>
    <w:rsid w:val="6D3276C6"/>
    <w:rsid w:val="6D444A97"/>
    <w:rsid w:val="6D560745"/>
    <w:rsid w:val="6D65184A"/>
    <w:rsid w:val="6DA658E4"/>
    <w:rsid w:val="6DB4700E"/>
    <w:rsid w:val="6DD214C2"/>
    <w:rsid w:val="6DD8201C"/>
    <w:rsid w:val="6DE309C1"/>
    <w:rsid w:val="6DF75769"/>
    <w:rsid w:val="6DF826BE"/>
    <w:rsid w:val="6DFC544A"/>
    <w:rsid w:val="6E101BEA"/>
    <w:rsid w:val="6E2C680B"/>
    <w:rsid w:val="6E2E60E0"/>
    <w:rsid w:val="6E3306A9"/>
    <w:rsid w:val="6E3A408D"/>
    <w:rsid w:val="6E4370BE"/>
    <w:rsid w:val="6E47697D"/>
    <w:rsid w:val="6E55366C"/>
    <w:rsid w:val="6E6B0C7C"/>
    <w:rsid w:val="6E90563A"/>
    <w:rsid w:val="6E93207D"/>
    <w:rsid w:val="6E964D33"/>
    <w:rsid w:val="6E9653B7"/>
    <w:rsid w:val="6EB14AE8"/>
    <w:rsid w:val="6ECF78C3"/>
    <w:rsid w:val="6EE113A4"/>
    <w:rsid w:val="6EF67A7E"/>
    <w:rsid w:val="6EFA7911"/>
    <w:rsid w:val="6F082DD5"/>
    <w:rsid w:val="6F0A722A"/>
    <w:rsid w:val="6F275D3C"/>
    <w:rsid w:val="6F302529"/>
    <w:rsid w:val="6F312142"/>
    <w:rsid w:val="6F3E7E0E"/>
    <w:rsid w:val="6F442842"/>
    <w:rsid w:val="6F5F04CD"/>
    <w:rsid w:val="6F617837"/>
    <w:rsid w:val="6F6D4D0C"/>
    <w:rsid w:val="6F6E0BE2"/>
    <w:rsid w:val="6F887A72"/>
    <w:rsid w:val="6F935FB9"/>
    <w:rsid w:val="6F9F4444"/>
    <w:rsid w:val="6FA06B69"/>
    <w:rsid w:val="6FAB748D"/>
    <w:rsid w:val="6FAC7C04"/>
    <w:rsid w:val="6FAD1EDF"/>
    <w:rsid w:val="6FB468DA"/>
    <w:rsid w:val="6FB62831"/>
    <w:rsid w:val="6FCE5601"/>
    <w:rsid w:val="6FE624D7"/>
    <w:rsid w:val="6FEC1735"/>
    <w:rsid w:val="6FF80CD8"/>
    <w:rsid w:val="700B0F6B"/>
    <w:rsid w:val="701156D5"/>
    <w:rsid w:val="701C4E8F"/>
    <w:rsid w:val="702C2AF3"/>
    <w:rsid w:val="704B532C"/>
    <w:rsid w:val="704B68A8"/>
    <w:rsid w:val="704D3186"/>
    <w:rsid w:val="70552A5D"/>
    <w:rsid w:val="7064228D"/>
    <w:rsid w:val="706C7393"/>
    <w:rsid w:val="709656FC"/>
    <w:rsid w:val="70A1528F"/>
    <w:rsid w:val="70A3390E"/>
    <w:rsid w:val="70B301F7"/>
    <w:rsid w:val="70D73423"/>
    <w:rsid w:val="70E47999"/>
    <w:rsid w:val="70EC5B85"/>
    <w:rsid w:val="70EF2C4D"/>
    <w:rsid w:val="70F73101"/>
    <w:rsid w:val="70FF5F53"/>
    <w:rsid w:val="71124DE0"/>
    <w:rsid w:val="711803F8"/>
    <w:rsid w:val="711E19C0"/>
    <w:rsid w:val="712B2DAA"/>
    <w:rsid w:val="71424EE9"/>
    <w:rsid w:val="71467BE4"/>
    <w:rsid w:val="714D47BD"/>
    <w:rsid w:val="71666EEB"/>
    <w:rsid w:val="716A072B"/>
    <w:rsid w:val="71791BE3"/>
    <w:rsid w:val="71853159"/>
    <w:rsid w:val="71C3242B"/>
    <w:rsid w:val="71C95AD9"/>
    <w:rsid w:val="71D06A9E"/>
    <w:rsid w:val="71ED0519"/>
    <w:rsid w:val="722043AE"/>
    <w:rsid w:val="72241F34"/>
    <w:rsid w:val="7227300F"/>
    <w:rsid w:val="726B688F"/>
    <w:rsid w:val="7273119F"/>
    <w:rsid w:val="729B5F95"/>
    <w:rsid w:val="72A557D8"/>
    <w:rsid w:val="72BB05F6"/>
    <w:rsid w:val="72C60FDD"/>
    <w:rsid w:val="72C62D8B"/>
    <w:rsid w:val="72CC516E"/>
    <w:rsid w:val="72F571CC"/>
    <w:rsid w:val="72F64020"/>
    <w:rsid w:val="72FA7E9C"/>
    <w:rsid w:val="733221CE"/>
    <w:rsid w:val="73460127"/>
    <w:rsid w:val="734737A0"/>
    <w:rsid w:val="73571C35"/>
    <w:rsid w:val="735E4456"/>
    <w:rsid w:val="736D7FC9"/>
    <w:rsid w:val="737E4A23"/>
    <w:rsid w:val="73880603"/>
    <w:rsid w:val="738C32BA"/>
    <w:rsid w:val="738D5741"/>
    <w:rsid w:val="739249D1"/>
    <w:rsid w:val="739D2B7E"/>
    <w:rsid w:val="73A67A5C"/>
    <w:rsid w:val="73AC62EB"/>
    <w:rsid w:val="73D05340"/>
    <w:rsid w:val="73DE31E9"/>
    <w:rsid w:val="73EB27A2"/>
    <w:rsid w:val="740873D3"/>
    <w:rsid w:val="741D62EA"/>
    <w:rsid w:val="74290A16"/>
    <w:rsid w:val="742D57C5"/>
    <w:rsid w:val="74436BC6"/>
    <w:rsid w:val="74522295"/>
    <w:rsid w:val="7455221C"/>
    <w:rsid w:val="74570F82"/>
    <w:rsid w:val="7465738E"/>
    <w:rsid w:val="74680DA0"/>
    <w:rsid w:val="746B16A7"/>
    <w:rsid w:val="74795BDB"/>
    <w:rsid w:val="749403C3"/>
    <w:rsid w:val="74947D21"/>
    <w:rsid w:val="74AB73CE"/>
    <w:rsid w:val="74B3793B"/>
    <w:rsid w:val="74B650F9"/>
    <w:rsid w:val="74BA691F"/>
    <w:rsid w:val="74DD408E"/>
    <w:rsid w:val="74F51705"/>
    <w:rsid w:val="750C3FBA"/>
    <w:rsid w:val="750E2E16"/>
    <w:rsid w:val="75121B9E"/>
    <w:rsid w:val="75202D61"/>
    <w:rsid w:val="75287D2D"/>
    <w:rsid w:val="752D77E0"/>
    <w:rsid w:val="752F7A80"/>
    <w:rsid w:val="753642FD"/>
    <w:rsid w:val="754A36B0"/>
    <w:rsid w:val="754E52B9"/>
    <w:rsid w:val="754F7A7C"/>
    <w:rsid w:val="7552110D"/>
    <w:rsid w:val="758525F4"/>
    <w:rsid w:val="75930F1E"/>
    <w:rsid w:val="759869DC"/>
    <w:rsid w:val="75B06567"/>
    <w:rsid w:val="75C25445"/>
    <w:rsid w:val="75D37451"/>
    <w:rsid w:val="75F37DA1"/>
    <w:rsid w:val="760A561E"/>
    <w:rsid w:val="762F6E99"/>
    <w:rsid w:val="76324781"/>
    <w:rsid w:val="763E1D63"/>
    <w:rsid w:val="7657019E"/>
    <w:rsid w:val="765927F0"/>
    <w:rsid w:val="766922B8"/>
    <w:rsid w:val="767460C0"/>
    <w:rsid w:val="76764668"/>
    <w:rsid w:val="767720DB"/>
    <w:rsid w:val="767863DD"/>
    <w:rsid w:val="767A4FF2"/>
    <w:rsid w:val="76810F32"/>
    <w:rsid w:val="76857BC9"/>
    <w:rsid w:val="769C5570"/>
    <w:rsid w:val="76A96C4B"/>
    <w:rsid w:val="76AA2BB2"/>
    <w:rsid w:val="76D37824"/>
    <w:rsid w:val="76D81EFD"/>
    <w:rsid w:val="76DC19D4"/>
    <w:rsid w:val="76EC6B38"/>
    <w:rsid w:val="76EE4178"/>
    <w:rsid w:val="76F60C7B"/>
    <w:rsid w:val="771931F3"/>
    <w:rsid w:val="77400991"/>
    <w:rsid w:val="77440722"/>
    <w:rsid w:val="77560E43"/>
    <w:rsid w:val="776711C0"/>
    <w:rsid w:val="77756B2D"/>
    <w:rsid w:val="777D6F6E"/>
    <w:rsid w:val="777F348A"/>
    <w:rsid w:val="77AC464A"/>
    <w:rsid w:val="77C7270E"/>
    <w:rsid w:val="77CE5C47"/>
    <w:rsid w:val="77D00208"/>
    <w:rsid w:val="77D76725"/>
    <w:rsid w:val="77E617D9"/>
    <w:rsid w:val="77F46478"/>
    <w:rsid w:val="77F75794"/>
    <w:rsid w:val="781470B9"/>
    <w:rsid w:val="78237BA7"/>
    <w:rsid w:val="78251182"/>
    <w:rsid w:val="78262C7E"/>
    <w:rsid w:val="78393FFF"/>
    <w:rsid w:val="784529A4"/>
    <w:rsid w:val="78486EF5"/>
    <w:rsid w:val="785E2CA7"/>
    <w:rsid w:val="78615364"/>
    <w:rsid w:val="786E1FD9"/>
    <w:rsid w:val="788214B7"/>
    <w:rsid w:val="78993D90"/>
    <w:rsid w:val="7899684C"/>
    <w:rsid w:val="78A206CD"/>
    <w:rsid w:val="790D13B8"/>
    <w:rsid w:val="790E1ADB"/>
    <w:rsid w:val="79104293"/>
    <w:rsid w:val="79115553"/>
    <w:rsid w:val="793A080B"/>
    <w:rsid w:val="79420F92"/>
    <w:rsid w:val="794762A8"/>
    <w:rsid w:val="7967694A"/>
    <w:rsid w:val="79794B16"/>
    <w:rsid w:val="798C63B0"/>
    <w:rsid w:val="79905EA0"/>
    <w:rsid w:val="799A0A65"/>
    <w:rsid w:val="79A71C89"/>
    <w:rsid w:val="79B0142C"/>
    <w:rsid w:val="79B42F8A"/>
    <w:rsid w:val="79DF5FDC"/>
    <w:rsid w:val="79E83A36"/>
    <w:rsid w:val="79FC1F6F"/>
    <w:rsid w:val="7A212F9C"/>
    <w:rsid w:val="7A424717"/>
    <w:rsid w:val="7A526DB4"/>
    <w:rsid w:val="7A725FAC"/>
    <w:rsid w:val="7A88301C"/>
    <w:rsid w:val="7A8C11C8"/>
    <w:rsid w:val="7A923E9A"/>
    <w:rsid w:val="7A955326"/>
    <w:rsid w:val="7A9B325C"/>
    <w:rsid w:val="7AB32DE3"/>
    <w:rsid w:val="7ABC2839"/>
    <w:rsid w:val="7AE273F7"/>
    <w:rsid w:val="7B1B00F9"/>
    <w:rsid w:val="7B4909FD"/>
    <w:rsid w:val="7B4C0DCA"/>
    <w:rsid w:val="7B4C5743"/>
    <w:rsid w:val="7B4C5DF7"/>
    <w:rsid w:val="7B5D4DA1"/>
    <w:rsid w:val="7B795404"/>
    <w:rsid w:val="7B825CBD"/>
    <w:rsid w:val="7B825F93"/>
    <w:rsid w:val="7BAC2D3A"/>
    <w:rsid w:val="7BCE2CB0"/>
    <w:rsid w:val="7BDB03EF"/>
    <w:rsid w:val="7BF30D6C"/>
    <w:rsid w:val="7C06244A"/>
    <w:rsid w:val="7C0E7635"/>
    <w:rsid w:val="7C112C8B"/>
    <w:rsid w:val="7C1A3CF7"/>
    <w:rsid w:val="7C1B29BB"/>
    <w:rsid w:val="7C1F350C"/>
    <w:rsid w:val="7C206FD7"/>
    <w:rsid w:val="7C2F21C4"/>
    <w:rsid w:val="7C3849F3"/>
    <w:rsid w:val="7C4F2043"/>
    <w:rsid w:val="7C513246"/>
    <w:rsid w:val="7C810CF0"/>
    <w:rsid w:val="7C8F4FD7"/>
    <w:rsid w:val="7CB73909"/>
    <w:rsid w:val="7CC4428C"/>
    <w:rsid w:val="7CCA3BF6"/>
    <w:rsid w:val="7CEA1D6C"/>
    <w:rsid w:val="7D006117"/>
    <w:rsid w:val="7D2361CB"/>
    <w:rsid w:val="7D2E47A1"/>
    <w:rsid w:val="7D4B109A"/>
    <w:rsid w:val="7D6021C8"/>
    <w:rsid w:val="7D632C91"/>
    <w:rsid w:val="7D760365"/>
    <w:rsid w:val="7D7866BA"/>
    <w:rsid w:val="7D89789B"/>
    <w:rsid w:val="7D9C1832"/>
    <w:rsid w:val="7DD169C2"/>
    <w:rsid w:val="7DD1789A"/>
    <w:rsid w:val="7DDF3F4E"/>
    <w:rsid w:val="7DEE0627"/>
    <w:rsid w:val="7E015D51"/>
    <w:rsid w:val="7E030D5C"/>
    <w:rsid w:val="7E094BC7"/>
    <w:rsid w:val="7E237CA1"/>
    <w:rsid w:val="7E486B2A"/>
    <w:rsid w:val="7E5E675A"/>
    <w:rsid w:val="7E68119A"/>
    <w:rsid w:val="7E6F7ED3"/>
    <w:rsid w:val="7E8E7855"/>
    <w:rsid w:val="7E9D03D5"/>
    <w:rsid w:val="7EAB552B"/>
    <w:rsid w:val="7EAE4CFC"/>
    <w:rsid w:val="7EC002BA"/>
    <w:rsid w:val="7ECA27A5"/>
    <w:rsid w:val="7ECE057B"/>
    <w:rsid w:val="7ED26AC6"/>
    <w:rsid w:val="7EE64647"/>
    <w:rsid w:val="7EE75FF9"/>
    <w:rsid w:val="7EF64828"/>
    <w:rsid w:val="7F1968B7"/>
    <w:rsid w:val="7F2B7DEA"/>
    <w:rsid w:val="7F2D2491"/>
    <w:rsid w:val="7F3448E4"/>
    <w:rsid w:val="7F4347F1"/>
    <w:rsid w:val="7F6E7734"/>
    <w:rsid w:val="7F700587"/>
    <w:rsid w:val="7F863F5A"/>
    <w:rsid w:val="7F963AE5"/>
    <w:rsid w:val="7F9B63D1"/>
    <w:rsid w:val="7FA429B7"/>
    <w:rsid w:val="7FAD2AD6"/>
    <w:rsid w:val="7FB65F35"/>
    <w:rsid w:val="7FBE66A4"/>
    <w:rsid w:val="7FC17096"/>
    <w:rsid w:val="7FD04D6E"/>
    <w:rsid w:val="7FDC1686"/>
    <w:rsid w:val="7FE51355"/>
    <w:rsid w:val="7FF8141D"/>
    <w:rsid w:val="7FFE0722"/>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rules v:ext="edit">
        <o:r id="V:Rule1" type="connector" idref="#_x0000_s1092"/>
        <o:r id="V:Rule2" type="connector" idref="#_x0000_s1094"/>
        <o:r id="V:Rule3" type="connector" idref="#_x0000_s1175"/>
        <o:r id="V:Rule4" type="connector" idref="#_x0000_s1176"/>
        <o:r id="V:Rule5" type="connector" idref="#_x0000_s1177"/>
        <o:r id="V:Rule6" type="connector" idref="#_x0000_s1179"/>
        <o:r id="V:Rule7" type="connector" idref="#_x0000_s1181"/>
        <o:r id="V:Rule8" type="connector" idref="#_x0000_s1188"/>
        <o:r id="V:Rule9" type="connector" idref="#_x0000_s1189"/>
        <o:r id="V:Rule10" type="connector" idref="#_x0000_s1190"/>
      </o:rules>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微软雅黑"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qFormat="1" w:unhideWhenUsed="0" w:uiPriority="0" w:semiHidden="0" w:name="index 8"/>
    <w:lsdException w:unhideWhenUsed="0" w:uiPriority="0" w:semiHidden="0" w:name="index 9"/>
    <w:lsdException w:qFormat="1" w:uiPriority="39" w:semiHidden="0" w:name="toc 1"/>
    <w:lsdException w:qFormat="1" w:unhideWhenUsed="0" w:uiPriority="39" w:semiHidden="0" w:name="toc 2"/>
    <w:lsdException w:unhideWhenUsed="0" w:uiPriority="39" w:semiHidden="0" w:name="toc 3"/>
    <w:lsdException w:unhideWhenUsed="0" w:uiPriority="39" w:semiHidden="0" w:name="toc 4"/>
    <w:lsdException w:qFormat="1" w:unhideWhenUsed="0" w:uiPriority="39" w:semiHidden="0" w:name="toc 5"/>
    <w:lsdException w:qFormat="1" w:unhideWhenUsed="0" w:uiPriority="39" w:semiHidden="0" w:name="toc 6"/>
    <w:lsdException w:unhideWhenUsed="0" w:uiPriority="39" w:semiHidden="0" w:name="toc 7"/>
    <w:lsdException w:unhideWhenUsed="0" w:uiPriority="39" w:semiHidden="0" w:name="toc 8"/>
    <w:lsdException w:unhideWhenUsed="0" w:uiPriority="39" w:semiHidden="0" w:name="toc 9"/>
    <w:lsdException w:qFormat="1" w:unhideWhenUsed="0" w:uiPriority="0" w:semiHidden="0" w:name="Normal Indent"/>
    <w:lsdException w:unhideWhenUsed="0" w:uiPriority="0" w:semiHidden="0" w:name="footnote text"/>
    <w:lsdException w:qFormat="1"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qFormat="1" w:uiPriority="99" w:semiHidden="0"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tabs>
        <w:tab w:val="left" w:pos="0"/>
      </w:tabs>
      <w:spacing w:line="360" w:lineRule="auto"/>
      <w:ind w:firstLine="200" w:firstLineChars="200"/>
      <w:jc w:val="both"/>
    </w:pPr>
    <w:rPr>
      <w:rFonts w:ascii="Times New Roman" w:hAnsi="仿宋_GB2312" w:eastAsia="仿宋_GB2312" w:cs="宋体"/>
      <w:bCs/>
      <w:kern w:val="2"/>
      <w:sz w:val="24"/>
      <w:szCs w:val="24"/>
      <w:lang w:val="en-US" w:eastAsia="zh-CN" w:bidi="ar-SA"/>
    </w:rPr>
  </w:style>
  <w:style w:type="paragraph" w:styleId="2">
    <w:name w:val="heading 1"/>
    <w:next w:val="1"/>
    <w:link w:val="43"/>
    <w:qFormat/>
    <w:uiPriority w:val="0"/>
    <w:pPr>
      <w:keepNext/>
      <w:keepLines/>
      <w:numPr>
        <w:ilvl w:val="0"/>
        <w:numId w:val="1"/>
      </w:numPr>
      <w:spacing w:beforeLines="50" w:afterLines="75" w:line="550" w:lineRule="exact"/>
      <w:ind w:left="0" w:firstLine="0"/>
      <w:jc w:val="center"/>
      <w:outlineLvl w:val="0"/>
    </w:pPr>
    <w:rPr>
      <w:rFonts w:ascii="Times New Roman" w:hAnsi="Times New Roman" w:eastAsia="仿宋_GB2312" w:cs="宋体"/>
      <w:b/>
      <w:bCs/>
      <w:kern w:val="2"/>
      <w:sz w:val="44"/>
      <w:szCs w:val="32"/>
      <w:lang w:val="en-US" w:eastAsia="zh-CN" w:bidi="ar-SA"/>
    </w:rPr>
  </w:style>
  <w:style w:type="paragraph" w:styleId="3">
    <w:name w:val="heading 2"/>
    <w:next w:val="1"/>
    <w:link w:val="44"/>
    <w:qFormat/>
    <w:uiPriority w:val="0"/>
    <w:pPr>
      <w:keepNext/>
      <w:keepLines/>
      <w:numPr>
        <w:ilvl w:val="1"/>
        <w:numId w:val="1"/>
      </w:numPr>
      <w:spacing w:beforeLines="75" w:afterLines="50" w:line="550" w:lineRule="exact"/>
      <w:ind w:left="0"/>
      <w:outlineLvl w:val="1"/>
    </w:pPr>
    <w:rPr>
      <w:rFonts w:ascii="Times New Roman" w:hAnsi="Times New Roman" w:eastAsia="黑体" w:cstheme="majorBidi"/>
      <w:kern w:val="2"/>
      <w:sz w:val="32"/>
      <w:szCs w:val="28"/>
      <w:lang w:val="en-US" w:eastAsia="zh-CN" w:bidi="ar-SA"/>
    </w:rPr>
  </w:style>
  <w:style w:type="paragraph" w:styleId="4">
    <w:name w:val="heading 3"/>
    <w:next w:val="1"/>
    <w:link w:val="45"/>
    <w:qFormat/>
    <w:uiPriority w:val="0"/>
    <w:pPr>
      <w:keepNext/>
      <w:keepLines/>
      <w:numPr>
        <w:ilvl w:val="2"/>
        <w:numId w:val="1"/>
      </w:numPr>
      <w:spacing w:beforeLines="75" w:afterLines="50" w:line="550" w:lineRule="exact"/>
      <w:ind w:left="426"/>
      <w:outlineLvl w:val="2"/>
    </w:pPr>
    <w:rPr>
      <w:rFonts w:ascii="Times New Roman" w:hAnsi="仿宋_GB2312" w:eastAsia="黑体" w:cs="宋体"/>
      <w:kern w:val="2"/>
      <w:sz w:val="30"/>
      <w:szCs w:val="32"/>
      <w:lang w:val="en-US" w:eastAsia="zh-CN" w:bidi="ar-SA"/>
    </w:rPr>
  </w:style>
  <w:style w:type="paragraph" w:styleId="5">
    <w:name w:val="heading 4"/>
    <w:basedOn w:val="1"/>
    <w:next w:val="1"/>
    <w:link w:val="46"/>
    <w:qFormat/>
    <w:uiPriority w:val="0"/>
    <w:pPr>
      <w:keepNext/>
      <w:keepLines/>
      <w:numPr>
        <w:ilvl w:val="3"/>
        <w:numId w:val="1"/>
      </w:numPr>
      <w:spacing w:beforeLines="50" w:afterLines="50" w:line="550" w:lineRule="exact"/>
      <w:ind w:left="567" w:firstLine="0" w:firstLineChars="0"/>
      <w:outlineLvl w:val="3"/>
    </w:pPr>
    <w:rPr>
      <w:rFonts w:ascii="黑体" w:hAnsi="黑体" w:eastAsia="黑体" w:cs="Times New Roman"/>
      <w:sz w:val="28"/>
      <w:szCs w:val="28"/>
    </w:rPr>
  </w:style>
  <w:style w:type="paragraph" w:styleId="6">
    <w:name w:val="heading 5"/>
    <w:basedOn w:val="1"/>
    <w:next w:val="1"/>
    <w:link w:val="47"/>
    <w:qFormat/>
    <w:uiPriority w:val="0"/>
    <w:pPr>
      <w:keepNext/>
      <w:keepLines/>
      <w:tabs>
        <w:tab w:val="left" w:pos="1008"/>
      </w:tabs>
      <w:spacing w:before="280" w:after="290" w:line="376" w:lineRule="auto"/>
      <w:ind w:firstLine="0" w:firstLineChars="0"/>
      <w:outlineLvl w:val="4"/>
    </w:pPr>
    <w:rPr>
      <w:b/>
      <w:bCs w:val="0"/>
      <w:sz w:val="28"/>
      <w:szCs w:val="28"/>
    </w:rPr>
  </w:style>
  <w:style w:type="paragraph" w:styleId="7">
    <w:name w:val="heading 6"/>
    <w:basedOn w:val="1"/>
    <w:next w:val="1"/>
    <w:link w:val="48"/>
    <w:qFormat/>
    <w:uiPriority w:val="0"/>
    <w:pPr>
      <w:keepNext/>
      <w:keepLines/>
      <w:tabs>
        <w:tab w:val="left" w:pos="1152"/>
      </w:tabs>
      <w:spacing w:before="240" w:after="64" w:line="320" w:lineRule="auto"/>
      <w:ind w:firstLine="0" w:firstLineChars="0"/>
      <w:outlineLvl w:val="5"/>
    </w:pPr>
    <w:rPr>
      <w:rFonts w:ascii="Arial" w:hAnsi="Arial" w:eastAsia="黑体"/>
      <w:b/>
      <w:bCs w:val="0"/>
    </w:rPr>
  </w:style>
  <w:style w:type="paragraph" w:styleId="8">
    <w:name w:val="heading 7"/>
    <w:basedOn w:val="1"/>
    <w:next w:val="1"/>
    <w:link w:val="49"/>
    <w:qFormat/>
    <w:uiPriority w:val="0"/>
    <w:pPr>
      <w:keepNext/>
      <w:keepLines/>
      <w:tabs>
        <w:tab w:val="left" w:pos="1296"/>
      </w:tabs>
      <w:spacing w:before="240" w:after="64" w:line="320" w:lineRule="auto"/>
      <w:ind w:firstLine="0" w:firstLineChars="0"/>
      <w:outlineLvl w:val="6"/>
    </w:pPr>
    <w:rPr>
      <w:b/>
      <w:bCs w:val="0"/>
    </w:rPr>
  </w:style>
  <w:style w:type="paragraph" w:styleId="9">
    <w:name w:val="heading 8"/>
    <w:basedOn w:val="1"/>
    <w:next w:val="1"/>
    <w:link w:val="50"/>
    <w:qFormat/>
    <w:uiPriority w:val="0"/>
    <w:pPr>
      <w:keepNext/>
      <w:keepLines/>
      <w:tabs>
        <w:tab w:val="left" w:pos="1440"/>
      </w:tabs>
      <w:spacing w:before="240" w:after="64" w:line="320" w:lineRule="auto"/>
      <w:ind w:firstLine="0" w:firstLineChars="0"/>
      <w:outlineLvl w:val="7"/>
    </w:pPr>
    <w:rPr>
      <w:rFonts w:ascii="Arial" w:hAnsi="Arial" w:eastAsia="黑体"/>
    </w:rPr>
  </w:style>
  <w:style w:type="paragraph" w:styleId="10">
    <w:name w:val="heading 9"/>
    <w:basedOn w:val="1"/>
    <w:next w:val="1"/>
    <w:link w:val="51"/>
    <w:qFormat/>
    <w:uiPriority w:val="0"/>
    <w:pPr>
      <w:keepNext/>
      <w:keepLines/>
      <w:tabs>
        <w:tab w:val="left" w:pos="1584"/>
      </w:tabs>
      <w:spacing w:before="240" w:after="64" w:line="320" w:lineRule="auto"/>
      <w:ind w:firstLine="0" w:firstLineChars="0"/>
      <w:outlineLvl w:val="8"/>
    </w:pPr>
    <w:rPr>
      <w:rFonts w:ascii="Arial" w:hAnsi="Arial" w:eastAsia="黑体"/>
      <w:sz w:val="28"/>
      <w:szCs w:val="21"/>
    </w:rPr>
  </w:style>
  <w:style w:type="character" w:default="1" w:styleId="38">
    <w:name w:val="Default Paragraph Font"/>
    <w:semiHidden/>
    <w:unhideWhenUsed/>
    <w:qFormat/>
    <w:uiPriority w:val="1"/>
  </w:style>
  <w:style w:type="table" w:default="1" w:styleId="36">
    <w:name w:val="Normal Table"/>
    <w:semiHidden/>
    <w:unhideWhenUsed/>
    <w:qFormat/>
    <w:uiPriority w:val="99"/>
    <w:tblPr>
      <w:tblCellMar>
        <w:top w:w="0" w:type="dxa"/>
        <w:left w:w="108" w:type="dxa"/>
        <w:bottom w:w="0" w:type="dxa"/>
        <w:right w:w="108" w:type="dxa"/>
      </w:tblCellMar>
    </w:tblPr>
  </w:style>
  <w:style w:type="paragraph" w:styleId="11">
    <w:name w:val="index 8"/>
    <w:basedOn w:val="1"/>
    <w:next w:val="1"/>
    <w:qFormat/>
    <w:uiPriority w:val="0"/>
    <w:pPr>
      <w:ind w:left="2940"/>
    </w:pPr>
  </w:style>
  <w:style w:type="paragraph" w:styleId="12">
    <w:name w:val="Normal Indent"/>
    <w:basedOn w:val="13"/>
    <w:next w:val="15"/>
    <w:qFormat/>
    <w:uiPriority w:val="0"/>
    <w:pPr>
      <w:tabs>
        <w:tab w:val="left" w:pos="0"/>
      </w:tabs>
      <w:ind w:firstLine="480" w:firstLineChars="200"/>
    </w:pPr>
    <w:rPr>
      <w:rFonts w:ascii="ESRI SDS 2.00 2" w:hAnsi="ESRI SDS 2.00 2"/>
      <w:color w:val="000000"/>
      <w:szCs w:val="18"/>
    </w:rPr>
  </w:style>
  <w:style w:type="paragraph" w:styleId="13">
    <w:name w:val="Body Text First Indent"/>
    <w:basedOn w:val="14"/>
    <w:next w:val="1"/>
    <w:qFormat/>
    <w:uiPriority w:val="0"/>
    <w:pPr>
      <w:tabs>
        <w:tab w:val="left" w:pos="0"/>
      </w:tabs>
      <w:ind w:firstLine="420" w:firstLineChars="100"/>
    </w:pPr>
  </w:style>
  <w:style w:type="paragraph" w:styleId="14">
    <w:name w:val="Body Text"/>
    <w:basedOn w:val="1"/>
    <w:link w:val="54"/>
    <w:qFormat/>
    <w:uiPriority w:val="0"/>
    <w:pPr>
      <w:spacing w:after="120"/>
      <w:ind w:firstLine="480"/>
    </w:pPr>
    <w:rPr>
      <w:rFonts w:hAnsi="Times New Roman" w:eastAsia="宋体"/>
      <w:bCs w:val="0"/>
      <w:kern w:val="0"/>
    </w:rPr>
  </w:style>
  <w:style w:type="paragraph" w:styleId="15">
    <w:name w:val="toc 1"/>
    <w:basedOn w:val="1"/>
    <w:next w:val="1"/>
    <w:unhideWhenUsed/>
    <w:qFormat/>
    <w:uiPriority w:val="39"/>
    <w:pPr>
      <w:tabs>
        <w:tab w:val="clear" w:pos="0"/>
      </w:tabs>
      <w:spacing w:before="120" w:after="120"/>
      <w:jc w:val="left"/>
    </w:pPr>
    <w:rPr>
      <w:rFonts w:asciiTheme="minorHAnsi" w:eastAsiaTheme="minorHAnsi"/>
      <w:b/>
      <w:caps/>
      <w:sz w:val="20"/>
      <w:szCs w:val="20"/>
    </w:rPr>
  </w:style>
  <w:style w:type="paragraph" w:styleId="16">
    <w:name w:val="caption"/>
    <w:basedOn w:val="1"/>
    <w:next w:val="1"/>
    <w:link w:val="171"/>
    <w:qFormat/>
    <w:uiPriority w:val="0"/>
    <w:pPr>
      <w:spacing w:beforeLines="75" w:afterLines="50"/>
      <w:jc w:val="center"/>
    </w:pPr>
    <w:rPr>
      <w:rFonts w:ascii="Calibri" w:hAnsi="Calibri" w:eastAsia="宋体" w:cs="Arial"/>
      <w:bCs w:val="0"/>
      <w:szCs w:val="20"/>
    </w:rPr>
  </w:style>
  <w:style w:type="paragraph" w:styleId="17">
    <w:name w:val="Document Map"/>
    <w:basedOn w:val="1"/>
    <w:link w:val="170"/>
    <w:qFormat/>
    <w:uiPriority w:val="0"/>
    <w:rPr>
      <w:rFonts w:ascii="宋体"/>
      <w:sz w:val="18"/>
      <w:szCs w:val="18"/>
    </w:rPr>
  </w:style>
  <w:style w:type="paragraph" w:styleId="18">
    <w:name w:val="annotation text"/>
    <w:basedOn w:val="1"/>
    <w:link w:val="55"/>
    <w:unhideWhenUsed/>
    <w:qFormat/>
    <w:uiPriority w:val="0"/>
    <w:pPr>
      <w:jc w:val="left"/>
    </w:pPr>
    <w:rPr>
      <w:rFonts w:hAnsi="Times New Roman" w:eastAsia="宋体"/>
      <w:bCs w:val="0"/>
      <w:kern w:val="0"/>
      <w:szCs w:val="20"/>
    </w:rPr>
  </w:style>
  <w:style w:type="paragraph" w:styleId="19">
    <w:name w:val="Salutation"/>
    <w:basedOn w:val="1"/>
    <w:next w:val="1"/>
    <w:qFormat/>
    <w:uiPriority w:val="0"/>
    <w:rPr>
      <w:sz w:val="21"/>
    </w:rPr>
  </w:style>
  <w:style w:type="paragraph" w:styleId="20">
    <w:name w:val="Body Text Indent"/>
    <w:basedOn w:val="1"/>
    <w:next w:val="1"/>
    <w:qFormat/>
    <w:uiPriority w:val="0"/>
    <w:pPr>
      <w:spacing w:after="120"/>
      <w:ind w:left="420" w:leftChars="200"/>
    </w:pPr>
    <w:rPr>
      <w:szCs w:val="22"/>
    </w:rPr>
  </w:style>
  <w:style w:type="paragraph" w:styleId="21">
    <w:name w:val="toc 5"/>
    <w:basedOn w:val="1"/>
    <w:next w:val="1"/>
    <w:qFormat/>
    <w:uiPriority w:val="39"/>
    <w:pPr>
      <w:ind w:left="1680" w:leftChars="800"/>
    </w:pPr>
  </w:style>
  <w:style w:type="paragraph" w:styleId="22">
    <w:name w:val="Plain Text"/>
    <w:basedOn w:val="1"/>
    <w:next w:val="19"/>
    <w:qFormat/>
    <w:uiPriority w:val="0"/>
    <w:rPr>
      <w:rFonts w:ascii="宋体" w:hAnsi="Courier New" w:cs="Courier New"/>
      <w:szCs w:val="21"/>
    </w:rPr>
  </w:style>
  <w:style w:type="paragraph" w:styleId="23">
    <w:name w:val="Date"/>
    <w:basedOn w:val="1"/>
    <w:next w:val="1"/>
    <w:qFormat/>
    <w:uiPriority w:val="0"/>
    <w:pPr>
      <w:ind w:left="100" w:leftChars="2500"/>
    </w:pPr>
  </w:style>
  <w:style w:type="paragraph" w:styleId="24">
    <w:name w:val="Body Text Indent 2"/>
    <w:basedOn w:val="1"/>
    <w:qFormat/>
    <w:uiPriority w:val="0"/>
    <w:pPr>
      <w:spacing w:after="120" w:line="480" w:lineRule="auto"/>
      <w:ind w:left="420" w:leftChars="200"/>
    </w:pPr>
  </w:style>
  <w:style w:type="paragraph" w:styleId="25">
    <w:name w:val="Balloon Text"/>
    <w:basedOn w:val="1"/>
    <w:link w:val="196"/>
    <w:qFormat/>
    <w:uiPriority w:val="0"/>
    <w:pPr>
      <w:spacing w:line="240" w:lineRule="auto"/>
    </w:pPr>
    <w:rPr>
      <w:sz w:val="18"/>
      <w:szCs w:val="18"/>
    </w:rPr>
  </w:style>
  <w:style w:type="paragraph" w:styleId="26">
    <w:name w:val="footer"/>
    <w:basedOn w:val="1"/>
    <w:link w:val="197"/>
    <w:qFormat/>
    <w:uiPriority w:val="0"/>
    <w:pPr>
      <w:tabs>
        <w:tab w:val="center" w:pos="4153"/>
        <w:tab w:val="right" w:pos="8306"/>
      </w:tabs>
      <w:snapToGrid w:val="0"/>
      <w:jc w:val="left"/>
    </w:pPr>
    <w:rPr>
      <w:sz w:val="18"/>
      <w:szCs w:val="18"/>
    </w:rPr>
  </w:style>
  <w:style w:type="paragraph" w:styleId="27">
    <w:name w:val="header"/>
    <w:basedOn w:val="1"/>
    <w:next w:val="11"/>
    <w:link w:val="207"/>
    <w:qFormat/>
    <w:uiPriority w:val="0"/>
    <w:pPr>
      <w:pBdr>
        <w:bottom w:val="single" w:color="auto" w:sz="6" w:space="1"/>
      </w:pBdr>
      <w:tabs>
        <w:tab w:val="center" w:pos="4153"/>
        <w:tab w:val="right" w:pos="8306"/>
      </w:tabs>
      <w:snapToGrid w:val="0"/>
      <w:jc w:val="center"/>
    </w:pPr>
    <w:rPr>
      <w:sz w:val="18"/>
      <w:szCs w:val="18"/>
    </w:rPr>
  </w:style>
  <w:style w:type="paragraph" w:styleId="28">
    <w:name w:val="Subtitle"/>
    <w:basedOn w:val="1"/>
    <w:link w:val="172"/>
    <w:qFormat/>
    <w:uiPriority w:val="0"/>
    <w:pPr>
      <w:spacing w:before="240" w:after="60" w:line="312" w:lineRule="auto"/>
      <w:jc w:val="center"/>
      <w:outlineLvl w:val="1"/>
    </w:pPr>
    <w:rPr>
      <w:rFonts w:eastAsia="宋体" w:asciiTheme="majorHAnsi" w:hAnsiTheme="majorHAnsi" w:cstheme="majorBidi"/>
      <w:b/>
      <w:kern w:val="28"/>
      <w:sz w:val="32"/>
      <w:szCs w:val="32"/>
    </w:rPr>
  </w:style>
  <w:style w:type="paragraph" w:styleId="29">
    <w:name w:val="toc 6"/>
    <w:basedOn w:val="1"/>
    <w:next w:val="1"/>
    <w:qFormat/>
    <w:uiPriority w:val="39"/>
    <w:pPr>
      <w:ind w:left="1050"/>
      <w:jc w:val="left"/>
    </w:pPr>
    <w:rPr>
      <w:sz w:val="18"/>
      <w:szCs w:val="18"/>
    </w:rPr>
  </w:style>
  <w:style w:type="paragraph" w:styleId="30">
    <w:name w:val="toc 2"/>
    <w:basedOn w:val="1"/>
    <w:next w:val="1"/>
    <w:qFormat/>
    <w:uiPriority w:val="39"/>
    <w:pPr>
      <w:tabs>
        <w:tab w:val="clear" w:pos="0"/>
      </w:tabs>
      <w:ind w:left="280"/>
      <w:jc w:val="left"/>
    </w:pPr>
    <w:rPr>
      <w:rFonts w:asciiTheme="minorHAnsi" w:eastAsiaTheme="minorHAnsi"/>
      <w:bCs w:val="0"/>
      <w:smallCaps/>
      <w:sz w:val="20"/>
      <w:szCs w:val="20"/>
    </w:rPr>
  </w:style>
  <w:style w:type="paragraph" w:styleId="31">
    <w:name w:val="Message Header"/>
    <w:basedOn w:val="1"/>
    <w:qFormat/>
    <w:uiPriority w:val="0"/>
    <w:pPr>
      <w:pBdr>
        <w:top w:val="single" w:color="auto" w:sz="6" w:space="1"/>
        <w:left w:val="single" w:color="auto" w:sz="6" w:space="1"/>
        <w:bottom w:val="single" w:color="auto" w:sz="6" w:space="1"/>
        <w:right w:val="single" w:color="auto" w:sz="6" w:space="1"/>
      </w:pBdr>
      <w:shd w:val="pct20" w:color="auto" w:fill="auto"/>
      <w:ind w:left="1080" w:leftChars="500" w:hanging="1080" w:hangingChars="500"/>
    </w:pPr>
    <w:rPr>
      <w:b/>
      <w:color w:val="000000"/>
      <w:sz w:val="28"/>
    </w:rPr>
  </w:style>
  <w:style w:type="paragraph" w:styleId="32">
    <w:name w:val="Normal (Web)"/>
    <w:basedOn w:val="1"/>
    <w:qFormat/>
    <w:uiPriority w:val="99"/>
    <w:rPr>
      <w:szCs w:val="22"/>
    </w:rPr>
  </w:style>
  <w:style w:type="paragraph" w:styleId="33">
    <w:name w:val="Title"/>
    <w:basedOn w:val="1"/>
    <w:next w:val="1"/>
    <w:link w:val="56"/>
    <w:qFormat/>
    <w:uiPriority w:val="0"/>
    <w:pPr>
      <w:spacing w:before="240" w:after="60"/>
      <w:jc w:val="center"/>
      <w:outlineLvl w:val="0"/>
    </w:pPr>
    <w:rPr>
      <w:rFonts w:ascii="Cambria" w:hAnsi="Cambria" w:eastAsia="宋体" w:cstheme="majorBidi"/>
      <w:b/>
      <w:sz w:val="32"/>
      <w:szCs w:val="32"/>
    </w:rPr>
  </w:style>
  <w:style w:type="paragraph" w:styleId="34">
    <w:name w:val="annotation subject"/>
    <w:basedOn w:val="18"/>
    <w:next w:val="18"/>
    <w:qFormat/>
    <w:uiPriority w:val="0"/>
    <w:rPr>
      <w:b/>
      <w:bCs/>
    </w:rPr>
  </w:style>
  <w:style w:type="paragraph" w:styleId="35">
    <w:name w:val="Body Text First Indent 2"/>
    <w:basedOn w:val="20"/>
    <w:next w:val="1"/>
    <w:qFormat/>
    <w:uiPriority w:val="0"/>
    <w:pPr>
      <w:ind w:firstLine="420"/>
    </w:pPr>
  </w:style>
  <w:style w:type="table" w:styleId="37">
    <w:name w:val="Table Grid"/>
    <w:basedOn w:val="3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39">
    <w:name w:val="Strong"/>
    <w:basedOn w:val="38"/>
    <w:qFormat/>
    <w:uiPriority w:val="0"/>
    <w:rPr>
      <w:b/>
      <w:bCs/>
    </w:rPr>
  </w:style>
  <w:style w:type="character" w:styleId="40">
    <w:name w:val="Emphasis"/>
    <w:basedOn w:val="38"/>
    <w:qFormat/>
    <w:uiPriority w:val="0"/>
    <w:rPr>
      <w:i/>
      <w:iCs/>
    </w:rPr>
  </w:style>
  <w:style w:type="character" w:styleId="41">
    <w:name w:val="Hyperlink"/>
    <w:basedOn w:val="38"/>
    <w:qFormat/>
    <w:uiPriority w:val="0"/>
    <w:rPr>
      <w:color w:val="0563C1" w:themeColor="hyperlink"/>
      <w:u w:val="single"/>
    </w:rPr>
  </w:style>
  <w:style w:type="character" w:styleId="42">
    <w:name w:val="annotation reference"/>
    <w:basedOn w:val="38"/>
    <w:unhideWhenUsed/>
    <w:qFormat/>
    <w:uiPriority w:val="0"/>
    <w:rPr>
      <w:sz w:val="21"/>
      <w:szCs w:val="21"/>
    </w:rPr>
  </w:style>
  <w:style w:type="character" w:customStyle="1" w:styleId="43">
    <w:name w:val="标题 1 Char"/>
    <w:link w:val="2"/>
    <w:qFormat/>
    <w:uiPriority w:val="0"/>
    <w:rPr>
      <w:rFonts w:ascii="Times New Roman" w:hAnsi="Times New Roman" w:eastAsia="仿宋_GB2312" w:cs="宋体"/>
      <w:b/>
      <w:bCs/>
      <w:kern w:val="2"/>
      <w:sz w:val="44"/>
      <w:szCs w:val="32"/>
    </w:rPr>
  </w:style>
  <w:style w:type="character" w:customStyle="1" w:styleId="44">
    <w:name w:val="标题 2 Char"/>
    <w:link w:val="3"/>
    <w:qFormat/>
    <w:uiPriority w:val="0"/>
    <w:rPr>
      <w:rFonts w:ascii="Times New Roman" w:hAnsi="Times New Roman" w:eastAsia="黑体" w:cstheme="majorBidi"/>
      <w:kern w:val="2"/>
      <w:sz w:val="32"/>
      <w:szCs w:val="28"/>
    </w:rPr>
  </w:style>
  <w:style w:type="character" w:customStyle="1" w:styleId="45">
    <w:name w:val="标题 3 Char"/>
    <w:link w:val="4"/>
    <w:qFormat/>
    <w:uiPriority w:val="0"/>
    <w:rPr>
      <w:rFonts w:ascii="Times New Roman" w:hAnsi="仿宋_GB2312" w:eastAsia="黑体" w:cs="宋体"/>
      <w:kern w:val="2"/>
      <w:sz w:val="30"/>
      <w:szCs w:val="32"/>
    </w:rPr>
  </w:style>
  <w:style w:type="character" w:customStyle="1" w:styleId="46">
    <w:name w:val="标题 4 Char"/>
    <w:link w:val="5"/>
    <w:qFormat/>
    <w:uiPriority w:val="0"/>
    <w:rPr>
      <w:rFonts w:ascii="黑体" w:hAnsi="黑体" w:eastAsia="黑体"/>
      <w:bCs/>
      <w:kern w:val="2"/>
      <w:sz w:val="28"/>
      <w:szCs w:val="28"/>
    </w:rPr>
  </w:style>
  <w:style w:type="character" w:customStyle="1" w:styleId="47">
    <w:name w:val="标题 5 Char"/>
    <w:basedOn w:val="38"/>
    <w:link w:val="6"/>
    <w:qFormat/>
    <w:uiPriority w:val="0"/>
    <w:rPr>
      <w:rFonts w:ascii="Times New Roman" w:hAnsi="仿宋_GB2312" w:eastAsia="仿宋_GB2312" w:cs="宋体"/>
      <w:b/>
      <w:kern w:val="2"/>
      <w:sz w:val="28"/>
      <w:szCs w:val="28"/>
    </w:rPr>
  </w:style>
  <w:style w:type="character" w:customStyle="1" w:styleId="48">
    <w:name w:val="标题 6 Char"/>
    <w:basedOn w:val="38"/>
    <w:link w:val="7"/>
    <w:qFormat/>
    <w:uiPriority w:val="0"/>
    <w:rPr>
      <w:rFonts w:ascii="Arial" w:hAnsi="Arial" w:eastAsia="黑体" w:cs="宋体"/>
      <w:b/>
      <w:kern w:val="2"/>
      <w:sz w:val="24"/>
      <w:szCs w:val="24"/>
    </w:rPr>
  </w:style>
  <w:style w:type="character" w:customStyle="1" w:styleId="49">
    <w:name w:val="标题 7 Char"/>
    <w:basedOn w:val="38"/>
    <w:link w:val="8"/>
    <w:qFormat/>
    <w:uiPriority w:val="0"/>
    <w:rPr>
      <w:rFonts w:ascii="Times New Roman" w:hAnsi="仿宋_GB2312" w:eastAsia="仿宋_GB2312" w:cs="宋体"/>
      <w:b/>
      <w:kern w:val="2"/>
      <w:sz w:val="24"/>
      <w:szCs w:val="24"/>
    </w:rPr>
  </w:style>
  <w:style w:type="character" w:customStyle="1" w:styleId="50">
    <w:name w:val="标题 8 Char"/>
    <w:basedOn w:val="38"/>
    <w:link w:val="9"/>
    <w:qFormat/>
    <w:uiPriority w:val="0"/>
    <w:rPr>
      <w:rFonts w:ascii="Arial" w:hAnsi="Arial" w:eastAsia="黑体" w:cs="宋体"/>
      <w:bCs/>
      <w:kern w:val="2"/>
      <w:sz w:val="24"/>
      <w:szCs w:val="24"/>
    </w:rPr>
  </w:style>
  <w:style w:type="character" w:customStyle="1" w:styleId="51">
    <w:name w:val="标题 9 Char"/>
    <w:basedOn w:val="38"/>
    <w:link w:val="10"/>
    <w:qFormat/>
    <w:uiPriority w:val="0"/>
    <w:rPr>
      <w:rFonts w:ascii="Arial" w:hAnsi="Arial" w:eastAsia="黑体" w:cs="宋体"/>
      <w:bCs/>
      <w:kern w:val="2"/>
      <w:sz w:val="28"/>
      <w:szCs w:val="21"/>
    </w:rPr>
  </w:style>
  <w:style w:type="paragraph" w:styleId="52">
    <w:name w:val="No Spacing"/>
    <w:link w:val="53"/>
    <w:qFormat/>
    <w:uiPriority w:val="1"/>
    <w:pPr>
      <w:widowControl w:val="0"/>
      <w:ind w:left="709" w:hanging="709"/>
      <w:jc w:val="both"/>
    </w:pPr>
    <w:rPr>
      <w:rFonts w:ascii="Calibri" w:hAnsi="Calibri" w:eastAsia="宋体" w:cs="Times New Roman"/>
      <w:kern w:val="2"/>
      <w:sz w:val="21"/>
      <w:szCs w:val="21"/>
      <w:lang w:val="en-US" w:eastAsia="zh-CN" w:bidi="ar-SA"/>
    </w:rPr>
  </w:style>
  <w:style w:type="character" w:customStyle="1" w:styleId="53">
    <w:name w:val="无间隔 Char"/>
    <w:link w:val="52"/>
    <w:qFormat/>
    <w:uiPriority w:val="1"/>
    <w:rPr>
      <w:rFonts w:eastAsia="宋体"/>
      <w:kern w:val="2"/>
      <w:sz w:val="21"/>
      <w:szCs w:val="21"/>
    </w:rPr>
  </w:style>
  <w:style w:type="character" w:customStyle="1" w:styleId="54">
    <w:name w:val="正文文本 Char"/>
    <w:basedOn w:val="38"/>
    <w:link w:val="14"/>
    <w:qFormat/>
    <w:uiPriority w:val="0"/>
    <w:rPr>
      <w:rFonts w:ascii="Times New Roman" w:hAnsi="Times New Roman" w:eastAsia="宋体" w:cs="宋体"/>
      <w:sz w:val="24"/>
      <w:szCs w:val="24"/>
    </w:rPr>
  </w:style>
  <w:style w:type="character" w:customStyle="1" w:styleId="55">
    <w:name w:val="批注文字 Char"/>
    <w:basedOn w:val="38"/>
    <w:link w:val="18"/>
    <w:qFormat/>
    <w:uiPriority w:val="0"/>
    <w:rPr>
      <w:rFonts w:ascii="Times New Roman" w:hAnsi="Times New Roman" w:eastAsia="宋体" w:cs="宋体"/>
      <w:sz w:val="24"/>
    </w:rPr>
  </w:style>
  <w:style w:type="character" w:customStyle="1" w:styleId="56">
    <w:name w:val="标题 Char"/>
    <w:basedOn w:val="38"/>
    <w:link w:val="33"/>
    <w:qFormat/>
    <w:uiPriority w:val="0"/>
    <w:rPr>
      <w:rFonts w:ascii="Cambria" w:hAnsi="Cambria" w:eastAsia="宋体" w:cstheme="majorBidi"/>
      <w:b/>
      <w:bCs/>
      <w:kern w:val="2"/>
      <w:sz w:val="32"/>
      <w:szCs w:val="32"/>
    </w:rPr>
  </w:style>
  <w:style w:type="paragraph" w:customStyle="1" w:styleId="57">
    <w:name w:val="样式5"/>
    <w:basedOn w:val="3"/>
    <w:qFormat/>
    <w:uiPriority w:val="0"/>
    <w:pPr>
      <w:snapToGrid w:val="0"/>
      <w:spacing w:beforeLines="50" w:afterLines="0" w:line="520" w:lineRule="atLeast"/>
    </w:pPr>
    <w:rPr>
      <w:rFonts w:ascii="黑体" w:hAnsi="宋体"/>
      <w:sz w:val="30"/>
      <w:szCs w:val="30"/>
    </w:rPr>
  </w:style>
  <w:style w:type="paragraph" w:customStyle="1" w:styleId="58">
    <w:name w:val="样式 标题 1 + 首行缩进:  2 字符"/>
    <w:basedOn w:val="2"/>
    <w:next w:val="59"/>
    <w:qFormat/>
    <w:uiPriority w:val="0"/>
    <w:pPr>
      <w:keepLines w:val="0"/>
      <w:tabs>
        <w:tab w:val="left" w:pos="0"/>
      </w:tabs>
      <w:spacing w:line="720" w:lineRule="auto"/>
      <w:ind w:firstLine="200" w:firstLineChars="200"/>
    </w:pPr>
    <w:rPr>
      <w:rFonts w:ascii="黑体" w:eastAsia="黑体"/>
      <w:sz w:val="36"/>
      <w:szCs w:val="20"/>
    </w:rPr>
  </w:style>
  <w:style w:type="paragraph" w:customStyle="1" w:styleId="59">
    <w:name w:val="表格标题"/>
    <w:basedOn w:val="1"/>
    <w:next w:val="1"/>
    <w:qFormat/>
    <w:uiPriority w:val="0"/>
    <w:pPr>
      <w:ind w:firstLine="723"/>
    </w:pPr>
    <w:rPr>
      <w:rFonts w:eastAsia="宋体"/>
      <w:b/>
      <w:szCs w:val="20"/>
    </w:rPr>
  </w:style>
  <w:style w:type="paragraph" w:customStyle="1" w:styleId="60">
    <w:name w:val="Default"/>
    <w:basedOn w:val="61"/>
    <w:next w:val="1"/>
    <w:qFormat/>
    <w:uiPriority w:val="0"/>
    <w:pPr>
      <w:widowControl w:val="0"/>
      <w:tabs>
        <w:tab w:val="left" w:pos="0"/>
      </w:tabs>
      <w:autoSpaceDE w:val="0"/>
      <w:autoSpaceDN w:val="0"/>
    </w:pPr>
    <w:rPr>
      <w:rFonts w:ascii="Calibri" w:hAnsi="Calibri" w:eastAsia="宋体" w:cs="Times New Roman"/>
      <w:color w:val="000000"/>
      <w:sz w:val="24"/>
      <w:szCs w:val="24"/>
    </w:rPr>
  </w:style>
  <w:style w:type="paragraph" w:customStyle="1" w:styleId="61">
    <w:name w:val="纯文本1"/>
    <w:basedOn w:val="1"/>
    <w:qFormat/>
    <w:uiPriority w:val="0"/>
    <w:pPr>
      <w:widowControl/>
      <w:adjustRightInd w:val="0"/>
      <w:jc w:val="left"/>
      <w:textAlignment w:val="baseline"/>
    </w:pPr>
    <w:rPr>
      <w:rFonts w:ascii="Courier New" w:hAnsi="Courier New"/>
      <w:kern w:val="0"/>
      <w:sz w:val="15"/>
      <w:szCs w:val="20"/>
    </w:rPr>
  </w:style>
  <w:style w:type="paragraph" w:customStyle="1" w:styleId="62">
    <w:name w:val="Normal (Web)1"/>
    <w:basedOn w:val="1"/>
    <w:next w:val="63"/>
    <w:qFormat/>
    <w:uiPriority w:val="0"/>
    <w:pPr>
      <w:widowControl/>
      <w:jc w:val="left"/>
    </w:pPr>
    <w:rPr>
      <w:rFonts w:ascii="宋体" w:cs="Times New Roman"/>
      <w:kern w:val="0"/>
      <w:szCs w:val="21"/>
    </w:rPr>
  </w:style>
  <w:style w:type="paragraph" w:customStyle="1" w:styleId="63">
    <w:name w:val="Date1"/>
    <w:basedOn w:val="1"/>
    <w:next w:val="1"/>
    <w:qFormat/>
    <w:uiPriority w:val="0"/>
    <w:pPr>
      <w:ind w:left="2500" w:leftChars="2500"/>
    </w:pPr>
  </w:style>
  <w:style w:type="paragraph" w:customStyle="1" w:styleId="64">
    <w:name w:val="7"/>
    <w:basedOn w:val="1"/>
    <w:next w:val="1"/>
    <w:qFormat/>
    <w:uiPriority w:val="0"/>
    <w:rPr>
      <w:rFonts w:ascii="宋体" w:hAnsi="宋体" w:eastAsia="宋体"/>
      <w:sz w:val="30"/>
    </w:rPr>
  </w:style>
  <w:style w:type="paragraph" w:customStyle="1" w:styleId="65">
    <w:name w:val="TOC 标题1"/>
    <w:basedOn w:val="2"/>
    <w:next w:val="1"/>
    <w:qFormat/>
    <w:uiPriority w:val="39"/>
    <w:pPr>
      <w:spacing w:before="340" w:after="330" w:line="578" w:lineRule="auto"/>
      <w:jc w:val="both"/>
      <w:outlineLvl w:val="9"/>
    </w:pPr>
    <w:rPr>
      <w:rFonts w:ascii="Calibri" w:hAnsi="Calibri"/>
      <w:kern w:val="44"/>
    </w:rPr>
  </w:style>
  <w:style w:type="paragraph" w:customStyle="1" w:styleId="66">
    <w:name w:val="7正文"/>
    <w:basedOn w:val="1"/>
    <w:qFormat/>
    <w:uiPriority w:val="99"/>
    <w:pPr>
      <w:adjustRightInd w:val="0"/>
      <w:snapToGrid w:val="0"/>
      <w:spacing w:line="480" w:lineRule="exact"/>
      <w:ind w:firstLine="480"/>
      <w:jc w:val="left"/>
    </w:pPr>
    <w:rPr>
      <w:rFonts w:hAnsi="Times New Roman"/>
    </w:rPr>
  </w:style>
  <w:style w:type="paragraph" w:customStyle="1" w:styleId="67">
    <w:name w:val="7.7"/>
    <w:basedOn w:val="1"/>
    <w:qFormat/>
    <w:uiPriority w:val="99"/>
    <w:pPr>
      <w:adjustRightInd w:val="0"/>
      <w:snapToGrid w:val="0"/>
      <w:spacing w:before="120" w:after="120" w:line="480" w:lineRule="exact"/>
      <w:jc w:val="left"/>
      <w:outlineLvl w:val="1"/>
    </w:pPr>
    <w:rPr>
      <w:rFonts w:hAnsi="Times New Roman"/>
      <w:b/>
      <w:sz w:val="28"/>
      <w:szCs w:val="28"/>
      <w:lang w:val="zh-CN"/>
    </w:rPr>
  </w:style>
  <w:style w:type="paragraph" w:customStyle="1" w:styleId="68">
    <w:name w:val="！正文ctrl-4"/>
    <w:basedOn w:val="1"/>
    <w:qFormat/>
    <w:uiPriority w:val="0"/>
    <w:pPr>
      <w:spacing w:line="520" w:lineRule="exact"/>
      <w:textAlignment w:val="center"/>
    </w:pPr>
    <w:rPr>
      <w:rFonts w:hAnsi="Times New Roman"/>
    </w:rPr>
  </w:style>
  <w:style w:type="paragraph" w:customStyle="1" w:styleId="69">
    <w:name w:val="！正文1"/>
    <w:basedOn w:val="1"/>
    <w:qFormat/>
    <w:uiPriority w:val="0"/>
    <w:pPr>
      <w:spacing w:line="520" w:lineRule="exact"/>
    </w:pPr>
    <w:rPr>
      <w:rFonts w:hAnsi="Times New Roman"/>
      <w:szCs w:val="28"/>
    </w:rPr>
  </w:style>
  <w:style w:type="paragraph" w:customStyle="1" w:styleId="70">
    <w:name w:val="7.7.7"/>
    <w:basedOn w:val="1"/>
    <w:next w:val="71"/>
    <w:qFormat/>
    <w:uiPriority w:val="0"/>
    <w:pPr>
      <w:adjustRightInd w:val="0"/>
      <w:snapToGrid w:val="0"/>
      <w:spacing w:before="60" w:after="60" w:line="480" w:lineRule="exact"/>
      <w:outlineLvl w:val="2"/>
    </w:pPr>
    <w:rPr>
      <w:rFonts w:hAnsi="Times New Roman"/>
      <w:b/>
      <w:szCs w:val="22"/>
    </w:rPr>
  </w:style>
  <w:style w:type="paragraph" w:customStyle="1" w:styleId="71">
    <w:name w:val="7表头"/>
    <w:basedOn w:val="1"/>
    <w:next w:val="72"/>
    <w:qFormat/>
    <w:uiPriority w:val="0"/>
    <w:pPr>
      <w:adjustRightInd w:val="0"/>
      <w:snapToGrid w:val="0"/>
      <w:jc w:val="center"/>
    </w:pPr>
    <w:rPr>
      <w:rFonts w:hAnsi="Times New Roman" w:eastAsia="黑体"/>
      <w:kern w:val="0"/>
    </w:rPr>
  </w:style>
  <w:style w:type="paragraph" w:customStyle="1" w:styleId="72">
    <w:name w:val="bgbt3条标题"/>
    <w:basedOn w:val="1"/>
    <w:next w:val="73"/>
    <w:qFormat/>
    <w:uiPriority w:val="0"/>
    <w:pPr>
      <w:spacing w:before="120" w:after="60"/>
      <w:ind w:firstLine="510"/>
      <w:outlineLvl w:val="2"/>
    </w:pPr>
    <w:rPr>
      <w:rFonts w:eastAsia="黑体"/>
      <w:sz w:val="28"/>
    </w:rPr>
  </w:style>
  <w:style w:type="paragraph" w:customStyle="1" w:styleId="73">
    <w:name w:val="bg正文首行缩进"/>
    <w:basedOn w:val="1"/>
    <w:qFormat/>
    <w:uiPriority w:val="0"/>
    <w:pPr>
      <w:spacing w:line="400" w:lineRule="exact"/>
      <w:ind w:firstLine="482"/>
    </w:pPr>
  </w:style>
  <w:style w:type="paragraph" w:customStyle="1" w:styleId="74">
    <w:name w:val="【表头】"/>
    <w:basedOn w:val="1"/>
    <w:link w:val="75"/>
    <w:qFormat/>
    <w:uiPriority w:val="0"/>
    <w:pPr>
      <w:spacing w:line="240" w:lineRule="auto"/>
      <w:ind w:firstLine="0" w:firstLineChars="0"/>
      <w:jc w:val="center"/>
    </w:pPr>
    <w:rPr>
      <w:b/>
    </w:rPr>
  </w:style>
  <w:style w:type="character" w:customStyle="1" w:styleId="75">
    <w:name w:val="【表头】 Char"/>
    <w:link w:val="74"/>
    <w:qFormat/>
    <w:uiPriority w:val="0"/>
    <w:rPr>
      <w:rFonts w:ascii="Times New Roman" w:hAnsi="仿宋_GB2312" w:eastAsia="仿宋_GB2312" w:cs="宋体"/>
      <w:b/>
      <w:bCs/>
      <w:kern w:val="2"/>
      <w:sz w:val="24"/>
      <w:szCs w:val="24"/>
    </w:rPr>
  </w:style>
  <w:style w:type="paragraph" w:customStyle="1" w:styleId="76">
    <w:name w:val="【表中文字】"/>
    <w:basedOn w:val="1"/>
    <w:link w:val="77"/>
    <w:qFormat/>
    <w:uiPriority w:val="0"/>
    <w:pPr>
      <w:spacing w:line="240" w:lineRule="auto"/>
      <w:ind w:firstLine="0" w:firstLineChars="0"/>
      <w:jc w:val="center"/>
    </w:pPr>
    <w:rPr>
      <w:rFonts w:hAnsi="Times New Roman" w:eastAsia="宋体"/>
      <w:bCs w:val="0"/>
      <w:kern w:val="0"/>
      <w:sz w:val="20"/>
      <w:szCs w:val="20"/>
    </w:rPr>
  </w:style>
  <w:style w:type="character" w:customStyle="1" w:styleId="77">
    <w:name w:val="【表中文字】 Char"/>
    <w:link w:val="76"/>
    <w:qFormat/>
    <w:uiPriority w:val="0"/>
    <w:rPr>
      <w:rFonts w:ascii="Times New Roman" w:hAnsi="Times New Roman" w:eastAsia="宋体" w:cs="宋体"/>
    </w:rPr>
  </w:style>
  <w:style w:type="paragraph" w:customStyle="1" w:styleId="78">
    <w:name w:val="7表中文字"/>
    <w:basedOn w:val="1"/>
    <w:qFormat/>
    <w:uiPriority w:val="99"/>
    <w:pPr>
      <w:adjustRightInd w:val="0"/>
      <w:snapToGrid w:val="0"/>
      <w:jc w:val="center"/>
    </w:pPr>
    <w:rPr>
      <w:szCs w:val="21"/>
    </w:rPr>
  </w:style>
  <w:style w:type="paragraph" w:customStyle="1" w:styleId="79">
    <w:name w:val="【表格文字】"/>
    <w:qFormat/>
    <w:uiPriority w:val="0"/>
    <w:pPr>
      <w:jc w:val="center"/>
    </w:pPr>
    <w:rPr>
      <w:rFonts w:ascii="Times New Roman" w:hAnsi="Times New Roman" w:eastAsia="宋体" w:cs="宋体"/>
      <w:sz w:val="21"/>
      <w:lang w:val="en-US" w:eastAsia="zh-CN" w:bidi="ar-SA"/>
    </w:rPr>
  </w:style>
  <w:style w:type="character" w:customStyle="1" w:styleId="80">
    <w:name w:val="内容 Char"/>
    <w:link w:val="81"/>
    <w:qFormat/>
    <w:uiPriority w:val="0"/>
    <w:rPr>
      <w:color w:val="000000"/>
      <w:sz w:val="24"/>
      <w:szCs w:val="24"/>
    </w:rPr>
  </w:style>
  <w:style w:type="paragraph" w:customStyle="1" w:styleId="81">
    <w:name w:val="内容"/>
    <w:basedOn w:val="1"/>
    <w:link w:val="80"/>
    <w:qFormat/>
    <w:uiPriority w:val="0"/>
    <w:pPr>
      <w:spacing w:beforeLines="50" w:afterLines="50"/>
    </w:pPr>
    <w:rPr>
      <w:color w:val="000000"/>
    </w:rPr>
  </w:style>
  <w:style w:type="paragraph" w:customStyle="1" w:styleId="82">
    <w:name w:val="11111"/>
    <w:basedOn w:val="1"/>
    <w:next w:val="1"/>
    <w:qFormat/>
    <w:uiPriority w:val="0"/>
    <w:rPr>
      <w:rFonts w:ascii="宋体" w:hAnsi="宋体"/>
    </w:rPr>
  </w:style>
  <w:style w:type="paragraph" w:customStyle="1" w:styleId="83">
    <w:name w:val="表文00"/>
    <w:basedOn w:val="1"/>
    <w:next w:val="1"/>
    <w:qFormat/>
    <w:uiPriority w:val="0"/>
    <w:pPr>
      <w:autoSpaceDE w:val="0"/>
      <w:autoSpaceDN w:val="0"/>
      <w:contextualSpacing/>
      <w:jc w:val="center"/>
    </w:pPr>
    <w:rPr>
      <w:rFonts w:ascii="宋体" w:eastAsia="宋体"/>
      <w:sz w:val="21"/>
    </w:rPr>
  </w:style>
  <w:style w:type="character" w:customStyle="1" w:styleId="84">
    <w:name w:val="正文文本 + Times New Roman2"/>
    <w:qFormat/>
    <w:uiPriority w:val="0"/>
    <w:rPr>
      <w:rFonts w:ascii="Times New Roman" w:hAnsi="Times New Roman" w:eastAsia="MingLiU" w:cs="Times New Roman"/>
      <w:b/>
      <w:bCs/>
      <w:sz w:val="16"/>
      <w:szCs w:val="16"/>
      <w:u w:val="none"/>
    </w:rPr>
  </w:style>
  <w:style w:type="paragraph" w:customStyle="1" w:styleId="85">
    <w:name w:val="表格内容"/>
    <w:basedOn w:val="1"/>
    <w:qFormat/>
    <w:uiPriority w:val="0"/>
    <w:pPr>
      <w:spacing w:line="240" w:lineRule="auto"/>
      <w:ind w:firstLine="0" w:firstLineChars="0"/>
      <w:jc w:val="center"/>
    </w:pPr>
    <w:rPr>
      <w:rFonts w:ascii="Calibri" w:hAnsi="Calibri" w:eastAsia="Arial" w:cs="Arial"/>
      <w:kern w:val="0"/>
      <w:sz w:val="21"/>
      <w:szCs w:val="21"/>
    </w:rPr>
  </w:style>
  <w:style w:type="paragraph" w:customStyle="1" w:styleId="86">
    <w:name w:val="表标题"/>
    <w:basedOn w:val="1"/>
    <w:link w:val="87"/>
    <w:qFormat/>
    <w:uiPriority w:val="0"/>
    <w:pPr>
      <w:keepNext/>
      <w:adjustRightInd w:val="0"/>
      <w:spacing w:before="60" w:after="60" w:line="397" w:lineRule="atLeast"/>
      <w:jc w:val="center"/>
      <w:textAlignment w:val="baseline"/>
    </w:pPr>
    <w:rPr>
      <w:b/>
      <w:kern w:val="0"/>
    </w:rPr>
  </w:style>
  <w:style w:type="character" w:customStyle="1" w:styleId="87">
    <w:name w:val="表标题 Char"/>
    <w:link w:val="86"/>
    <w:qFormat/>
    <w:uiPriority w:val="0"/>
    <w:rPr>
      <w:b/>
      <w:kern w:val="0"/>
      <w:sz w:val="24"/>
    </w:rPr>
  </w:style>
  <w:style w:type="paragraph" w:customStyle="1" w:styleId="88">
    <w:name w:val="dl正文"/>
    <w:basedOn w:val="1"/>
    <w:qFormat/>
    <w:uiPriority w:val="0"/>
    <w:pPr>
      <w:ind w:firstLine="708" w:firstLineChars="253"/>
    </w:pPr>
    <w:rPr>
      <w:color w:val="000000"/>
      <w:kern w:val="10"/>
      <w:sz w:val="28"/>
      <w:szCs w:val="28"/>
    </w:rPr>
  </w:style>
  <w:style w:type="paragraph" w:customStyle="1" w:styleId="89">
    <w:name w:val="4正文"/>
    <w:basedOn w:val="1"/>
    <w:qFormat/>
    <w:uiPriority w:val="0"/>
    <w:pPr>
      <w:spacing w:before="10" w:after="10" w:line="480" w:lineRule="exact"/>
    </w:pPr>
    <w:rPr>
      <w:sz w:val="28"/>
    </w:rPr>
  </w:style>
  <w:style w:type="paragraph" w:customStyle="1" w:styleId="90">
    <w:name w:val="表格"/>
    <w:basedOn w:val="14"/>
    <w:next w:val="1"/>
    <w:qFormat/>
    <w:uiPriority w:val="0"/>
    <w:pPr>
      <w:snapToGrid w:val="0"/>
      <w:spacing w:line="360" w:lineRule="exact"/>
      <w:jc w:val="center"/>
    </w:pPr>
    <w:rPr>
      <w:sz w:val="21"/>
      <w:szCs w:val="21"/>
    </w:rPr>
  </w:style>
  <w:style w:type="paragraph" w:customStyle="1" w:styleId="91">
    <w:name w:val="7.7.7.7"/>
    <w:basedOn w:val="1"/>
    <w:qFormat/>
    <w:uiPriority w:val="99"/>
    <w:pPr>
      <w:adjustRightInd w:val="0"/>
      <w:snapToGrid w:val="0"/>
      <w:spacing w:line="480" w:lineRule="exact"/>
      <w:jc w:val="left"/>
      <w:outlineLvl w:val="3"/>
    </w:pPr>
    <w:rPr>
      <w:rFonts w:hAnsi="Times New Roman"/>
      <w:kern w:val="0"/>
      <w:szCs w:val="22"/>
    </w:rPr>
  </w:style>
  <w:style w:type="paragraph" w:customStyle="1" w:styleId="92">
    <w:name w:val="正文1"/>
    <w:basedOn w:val="1"/>
    <w:qFormat/>
    <w:uiPriority w:val="99"/>
    <w:pPr>
      <w:adjustRightInd w:val="0"/>
      <w:snapToGrid w:val="0"/>
      <w:spacing w:line="480" w:lineRule="exact"/>
    </w:pPr>
    <w:rPr>
      <w:szCs w:val="22"/>
    </w:rPr>
  </w:style>
  <w:style w:type="paragraph" w:customStyle="1" w:styleId="93">
    <w:name w:val="【正文】"/>
    <w:basedOn w:val="1"/>
    <w:next w:val="1"/>
    <w:link w:val="94"/>
    <w:qFormat/>
    <w:uiPriority w:val="0"/>
    <w:rPr>
      <w:rFonts w:ascii="Calibri" w:hAnsi="Calibri" w:eastAsia="微软雅黑"/>
      <w:bCs w:val="0"/>
      <w:kern w:val="0"/>
    </w:rPr>
  </w:style>
  <w:style w:type="character" w:customStyle="1" w:styleId="94">
    <w:name w:val="【正文】 Char"/>
    <w:link w:val="93"/>
    <w:qFormat/>
    <w:uiPriority w:val="0"/>
    <w:rPr>
      <w:rFonts w:cs="宋体"/>
      <w:sz w:val="24"/>
      <w:szCs w:val="24"/>
    </w:rPr>
  </w:style>
  <w:style w:type="paragraph" w:customStyle="1" w:styleId="95">
    <w:name w:val="新正文"/>
    <w:basedOn w:val="1"/>
    <w:qFormat/>
    <w:uiPriority w:val="0"/>
    <w:pPr>
      <w:spacing w:line="480" w:lineRule="exact"/>
      <w:ind w:firstLine="567"/>
    </w:pPr>
    <w:rPr>
      <w:rFonts w:ascii="仿宋_GB2312"/>
    </w:rPr>
  </w:style>
  <w:style w:type="paragraph" w:customStyle="1" w:styleId="96">
    <w:name w:val="表头00"/>
    <w:basedOn w:val="1"/>
    <w:qFormat/>
    <w:uiPriority w:val="0"/>
    <w:pPr>
      <w:jc w:val="center"/>
    </w:pPr>
    <w:rPr>
      <w:rFonts w:eastAsia="黑体"/>
      <w:sz w:val="18"/>
    </w:rPr>
  </w:style>
  <w:style w:type="paragraph" w:customStyle="1" w:styleId="97">
    <w:name w:val="TY"/>
    <w:basedOn w:val="1"/>
    <w:qFormat/>
    <w:uiPriority w:val="0"/>
    <w:pPr>
      <w:adjustRightInd w:val="0"/>
      <w:snapToGrid w:val="0"/>
      <w:spacing w:before="40" w:after="40"/>
    </w:pPr>
    <w:rPr>
      <w:rFonts w:hAnsi="Times New Roman"/>
    </w:rPr>
  </w:style>
  <w:style w:type="paragraph" w:customStyle="1" w:styleId="98">
    <w:name w:val="正文9"/>
    <w:qFormat/>
    <w:uiPriority w:val="0"/>
    <w:pPr>
      <w:widowControl w:val="0"/>
      <w:adjustRightInd w:val="0"/>
      <w:spacing w:line="360" w:lineRule="atLeast"/>
      <w:textAlignment w:val="baseline"/>
    </w:pPr>
    <w:rPr>
      <w:rFonts w:ascii="宋体" w:hAnsi="Times New Roman" w:eastAsia="宋体" w:cs="Times New Roman"/>
      <w:sz w:val="24"/>
      <w:lang w:val="en-US" w:eastAsia="zh-CN" w:bidi="ar-SA"/>
    </w:rPr>
  </w:style>
  <w:style w:type="paragraph" w:customStyle="1" w:styleId="99">
    <w:name w:val="表格正文"/>
    <w:basedOn w:val="1"/>
    <w:qFormat/>
    <w:uiPriority w:val="0"/>
    <w:pPr>
      <w:spacing w:line="360" w:lineRule="exact"/>
      <w:jc w:val="center"/>
    </w:pPr>
  </w:style>
  <w:style w:type="paragraph" w:customStyle="1" w:styleId="100">
    <w:name w:val="正文 New New"/>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01">
    <w:name w:val="列出段落1"/>
    <w:basedOn w:val="1"/>
    <w:qFormat/>
    <w:uiPriority w:val="34"/>
    <w:pPr>
      <w:ind w:firstLine="420"/>
    </w:pPr>
  </w:style>
  <w:style w:type="paragraph" w:customStyle="1" w:styleId="102">
    <w:name w:val="正文小四首缩1.3行距"/>
    <w:basedOn w:val="1"/>
    <w:qFormat/>
    <w:uiPriority w:val="0"/>
    <w:pPr>
      <w:ind w:firstLine="480"/>
    </w:pPr>
    <w:rPr>
      <w:rFonts w:eastAsia="Times New Roman"/>
    </w:rPr>
  </w:style>
  <w:style w:type="paragraph" w:customStyle="1" w:styleId="103">
    <w:name w:val="9"/>
    <w:basedOn w:val="1"/>
    <w:qFormat/>
    <w:uiPriority w:val="0"/>
    <w:pPr>
      <w:widowControl/>
      <w:spacing w:before="100" w:beforeAutospacing="1" w:after="100" w:afterAutospacing="1"/>
      <w:jc w:val="left"/>
    </w:pPr>
    <w:rPr>
      <w:rFonts w:ascii="宋体" w:hAnsi="宋体"/>
      <w:kern w:val="0"/>
    </w:rPr>
  </w:style>
  <w:style w:type="paragraph" w:customStyle="1" w:styleId="104">
    <w:name w:val="正文01"/>
    <w:basedOn w:val="1"/>
    <w:qFormat/>
    <w:uiPriority w:val="0"/>
    <w:pPr>
      <w:spacing w:before="60" w:line="460" w:lineRule="exact"/>
    </w:pPr>
    <w:rPr>
      <w:snapToGrid w:val="0"/>
      <w:kern w:val="0"/>
    </w:rPr>
  </w:style>
  <w:style w:type="paragraph" w:customStyle="1" w:styleId="105">
    <w:name w:val="正文EC"/>
    <w:qFormat/>
    <w:uiPriority w:val="0"/>
    <w:pPr>
      <w:spacing w:line="480" w:lineRule="exact"/>
      <w:ind w:firstLine="200" w:firstLineChars="200"/>
    </w:pPr>
    <w:rPr>
      <w:rFonts w:ascii="Times New Roman" w:hAnsi="Times New Roman" w:eastAsia="仿宋" w:cs="Times New Roman"/>
      <w:kern w:val="2"/>
      <w:sz w:val="28"/>
      <w:szCs w:val="22"/>
      <w:lang w:val="en-US" w:eastAsia="zh-CN" w:bidi="ar-SA"/>
    </w:rPr>
  </w:style>
  <w:style w:type="paragraph" w:customStyle="1" w:styleId="106">
    <w:name w:val="帆表头"/>
    <w:basedOn w:val="1"/>
    <w:qFormat/>
    <w:uiPriority w:val="0"/>
    <w:pPr>
      <w:widowControl/>
      <w:jc w:val="center"/>
    </w:pPr>
    <w:rPr>
      <w:rFonts w:ascii="黑体" w:hAnsi="黑体" w:eastAsia="黑体"/>
      <w:kern w:val="0"/>
      <w:szCs w:val="21"/>
    </w:rPr>
  </w:style>
  <w:style w:type="paragraph" w:customStyle="1" w:styleId="107">
    <w:name w:val="表格0"/>
    <w:basedOn w:val="1"/>
    <w:qFormat/>
    <w:uiPriority w:val="0"/>
    <w:pPr>
      <w:spacing w:line="360" w:lineRule="exact"/>
    </w:pPr>
  </w:style>
  <w:style w:type="paragraph" w:customStyle="1" w:styleId="108">
    <w:name w:val="兽目"/>
    <w:basedOn w:val="107"/>
    <w:next w:val="107"/>
    <w:unhideWhenUsed/>
    <w:qFormat/>
    <w:uiPriority w:val="0"/>
    <w:pPr>
      <w:adjustRightInd w:val="0"/>
      <w:snapToGrid w:val="0"/>
      <w:ind w:left="420" w:hanging="420"/>
    </w:pPr>
    <w:rPr>
      <w:rFonts w:hint="eastAsia"/>
      <w:kern w:val="0"/>
      <w:sz w:val="21"/>
    </w:rPr>
  </w:style>
  <w:style w:type="paragraph" w:customStyle="1" w:styleId="109">
    <w:name w:val="兽科"/>
    <w:basedOn w:val="107"/>
    <w:next w:val="107"/>
    <w:unhideWhenUsed/>
    <w:qFormat/>
    <w:uiPriority w:val="0"/>
    <w:pPr>
      <w:adjustRightInd w:val="0"/>
      <w:snapToGrid w:val="0"/>
      <w:ind w:left="900" w:hanging="420"/>
    </w:pPr>
    <w:rPr>
      <w:rFonts w:hint="eastAsia"/>
      <w:kern w:val="0"/>
      <w:sz w:val="21"/>
    </w:rPr>
  </w:style>
  <w:style w:type="paragraph" w:customStyle="1" w:styleId="110">
    <w:name w:val="兽种"/>
    <w:basedOn w:val="107"/>
    <w:next w:val="107"/>
    <w:unhideWhenUsed/>
    <w:qFormat/>
    <w:uiPriority w:val="0"/>
    <w:pPr>
      <w:adjustRightInd w:val="0"/>
      <w:snapToGrid w:val="0"/>
      <w:ind w:left="420"/>
    </w:pPr>
    <w:rPr>
      <w:rFonts w:hint="eastAsia"/>
      <w:sz w:val="21"/>
    </w:rPr>
  </w:style>
  <w:style w:type="paragraph" w:customStyle="1" w:styleId="111">
    <w:name w:val="鸟目"/>
    <w:basedOn w:val="107"/>
    <w:next w:val="107"/>
    <w:unhideWhenUsed/>
    <w:qFormat/>
    <w:uiPriority w:val="0"/>
    <w:pPr>
      <w:ind w:left="420" w:hanging="420"/>
      <w:jc w:val="left"/>
    </w:pPr>
    <w:rPr>
      <w:rFonts w:hint="eastAsia"/>
      <w:kern w:val="0"/>
      <w:sz w:val="21"/>
    </w:rPr>
  </w:style>
  <w:style w:type="paragraph" w:customStyle="1" w:styleId="112">
    <w:name w:val="鸟科"/>
    <w:basedOn w:val="107"/>
    <w:next w:val="107"/>
    <w:unhideWhenUsed/>
    <w:qFormat/>
    <w:uiPriority w:val="0"/>
    <w:pPr>
      <w:ind w:left="420" w:hanging="420"/>
      <w:jc w:val="left"/>
      <w:outlineLvl w:val="7"/>
    </w:pPr>
    <w:rPr>
      <w:rFonts w:hint="eastAsia"/>
      <w:kern w:val="0"/>
      <w:sz w:val="21"/>
    </w:rPr>
  </w:style>
  <w:style w:type="paragraph" w:customStyle="1" w:styleId="113">
    <w:name w:val="鸟种"/>
    <w:basedOn w:val="107"/>
    <w:next w:val="107"/>
    <w:qFormat/>
    <w:uiPriority w:val="0"/>
    <w:pPr>
      <w:adjustRightInd w:val="0"/>
      <w:snapToGrid w:val="0"/>
      <w:jc w:val="left"/>
    </w:pPr>
    <w:rPr>
      <w:kern w:val="0"/>
    </w:rPr>
  </w:style>
  <w:style w:type="paragraph" w:customStyle="1" w:styleId="114">
    <w:name w:val="两目"/>
    <w:basedOn w:val="111"/>
    <w:next w:val="107"/>
    <w:unhideWhenUsed/>
    <w:qFormat/>
    <w:uiPriority w:val="0"/>
    <w:pPr>
      <w:ind w:left="0" w:firstLine="0"/>
    </w:pPr>
  </w:style>
  <w:style w:type="paragraph" w:customStyle="1" w:styleId="115">
    <w:name w:val="两科"/>
    <w:basedOn w:val="112"/>
    <w:next w:val="107"/>
    <w:unhideWhenUsed/>
    <w:qFormat/>
    <w:uiPriority w:val="0"/>
  </w:style>
  <w:style w:type="paragraph" w:customStyle="1" w:styleId="116">
    <w:name w:val="两种"/>
    <w:basedOn w:val="113"/>
    <w:unhideWhenUsed/>
    <w:qFormat/>
    <w:uiPriority w:val="0"/>
    <w:rPr>
      <w:rFonts w:hint="eastAsia"/>
      <w:sz w:val="21"/>
    </w:rPr>
  </w:style>
  <w:style w:type="paragraph" w:customStyle="1" w:styleId="117">
    <w:name w:val="爬目"/>
    <w:basedOn w:val="111"/>
    <w:next w:val="107"/>
    <w:unhideWhenUsed/>
    <w:qFormat/>
    <w:uiPriority w:val="0"/>
    <w:pPr>
      <w:ind w:left="0" w:firstLine="0"/>
    </w:pPr>
  </w:style>
  <w:style w:type="paragraph" w:customStyle="1" w:styleId="118">
    <w:name w:val="爬科"/>
    <w:basedOn w:val="112"/>
    <w:next w:val="107"/>
    <w:unhideWhenUsed/>
    <w:qFormat/>
    <w:uiPriority w:val="0"/>
  </w:style>
  <w:style w:type="paragraph" w:customStyle="1" w:styleId="119">
    <w:name w:val="爬种"/>
    <w:basedOn w:val="113"/>
    <w:next w:val="107"/>
    <w:unhideWhenUsed/>
    <w:qFormat/>
    <w:uiPriority w:val="0"/>
    <w:pPr>
      <w:ind w:left="840" w:hanging="420"/>
    </w:pPr>
    <w:rPr>
      <w:rFonts w:hint="eastAsia"/>
      <w:sz w:val="21"/>
    </w:rPr>
  </w:style>
  <w:style w:type="paragraph" w:customStyle="1" w:styleId="120">
    <w:name w:val="正文00"/>
    <w:basedOn w:val="1"/>
    <w:link w:val="199"/>
    <w:qFormat/>
    <w:uiPriority w:val="0"/>
    <w:pPr>
      <w:ind w:firstLine="480"/>
    </w:pPr>
    <w:rPr>
      <w:rFonts w:ascii="宋体" w:hAnsi="宋体" w:eastAsia="宋体"/>
    </w:rPr>
  </w:style>
  <w:style w:type="paragraph" w:customStyle="1" w:styleId="121">
    <w:name w:val="样式 Times New Roman 五号 居中1"/>
    <w:basedOn w:val="1"/>
    <w:next w:val="122"/>
    <w:qFormat/>
    <w:uiPriority w:val="0"/>
    <w:pPr>
      <w:jc w:val="center"/>
    </w:pPr>
    <w:rPr>
      <w:rFonts w:eastAsia="宋体"/>
      <w:sz w:val="21"/>
      <w:szCs w:val="21"/>
    </w:rPr>
  </w:style>
  <w:style w:type="paragraph" w:customStyle="1" w:styleId="122">
    <w:name w:val="表头"/>
    <w:basedOn w:val="14"/>
    <w:next w:val="1"/>
    <w:qFormat/>
    <w:uiPriority w:val="0"/>
    <w:pPr>
      <w:adjustRightInd w:val="0"/>
      <w:snapToGrid w:val="0"/>
      <w:spacing w:line="320" w:lineRule="atLeast"/>
      <w:jc w:val="center"/>
      <w:textAlignment w:val="baseline"/>
    </w:pPr>
    <w:rPr>
      <w:rFonts w:eastAsia="黑体"/>
      <w:spacing w:val="-10"/>
      <w:sz w:val="21"/>
    </w:rPr>
  </w:style>
  <w:style w:type="paragraph" w:customStyle="1" w:styleId="123">
    <w:name w:val="样式4"/>
    <w:basedOn w:val="1"/>
    <w:qFormat/>
    <w:uiPriority w:val="0"/>
    <w:pPr>
      <w:adjustRightInd w:val="0"/>
      <w:snapToGrid w:val="0"/>
      <w:jc w:val="center"/>
    </w:pPr>
    <w:rPr>
      <w:szCs w:val="20"/>
    </w:rPr>
  </w:style>
  <w:style w:type="table" w:customStyle="1" w:styleId="124">
    <w:name w:val="网格型2"/>
    <w:basedOn w:val="36"/>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125">
    <w:name w:val="00正文00"/>
    <w:basedOn w:val="1"/>
    <w:next w:val="121"/>
    <w:qFormat/>
    <w:uiPriority w:val="0"/>
    <w:pPr>
      <w:ind w:firstLine="480"/>
    </w:pPr>
    <w:rPr>
      <w:rFonts w:hAnsi="Times New Roman" w:eastAsia="宋体" w:cs="Times New Roman"/>
    </w:rPr>
  </w:style>
  <w:style w:type="paragraph" w:customStyle="1" w:styleId="126">
    <w:name w:val="00表头00"/>
    <w:basedOn w:val="1"/>
    <w:qFormat/>
    <w:uiPriority w:val="0"/>
    <w:pPr>
      <w:tabs>
        <w:tab w:val="center" w:pos="4153"/>
      </w:tabs>
      <w:jc w:val="center"/>
    </w:pPr>
    <w:rPr>
      <w:rFonts w:hAnsi="Times New Roman" w:eastAsia="宋体" w:cs="Times New Roman"/>
      <w:szCs w:val="18"/>
    </w:rPr>
  </w:style>
  <w:style w:type="paragraph" w:customStyle="1" w:styleId="127">
    <w:name w:val="00表文00"/>
    <w:basedOn w:val="1"/>
    <w:next w:val="1"/>
    <w:qFormat/>
    <w:uiPriority w:val="0"/>
    <w:pPr>
      <w:autoSpaceDE w:val="0"/>
      <w:autoSpaceDN w:val="0"/>
      <w:spacing w:line="240" w:lineRule="auto"/>
      <w:contextualSpacing/>
      <w:jc w:val="center"/>
    </w:pPr>
    <w:rPr>
      <w:rFonts w:hAnsi="Times New Roman" w:eastAsia="宋体" w:cs="Times New Roman"/>
      <w:szCs w:val="18"/>
    </w:rPr>
  </w:style>
  <w:style w:type="paragraph" w:customStyle="1" w:styleId="128">
    <w:name w:val="00【表头】"/>
    <w:basedOn w:val="1"/>
    <w:qFormat/>
    <w:uiPriority w:val="0"/>
    <w:pPr>
      <w:adjustRightInd w:val="0"/>
      <w:snapToGrid w:val="0"/>
      <w:jc w:val="center"/>
    </w:pPr>
    <w:rPr>
      <w:rFonts w:hAnsi="Times New Roman" w:eastAsia="宋体" w:cs="Times New Roman"/>
    </w:rPr>
  </w:style>
  <w:style w:type="paragraph" w:customStyle="1" w:styleId="129">
    <w:name w:val="a-文本缩2"/>
    <w:qFormat/>
    <w:uiPriority w:val="0"/>
    <w:pPr>
      <w:adjustRightInd w:val="0"/>
      <w:snapToGrid w:val="0"/>
      <w:spacing w:line="360" w:lineRule="auto"/>
      <w:ind w:firstLine="200" w:firstLineChars="200"/>
      <w:jc w:val="both"/>
    </w:pPr>
    <w:rPr>
      <w:rFonts w:ascii="Times New Roman" w:hAnsi="Times New Roman" w:eastAsia="宋体" w:cs="Times New Roman"/>
      <w:color w:val="000000"/>
      <w:kern w:val="2"/>
      <w:sz w:val="24"/>
      <w:szCs w:val="21"/>
      <w:lang w:val="en-US" w:eastAsia="zh-CN" w:bidi="ar-SA"/>
    </w:rPr>
  </w:style>
  <w:style w:type="paragraph" w:customStyle="1" w:styleId="130">
    <w:name w:val="表格文字2"/>
    <w:basedOn w:val="1"/>
    <w:qFormat/>
    <w:uiPriority w:val="0"/>
    <w:pPr>
      <w:tabs>
        <w:tab w:val="left" w:pos="277"/>
        <w:tab w:val="left" w:pos="600"/>
        <w:tab w:val="left" w:pos="780"/>
        <w:tab w:val="left" w:pos="2517"/>
      </w:tabs>
      <w:adjustRightInd w:val="0"/>
      <w:jc w:val="center"/>
      <w:textAlignment w:val="baseline"/>
    </w:pPr>
    <w:rPr>
      <w:rFonts w:hAnsi="Times New Roman"/>
      <w:kern w:val="0"/>
      <w:szCs w:val="21"/>
    </w:rPr>
  </w:style>
  <w:style w:type="paragraph" w:customStyle="1" w:styleId="131">
    <w:name w:val="表格文字"/>
    <w:basedOn w:val="14"/>
    <w:next w:val="1"/>
    <w:qFormat/>
    <w:uiPriority w:val="0"/>
    <w:pPr>
      <w:spacing w:before="60" w:after="60"/>
      <w:ind w:firstLine="640"/>
    </w:pPr>
    <w:rPr>
      <w:rFonts w:ascii="Calibri" w:hAnsi="Calibri" w:cs="Times New Roman"/>
    </w:rPr>
  </w:style>
  <w:style w:type="paragraph" w:customStyle="1" w:styleId="132">
    <w:name w:val="表格标题样式"/>
    <w:basedOn w:val="13"/>
    <w:qFormat/>
    <w:uiPriority w:val="0"/>
    <w:pPr>
      <w:spacing w:after="0" w:line="480" w:lineRule="exact"/>
      <w:ind w:firstLine="0" w:firstLineChars="0"/>
      <w:jc w:val="center"/>
    </w:pPr>
    <w:rPr>
      <w:rFonts w:eastAsia="黑体"/>
      <w:snapToGrid w:val="0"/>
      <w:color w:val="0070C0"/>
    </w:rPr>
  </w:style>
  <w:style w:type="paragraph" w:customStyle="1" w:styleId="133">
    <w:name w:val="样式 黑体 居中 行距: 1.5 倍行距"/>
    <w:basedOn w:val="1"/>
    <w:qFormat/>
    <w:uiPriority w:val="0"/>
    <w:pPr>
      <w:jc w:val="center"/>
    </w:pPr>
    <w:rPr>
      <w:rFonts w:ascii="黑体" w:hAnsi="黑体" w:eastAsia="黑体"/>
      <w:kern w:val="0"/>
      <w:szCs w:val="20"/>
    </w:rPr>
  </w:style>
  <w:style w:type="paragraph" w:customStyle="1" w:styleId="134">
    <w:name w:val="Table Paragraph"/>
    <w:basedOn w:val="1"/>
    <w:qFormat/>
    <w:uiPriority w:val="1"/>
    <w:pPr>
      <w:spacing w:before="181"/>
      <w:ind w:left="72"/>
    </w:pPr>
    <w:rPr>
      <w:rFonts w:hAnsi="Times New Roman" w:eastAsia="Times New Roman" w:cs="Times New Roman"/>
    </w:rPr>
  </w:style>
  <w:style w:type="table" w:customStyle="1" w:styleId="135">
    <w:name w:val="Table Normal"/>
    <w:unhideWhenUsed/>
    <w:qFormat/>
    <w:uiPriority w:val="0"/>
    <w:pPr>
      <w:widowControl w:val="0"/>
      <w:autoSpaceDE w:val="0"/>
      <w:autoSpaceDN w:val="0"/>
    </w:pPr>
    <w:rPr>
      <w:sz w:val="22"/>
      <w:lang w:eastAsia="en-US"/>
    </w:rPr>
    <w:tblPr>
      <w:tblCellMar>
        <w:top w:w="0" w:type="dxa"/>
        <w:left w:w="0" w:type="dxa"/>
        <w:bottom w:w="0" w:type="dxa"/>
        <w:right w:w="0" w:type="dxa"/>
      </w:tblCellMar>
    </w:tblPr>
  </w:style>
  <w:style w:type="paragraph" w:customStyle="1" w:styleId="136">
    <w:name w:val="1"/>
    <w:basedOn w:val="1"/>
    <w:next w:val="14"/>
    <w:qFormat/>
    <w:uiPriority w:val="0"/>
    <w:pPr>
      <w:adjustRightInd w:val="0"/>
      <w:spacing w:after="120" w:line="360" w:lineRule="atLeast"/>
    </w:pPr>
  </w:style>
  <w:style w:type="character" w:customStyle="1" w:styleId="137">
    <w:name w:val="标题 1 Char Char"/>
    <w:qFormat/>
    <w:uiPriority w:val="0"/>
    <w:rPr>
      <w:rFonts w:eastAsia="宋体"/>
      <w:b/>
      <w:bCs/>
      <w:kern w:val="44"/>
      <w:sz w:val="44"/>
      <w:szCs w:val="44"/>
      <w:lang w:val="en-US" w:eastAsia="zh-CN" w:bidi="ar-SA"/>
    </w:rPr>
  </w:style>
  <w:style w:type="paragraph" w:customStyle="1" w:styleId="138">
    <w:name w:val="Table Text"/>
    <w:basedOn w:val="1"/>
    <w:semiHidden/>
    <w:qFormat/>
    <w:uiPriority w:val="0"/>
    <w:rPr>
      <w:rFonts w:ascii="宋体" w:hAnsi="宋体" w:eastAsia="宋体"/>
      <w:sz w:val="20"/>
      <w:szCs w:val="20"/>
      <w:lang w:eastAsia="en-US"/>
    </w:rPr>
  </w:style>
  <w:style w:type="paragraph" w:customStyle="1" w:styleId="139">
    <w:name w:val="1正文"/>
    <w:basedOn w:val="1"/>
    <w:qFormat/>
    <w:uiPriority w:val="0"/>
    <w:pPr>
      <w:kinsoku w:val="0"/>
      <w:overflowPunct w:val="0"/>
      <w:autoSpaceDE w:val="0"/>
      <w:autoSpaceDN w:val="0"/>
      <w:adjustRightInd w:val="0"/>
      <w:snapToGrid w:val="0"/>
      <w:ind w:firstLine="560"/>
    </w:pPr>
    <w:rPr>
      <w:kern w:val="0"/>
      <w:szCs w:val="28"/>
    </w:rPr>
  </w:style>
  <w:style w:type="paragraph" w:customStyle="1" w:styleId="140">
    <w:name w:val="Char Char Char Char Char Char Char2"/>
    <w:basedOn w:val="1"/>
    <w:qFormat/>
    <w:uiPriority w:val="0"/>
    <w:pPr>
      <w:snapToGrid w:val="0"/>
      <w:ind w:firstLine="529"/>
    </w:pPr>
  </w:style>
  <w:style w:type="paragraph" w:customStyle="1" w:styleId="141">
    <w:name w:val="C首行缩进正文"/>
    <w:basedOn w:val="93"/>
    <w:qFormat/>
    <w:uiPriority w:val="0"/>
    <w:rPr>
      <w:color w:val="000000"/>
      <w:sz w:val="21"/>
    </w:rPr>
  </w:style>
  <w:style w:type="paragraph" w:customStyle="1" w:styleId="142">
    <w:name w:val="表内字"/>
    <w:autoRedefine/>
    <w:qFormat/>
    <w:uiPriority w:val="0"/>
    <w:pPr>
      <w:spacing w:line="312" w:lineRule="auto"/>
      <w:jc w:val="center"/>
    </w:pPr>
    <w:rPr>
      <w:rFonts w:ascii="Times New Roman" w:hAnsi="Times New Roman" w:eastAsia="宋体" w:cs="Times New Roman"/>
      <w:color w:val="000000"/>
      <w:sz w:val="21"/>
      <w:lang w:val="en-US" w:eastAsia="zh-CN" w:bidi="ar-SA"/>
    </w:rPr>
  </w:style>
  <w:style w:type="paragraph" w:customStyle="1" w:styleId="143">
    <w:name w:val="合稿【表中文字】"/>
    <w:basedOn w:val="1"/>
    <w:qFormat/>
    <w:uiPriority w:val="0"/>
    <w:pPr>
      <w:adjustRightInd w:val="0"/>
      <w:snapToGrid w:val="0"/>
      <w:spacing w:line="312" w:lineRule="auto"/>
      <w:ind w:left="9" w:leftChars="9" w:right="9" w:rightChars="9" w:firstLine="0" w:firstLineChars="0"/>
      <w:jc w:val="center"/>
    </w:pPr>
    <w:rPr>
      <w:snapToGrid w:val="0"/>
      <w:color w:val="000000"/>
      <w:sz w:val="21"/>
      <w:szCs w:val="20"/>
    </w:rPr>
  </w:style>
  <w:style w:type="paragraph" w:customStyle="1" w:styleId="144">
    <w:name w:val="【表中】"/>
    <w:basedOn w:val="1"/>
    <w:autoRedefine/>
    <w:qFormat/>
    <w:uiPriority w:val="99"/>
    <w:pPr>
      <w:tabs>
        <w:tab w:val="left" w:leader="middleDot" w:pos="7371"/>
      </w:tabs>
      <w:adjustRightInd w:val="0"/>
      <w:snapToGrid w:val="0"/>
      <w:jc w:val="center"/>
    </w:pPr>
    <w:rPr>
      <w:sz w:val="21"/>
    </w:rPr>
  </w:style>
  <w:style w:type="paragraph" w:customStyle="1" w:styleId="145">
    <w:name w:val="图注"/>
    <w:basedOn w:val="1"/>
    <w:qFormat/>
    <w:uiPriority w:val="0"/>
    <w:pPr>
      <w:jc w:val="center"/>
    </w:pPr>
    <w:rPr>
      <w:rFonts w:hAnsi="Times New Roman" w:eastAsia="黑体" w:cs="Times New Roman"/>
    </w:rPr>
  </w:style>
  <w:style w:type="paragraph" w:customStyle="1" w:styleId="146">
    <w:name w:val="正"/>
    <w:basedOn w:val="1"/>
    <w:semiHidden/>
    <w:qFormat/>
    <w:uiPriority w:val="0"/>
    <w:pPr>
      <w:spacing w:beforeLines="25" w:afterLines="25" w:line="440" w:lineRule="exact"/>
    </w:pPr>
    <w:rPr>
      <w:szCs w:val="20"/>
    </w:rPr>
  </w:style>
  <w:style w:type="paragraph" w:customStyle="1" w:styleId="147">
    <w:name w:val="正文12"/>
    <w:qFormat/>
    <w:uiPriority w:val="0"/>
    <w:pPr>
      <w:widowControl w:val="0"/>
      <w:adjustRightInd w:val="0"/>
      <w:spacing w:line="360" w:lineRule="atLeast"/>
      <w:textAlignment w:val="baseline"/>
    </w:pPr>
    <w:rPr>
      <w:rFonts w:ascii="宋体" w:hAnsi="Times New Roman" w:eastAsia="宋体" w:cs="Times New Roman"/>
      <w:sz w:val="24"/>
      <w:lang w:val="en-US" w:eastAsia="zh-CN" w:bidi="ar-SA"/>
    </w:rPr>
  </w:style>
  <w:style w:type="paragraph" w:customStyle="1" w:styleId="148">
    <w:name w:val="报告书正文"/>
    <w:basedOn w:val="12"/>
    <w:qFormat/>
    <w:uiPriority w:val="0"/>
    <w:pPr>
      <w:adjustRightInd w:val="0"/>
      <w:snapToGrid w:val="0"/>
      <w:ind w:firstLine="425"/>
      <w:textAlignment w:val="baseline"/>
    </w:pPr>
    <w:rPr>
      <w:rFonts w:ascii="Arial" w:hAnsi="Arial"/>
    </w:rPr>
  </w:style>
  <w:style w:type="paragraph" w:customStyle="1" w:styleId="149">
    <w:name w:val="1表格内容"/>
    <w:basedOn w:val="1"/>
    <w:qFormat/>
    <w:uiPriority w:val="0"/>
    <w:pPr>
      <w:adjustRightInd w:val="0"/>
      <w:snapToGrid w:val="0"/>
      <w:spacing w:line="360" w:lineRule="atLeast"/>
      <w:ind w:firstLine="0" w:firstLineChars="0"/>
      <w:jc w:val="center"/>
    </w:pPr>
    <w:rPr>
      <w:rFonts w:hAnsi="Times New Roman" w:cs="Times New Roman"/>
      <w:sz w:val="21"/>
      <w:szCs w:val="15"/>
    </w:rPr>
  </w:style>
  <w:style w:type="paragraph" w:customStyle="1" w:styleId="150">
    <w:name w:val="【正文四号】"/>
    <w:basedOn w:val="1"/>
    <w:qFormat/>
    <w:uiPriority w:val="0"/>
    <w:pPr>
      <w:ind w:firstLine="480"/>
    </w:pPr>
    <w:rPr>
      <w:sz w:val="28"/>
    </w:rPr>
  </w:style>
  <w:style w:type="paragraph" w:customStyle="1" w:styleId="151">
    <w:name w:val="②JM正文 居中"/>
    <w:basedOn w:val="152"/>
    <w:next w:val="152"/>
    <w:qFormat/>
    <w:uiPriority w:val="0"/>
    <w:pPr>
      <w:tabs>
        <w:tab w:val="left" w:pos="0"/>
      </w:tabs>
      <w:ind w:firstLine="0" w:firstLineChars="0"/>
      <w:jc w:val="center"/>
    </w:pPr>
  </w:style>
  <w:style w:type="paragraph" w:customStyle="1" w:styleId="152">
    <w:name w:val="②JM正文"/>
    <w:basedOn w:val="153"/>
    <w:qFormat/>
    <w:uiPriority w:val="0"/>
    <w:pPr>
      <w:tabs>
        <w:tab w:val="left" w:pos="0"/>
      </w:tabs>
      <w:ind w:firstLine="720" w:firstLineChars="200"/>
    </w:pPr>
  </w:style>
  <w:style w:type="paragraph" w:customStyle="1" w:styleId="153">
    <w:name w:val="②JM正文 顶格"/>
    <w:basedOn w:val="154"/>
    <w:next w:val="152"/>
    <w:qFormat/>
    <w:uiPriority w:val="0"/>
    <w:pPr>
      <w:tabs>
        <w:tab w:val="left" w:pos="0"/>
      </w:tabs>
      <w:spacing w:line="360" w:lineRule="auto"/>
      <w:jc w:val="left"/>
    </w:pPr>
    <w:rPr>
      <w:rFonts w:eastAsia="宋体"/>
    </w:rPr>
  </w:style>
  <w:style w:type="paragraph" w:customStyle="1" w:styleId="154">
    <w:name w:val="①JM表格 居中"/>
    <w:basedOn w:val="1"/>
    <w:next w:val="1"/>
    <w:qFormat/>
    <w:uiPriority w:val="0"/>
    <w:pPr>
      <w:spacing w:line="240" w:lineRule="auto"/>
      <w:ind w:firstLine="0" w:firstLineChars="0"/>
      <w:jc w:val="center"/>
    </w:pPr>
    <w:rPr>
      <w:rFonts w:hAnsi="Times New Roman"/>
      <w:sz w:val="21"/>
    </w:rPr>
  </w:style>
  <w:style w:type="paragraph" w:customStyle="1" w:styleId="155">
    <w:name w:val="表中字"/>
    <w:basedOn w:val="1"/>
    <w:link w:val="206"/>
    <w:autoRedefine/>
    <w:qFormat/>
    <w:uiPriority w:val="0"/>
    <w:pPr>
      <w:spacing w:line="240" w:lineRule="auto"/>
      <w:ind w:firstLine="0" w:firstLineChars="0"/>
      <w:jc w:val="left"/>
    </w:pPr>
    <w:rPr>
      <w:rFonts w:hint="eastAsia"/>
      <w:sz w:val="21"/>
    </w:rPr>
  </w:style>
  <w:style w:type="paragraph" w:customStyle="1" w:styleId="156">
    <w:name w:val="样式 正文首行缩进 + 首行缩进:  2 字符1"/>
    <w:basedOn w:val="1"/>
    <w:next w:val="15"/>
    <w:qFormat/>
    <w:uiPriority w:val="0"/>
    <w:pPr>
      <w:ind w:firstLine="480"/>
    </w:pPr>
  </w:style>
  <w:style w:type="paragraph" w:customStyle="1" w:styleId="157">
    <w:name w:val=".表格标题"/>
    <w:basedOn w:val="148"/>
    <w:next w:val="1"/>
    <w:qFormat/>
    <w:uiPriority w:val="0"/>
    <w:pPr>
      <w:keepNext/>
      <w:spacing w:line="520" w:lineRule="exact"/>
      <w:ind w:firstLine="0" w:firstLineChars="0"/>
      <w:jc w:val="center"/>
    </w:pPr>
    <w:rPr>
      <w:b/>
    </w:rPr>
  </w:style>
  <w:style w:type="paragraph" w:customStyle="1" w:styleId="158">
    <w:name w:val="啊的表格文字"/>
    <w:basedOn w:val="14"/>
    <w:qFormat/>
    <w:uiPriority w:val="0"/>
    <w:pPr>
      <w:spacing w:after="0" w:line="240" w:lineRule="auto"/>
      <w:ind w:firstLine="0" w:firstLineChars="0"/>
      <w:jc w:val="center"/>
    </w:pPr>
    <w:rPr>
      <w:rFonts w:cs="Times New Roman"/>
      <w:color w:val="000000"/>
      <w:kern w:val="40"/>
      <w:sz w:val="21"/>
      <w:szCs w:val="20"/>
    </w:rPr>
  </w:style>
  <w:style w:type="paragraph" w:customStyle="1" w:styleId="159">
    <w:name w:val="段"/>
    <w:qFormat/>
    <w:uiPriority w:val="0"/>
    <w:pPr>
      <w:autoSpaceDE w:val="0"/>
      <w:autoSpaceDN w:val="0"/>
      <w:ind w:firstLine="200" w:firstLineChars="200"/>
      <w:jc w:val="both"/>
    </w:pPr>
    <w:rPr>
      <w:rFonts w:ascii="宋体" w:hAnsi="Calibri" w:eastAsia="宋体" w:cs="Times New Roman"/>
      <w:sz w:val="21"/>
      <w:szCs w:val="22"/>
      <w:lang w:val="en-US" w:eastAsia="zh-CN" w:bidi="ar-SA"/>
    </w:rPr>
  </w:style>
  <w:style w:type="paragraph" w:customStyle="1" w:styleId="160">
    <w:name w:val="表中文字"/>
    <w:basedOn w:val="1"/>
    <w:qFormat/>
    <w:uiPriority w:val="0"/>
    <w:pPr>
      <w:spacing w:line="360" w:lineRule="exact"/>
      <w:ind w:firstLine="0" w:firstLineChars="0"/>
      <w:jc w:val="center"/>
    </w:pPr>
    <w:rPr>
      <w:sz w:val="21"/>
    </w:rPr>
  </w:style>
  <w:style w:type="paragraph" w:customStyle="1" w:styleId="161">
    <w:name w:val="正文1111"/>
    <w:basedOn w:val="1"/>
    <w:qFormat/>
    <w:uiPriority w:val="0"/>
    <w:pPr>
      <w:ind w:firstLine="964"/>
    </w:pPr>
    <w:rPr>
      <w:rFonts w:hAnsi="Times New Roman" w:eastAsia="楷体"/>
    </w:rPr>
  </w:style>
  <w:style w:type="paragraph" w:customStyle="1" w:styleId="162">
    <w:name w:val="表格1"/>
    <w:qFormat/>
    <w:uiPriority w:val="0"/>
    <w:pPr>
      <w:spacing w:line="312" w:lineRule="auto"/>
      <w:jc w:val="center"/>
    </w:pPr>
    <w:rPr>
      <w:rFonts w:ascii="Times New Roman" w:hAnsi="Times New Roman" w:eastAsia="楷体" w:cstheme="minorBidi"/>
      <w:b/>
      <w:sz w:val="22"/>
      <w:szCs w:val="21"/>
      <w:lang w:val="en-US" w:eastAsia="zh-CN" w:bidi="ar-SA"/>
    </w:rPr>
  </w:style>
  <w:style w:type="paragraph" w:customStyle="1" w:styleId="163">
    <w:name w:val="wang正文"/>
    <w:basedOn w:val="1"/>
    <w:qFormat/>
    <w:uiPriority w:val="0"/>
    <w:pPr>
      <w:tabs>
        <w:tab w:val="left" w:pos="6840"/>
      </w:tabs>
      <w:topLinePunct/>
      <w:ind w:firstLine="420"/>
    </w:pPr>
    <w:rPr>
      <w:rFonts w:hAnsi="Times New Roman" w:eastAsia="宋体" w:cs="Times New Roman"/>
      <w:kern w:val="0"/>
    </w:rPr>
  </w:style>
  <w:style w:type="character" w:customStyle="1" w:styleId="164">
    <w:name w:val="普通(网站) Char"/>
    <w:qFormat/>
    <w:uiPriority w:val="0"/>
    <w:rPr>
      <w:rFonts w:hint="eastAsia" w:ascii="宋体" w:hAnsi="宋体" w:eastAsia="宋体" w:cs="宋体"/>
      <w:sz w:val="24"/>
      <w:szCs w:val="24"/>
      <w:lang w:val="en-US" w:eastAsia="zh-CN" w:bidi="ar-SA"/>
    </w:rPr>
  </w:style>
  <w:style w:type="paragraph" w:customStyle="1" w:styleId="165">
    <w:name w:val="p0"/>
    <w:basedOn w:val="1"/>
    <w:qFormat/>
    <w:uiPriority w:val="0"/>
    <w:pPr>
      <w:widowControl/>
    </w:pPr>
    <w:rPr>
      <w:kern w:val="0"/>
      <w:szCs w:val="21"/>
    </w:rPr>
  </w:style>
  <w:style w:type="paragraph" w:customStyle="1" w:styleId="166">
    <w:name w:val="管线表头"/>
    <w:basedOn w:val="1"/>
    <w:qFormat/>
    <w:uiPriority w:val="0"/>
    <w:pPr>
      <w:adjustRightInd w:val="0"/>
      <w:snapToGrid w:val="0"/>
      <w:jc w:val="center"/>
    </w:pPr>
    <w:rPr>
      <w:b/>
      <w:szCs w:val="21"/>
      <w:lang w:val="zh-CN"/>
    </w:rPr>
  </w:style>
  <w:style w:type="paragraph" w:customStyle="1" w:styleId="167">
    <w:name w:val="4级样式"/>
    <w:basedOn w:val="5"/>
    <w:qFormat/>
    <w:uiPriority w:val="0"/>
    <w:rPr>
      <w:kern w:val="0"/>
      <w:szCs w:val="24"/>
      <w:lang w:val="zh-CN"/>
    </w:rPr>
  </w:style>
  <w:style w:type="paragraph" w:customStyle="1" w:styleId="168">
    <w:name w:val="样式 Times New Roman 五号 居中"/>
    <w:basedOn w:val="1"/>
    <w:qFormat/>
    <w:uiPriority w:val="0"/>
    <w:pPr>
      <w:jc w:val="center"/>
    </w:pPr>
    <w:rPr>
      <w:sz w:val="21"/>
    </w:rPr>
  </w:style>
  <w:style w:type="paragraph" w:customStyle="1" w:styleId="169">
    <w:name w:val="表头、图名"/>
    <w:basedOn w:val="1"/>
    <w:next w:val="1"/>
    <w:qFormat/>
    <w:uiPriority w:val="0"/>
    <w:pPr>
      <w:ind w:firstLine="0" w:firstLineChars="0"/>
      <w:jc w:val="center"/>
    </w:pPr>
    <w:rPr>
      <w:rFonts w:hint="eastAsia" w:hAnsi="Times New Roman" w:eastAsia="黑体" w:cs="Times New Roman"/>
    </w:rPr>
  </w:style>
  <w:style w:type="character" w:customStyle="1" w:styleId="170">
    <w:name w:val="文档结构图 Char"/>
    <w:basedOn w:val="38"/>
    <w:link w:val="17"/>
    <w:qFormat/>
    <w:uiPriority w:val="0"/>
    <w:rPr>
      <w:rFonts w:ascii="宋体" w:hAnsi="Calibri"/>
      <w:kern w:val="2"/>
      <w:sz w:val="18"/>
      <w:szCs w:val="18"/>
    </w:rPr>
  </w:style>
  <w:style w:type="character" w:customStyle="1" w:styleId="171">
    <w:name w:val="题注 Char"/>
    <w:link w:val="16"/>
    <w:qFormat/>
    <w:uiPriority w:val="0"/>
    <w:rPr>
      <w:rFonts w:eastAsia="宋体" w:cs="Arial"/>
      <w:kern w:val="2"/>
      <w:sz w:val="24"/>
    </w:rPr>
  </w:style>
  <w:style w:type="character" w:customStyle="1" w:styleId="172">
    <w:name w:val="副标题 Char"/>
    <w:basedOn w:val="38"/>
    <w:link w:val="28"/>
    <w:qFormat/>
    <w:uiPriority w:val="0"/>
    <w:rPr>
      <w:rFonts w:eastAsia="宋体" w:asciiTheme="majorHAnsi" w:hAnsiTheme="majorHAnsi" w:cstheme="majorBidi"/>
      <w:b/>
      <w:bCs/>
      <w:kern w:val="28"/>
      <w:sz w:val="32"/>
      <w:szCs w:val="32"/>
    </w:rPr>
  </w:style>
  <w:style w:type="paragraph" w:styleId="173">
    <w:name w:val="List Paragraph"/>
    <w:basedOn w:val="1"/>
    <w:qFormat/>
    <w:uiPriority w:val="34"/>
    <w:pPr>
      <w:ind w:firstLine="420"/>
    </w:pPr>
  </w:style>
  <w:style w:type="paragraph" w:customStyle="1" w:styleId="174">
    <w:name w:val="TOC 标题2"/>
    <w:basedOn w:val="2"/>
    <w:next w:val="1"/>
    <w:semiHidden/>
    <w:unhideWhenUsed/>
    <w:qFormat/>
    <w:uiPriority w:val="39"/>
    <w:pPr>
      <w:numPr>
        <w:numId w:val="0"/>
      </w:numPr>
      <w:spacing w:beforeLines="0" w:afterLines="0" w:line="276" w:lineRule="auto"/>
      <w:jc w:val="left"/>
      <w:outlineLvl w:val="9"/>
    </w:pPr>
    <w:rPr>
      <w:rFonts w:ascii="Cambria" w:hAnsi="Cambria" w:eastAsia="宋体" w:cstheme="majorBidi"/>
      <w:color w:val="365F91"/>
      <w:kern w:val="0"/>
      <w:sz w:val="28"/>
      <w:szCs w:val="28"/>
    </w:rPr>
  </w:style>
  <w:style w:type="paragraph" w:customStyle="1" w:styleId="175">
    <w:name w:val="【标题2】"/>
    <w:basedOn w:val="3"/>
    <w:link w:val="176"/>
    <w:qFormat/>
    <w:uiPriority w:val="0"/>
    <w:pPr>
      <w:keepNext w:val="0"/>
      <w:numPr>
        <w:ilvl w:val="0"/>
        <w:numId w:val="0"/>
      </w:numPr>
    </w:pPr>
    <w:rPr>
      <w:rFonts w:asciiTheme="minorHAnsi" w:hAnsiTheme="minorHAnsi" w:cstheme="minorBidi"/>
      <w:szCs w:val="22"/>
    </w:rPr>
  </w:style>
  <w:style w:type="character" w:customStyle="1" w:styleId="176">
    <w:name w:val="【标题2】 Char"/>
    <w:link w:val="175"/>
    <w:qFormat/>
    <w:uiPriority w:val="0"/>
    <w:rPr>
      <w:rFonts w:eastAsia="黑体" w:asciiTheme="minorHAnsi" w:hAnsiTheme="minorHAnsi" w:cstheme="minorBidi"/>
      <w:kern w:val="2"/>
      <w:sz w:val="32"/>
      <w:szCs w:val="22"/>
    </w:rPr>
  </w:style>
  <w:style w:type="paragraph" w:customStyle="1" w:styleId="177">
    <w:name w:val="【标题3】"/>
    <w:basedOn w:val="4"/>
    <w:qFormat/>
    <w:uiPriority w:val="0"/>
    <w:pPr>
      <w:keepNext w:val="0"/>
      <w:numPr>
        <w:ilvl w:val="0"/>
        <w:numId w:val="0"/>
      </w:numPr>
    </w:pPr>
    <w:rPr>
      <w:rFonts w:cs="Times New Roman"/>
      <w:szCs w:val="20"/>
    </w:rPr>
  </w:style>
  <w:style w:type="paragraph" w:customStyle="1" w:styleId="178">
    <w:name w:val="表后"/>
    <w:next w:val="179"/>
    <w:link w:val="180"/>
    <w:qFormat/>
    <w:uiPriority w:val="0"/>
    <w:pPr>
      <w:jc w:val="center"/>
    </w:pPr>
    <w:rPr>
      <w:rFonts w:ascii="黑体" w:hAnsi="黑体" w:eastAsia="黑体" w:cs="Times New Roman"/>
      <w:bCs/>
      <w:kern w:val="2"/>
      <w:sz w:val="24"/>
      <w:szCs w:val="24"/>
      <w:lang w:val="en-US" w:eastAsia="zh-CN" w:bidi="ar-SA"/>
    </w:rPr>
  </w:style>
  <w:style w:type="paragraph" w:customStyle="1" w:styleId="179">
    <w:name w:val="表格内"/>
    <w:basedOn w:val="178"/>
    <w:link w:val="181"/>
    <w:qFormat/>
    <w:uiPriority w:val="0"/>
    <w:rPr>
      <w:rFonts w:ascii="Times New Roman" w:hAnsi="Times New Roman" w:eastAsia="宋体" w:cs="宋体"/>
      <w:sz w:val="21"/>
    </w:rPr>
  </w:style>
  <w:style w:type="character" w:customStyle="1" w:styleId="180">
    <w:name w:val="表后 Char"/>
    <w:basedOn w:val="38"/>
    <w:link w:val="178"/>
    <w:qFormat/>
    <w:uiPriority w:val="0"/>
    <w:rPr>
      <w:rFonts w:ascii="黑体" w:hAnsi="黑体" w:eastAsia="黑体"/>
      <w:bCs/>
      <w:kern w:val="2"/>
      <w:sz w:val="24"/>
      <w:szCs w:val="24"/>
    </w:rPr>
  </w:style>
  <w:style w:type="character" w:customStyle="1" w:styleId="181">
    <w:name w:val="表格内 Char"/>
    <w:basedOn w:val="180"/>
    <w:link w:val="179"/>
    <w:qFormat/>
    <w:uiPriority w:val="0"/>
    <w:rPr>
      <w:rFonts w:ascii="Times New Roman" w:hAnsi="Times New Roman" w:eastAsia="宋体" w:cs="宋体"/>
      <w:sz w:val="21"/>
    </w:rPr>
  </w:style>
  <w:style w:type="paragraph" w:customStyle="1" w:styleId="182">
    <w:name w:val="列出段落2"/>
    <w:basedOn w:val="1"/>
    <w:qFormat/>
    <w:uiPriority w:val="0"/>
    <w:pPr>
      <w:ind w:firstLine="420"/>
    </w:pPr>
    <w:rPr>
      <w:rFonts w:ascii="Calibri" w:hAnsi="Calibri" w:cs="黑体"/>
      <w:sz w:val="21"/>
      <w:szCs w:val="22"/>
    </w:rPr>
  </w:style>
  <w:style w:type="paragraph" w:customStyle="1" w:styleId="183">
    <w:name w:val="这才是正文"/>
    <w:qFormat/>
    <w:uiPriority w:val="0"/>
    <w:pPr>
      <w:spacing w:line="360" w:lineRule="auto"/>
      <w:ind w:firstLine="200" w:firstLineChars="200"/>
      <w:jc w:val="both"/>
    </w:pPr>
    <w:rPr>
      <w:rFonts w:ascii="Times New Roman" w:hAnsi="Times New Roman" w:eastAsia="宋体" w:cs="宋体"/>
      <w:kern w:val="2"/>
      <w:sz w:val="24"/>
      <w:szCs w:val="24"/>
      <w:lang w:val="en-US" w:eastAsia="zh-CN" w:bidi="ar-SA"/>
    </w:rPr>
  </w:style>
  <w:style w:type="paragraph" w:customStyle="1" w:styleId="184">
    <w:name w:val="文本正文"/>
    <w:basedOn w:val="1"/>
    <w:link w:val="185"/>
    <w:autoRedefine/>
    <w:qFormat/>
    <w:uiPriority w:val="0"/>
    <w:pPr>
      <w:tabs>
        <w:tab w:val="clear" w:pos="0"/>
      </w:tabs>
      <w:adjustRightInd w:val="0"/>
      <w:snapToGrid w:val="0"/>
    </w:pPr>
    <w:rPr>
      <w:rFonts w:hAnsi="Times New Roman" w:eastAsia="宋体" w:cs="Times New Roman"/>
      <w:bCs w:val="0"/>
      <w:szCs w:val="20"/>
      <w:lang w:val="zh-CN"/>
    </w:rPr>
  </w:style>
  <w:style w:type="character" w:customStyle="1" w:styleId="185">
    <w:name w:val="文本正文 Char"/>
    <w:link w:val="184"/>
    <w:autoRedefine/>
    <w:qFormat/>
    <w:uiPriority w:val="0"/>
    <w:rPr>
      <w:rFonts w:ascii="Times New Roman" w:hAnsi="Times New Roman" w:eastAsia="宋体"/>
      <w:kern w:val="2"/>
      <w:sz w:val="24"/>
      <w:lang w:val="zh-CN"/>
    </w:rPr>
  </w:style>
  <w:style w:type="paragraph" w:customStyle="1" w:styleId="186">
    <w:name w:val="表内文字"/>
    <w:basedOn w:val="1"/>
    <w:link w:val="187"/>
    <w:qFormat/>
    <w:uiPriority w:val="0"/>
    <w:pPr>
      <w:tabs>
        <w:tab w:val="clear" w:pos="0"/>
      </w:tabs>
      <w:spacing w:line="300" w:lineRule="exact"/>
      <w:ind w:firstLine="0" w:firstLineChars="0"/>
      <w:jc w:val="center"/>
      <w:textAlignment w:val="center"/>
    </w:pPr>
    <w:rPr>
      <w:rFonts w:hAnsi="Times New Roman" w:cs="Times New Roman"/>
      <w:bCs w:val="0"/>
      <w:kern w:val="0"/>
      <w:sz w:val="21"/>
      <w:szCs w:val="21"/>
    </w:rPr>
  </w:style>
  <w:style w:type="character" w:customStyle="1" w:styleId="187">
    <w:name w:val="表内文字 Char"/>
    <w:basedOn w:val="38"/>
    <w:link w:val="186"/>
    <w:qFormat/>
    <w:uiPriority w:val="0"/>
    <w:rPr>
      <w:rFonts w:ascii="Times New Roman" w:hAnsi="Times New Roman" w:eastAsia="仿宋_GB2312"/>
      <w:sz w:val="21"/>
      <w:szCs w:val="21"/>
    </w:rPr>
  </w:style>
  <w:style w:type="paragraph" w:customStyle="1" w:styleId="188">
    <w:name w:val="正文首行缩进1"/>
    <w:basedOn w:val="14"/>
    <w:link w:val="189"/>
    <w:semiHidden/>
    <w:unhideWhenUsed/>
    <w:qFormat/>
    <w:uiPriority w:val="99"/>
    <w:pPr>
      <w:ind w:firstLine="498"/>
    </w:pPr>
    <w:rPr>
      <w:rFonts w:asciiTheme="minorHAnsi" w:hAnsiTheme="minorHAnsi" w:eastAsiaTheme="minorEastAsia" w:cstheme="minorBidi"/>
      <w:bCs/>
      <w:kern w:val="2"/>
      <w:sz w:val="21"/>
      <w:szCs w:val="22"/>
    </w:rPr>
  </w:style>
  <w:style w:type="character" w:customStyle="1" w:styleId="189">
    <w:name w:val="正文首行缩进 Char"/>
    <w:link w:val="188"/>
    <w:qFormat/>
    <w:uiPriority w:val="99"/>
  </w:style>
  <w:style w:type="paragraph" w:customStyle="1" w:styleId="190">
    <w:name w:val="样式 题注 + 段前: 0.75 行 段后: 0.5 行"/>
    <w:basedOn w:val="16"/>
    <w:qFormat/>
    <w:uiPriority w:val="0"/>
    <w:pPr>
      <w:spacing w:beforeLines="35" w:afterLines="35"/>
    </w:pPr>
    <w:rPr>
      <w:rFonts w:cs="宋体"/>
    </w:rPr>
  </w:style>
  <w:style w:type="paragraph" w:customStyle="1" w:styleId="191">
    <w:name w:val="正文-宋4行25"/>
    <w:basedOn w:val="1"/>
    <w:qFormat/>
    <w:uiPriority w:val="0"/>
    <w:pPr>
      <w:adjustRightInd w:val="0"/>
      <w:spacing w:line="400" w:lineRule="exact"/>
      <w:ind w:left="406" w:leftChars="169" w:firstLine="480"/>
      <w:textAlignment w:val="baseline"/>
    </w:pPr>
    <w:rPr>
      <w:rFonts w:ascii="宋体" w:hAnsi="Times New Roman"/>
      <w:kern w:val="0"/>
      <w:szCs w:val="20"/>
    </w:rPr>
  </w:style>
  <w:style w:type="paragraph" w:customStyle="1" w:styleId="192">
    <w:name w:val="正文C表格"/>
    <w:basedOn w:val="1"/>
    <w:link w:val="193"/>
    <w:qFormat/>
    <w:uiPriority w:val="0"/>
    <w:pPr>
      <w:keepNext/>
      <w:jc w:val="center"/>
    </w:pPr>
    <w:rPr>
      <w:rFonts w:ascii="Calibri" w:hAnsi="Calibri"/>
      <w:bCs w:val="0"/>
      <w:szCs w:val="22"/>
    </w:rPr>
  </w:style>
  <w:style w:type="character" w:customStyle="1" w:styleId="193">
    <w:name w:val="正文C表格 Char"/>
    <w:link w:val="192"/>
    <w:qFormat/>
    <w:locked/>
    <w:uiPriority w:val="0"/>
    <w:rPr>
      <w:rFonts w:eastAsia="仿宋_GB2312" w:cs="宋体"/>
      <w:kern w:val="2"/>
      <w:sz w:val="24"/>
      <w:szCs w:val="22"/>
    </w:rPr>
  </w:style>
  <w:style w:type="paragraph" w:customStyle="1" w:styleId="194">
    <w:name w:val="表文"/>
    <w:basedOn w:val="1"/>
    <w:link w:val="195"/>
    <w:qFormat/>
    <w:uiPriority w:val="0"/>
    <w:pPr>
      <w:tabs>
        <w:tab w:val="clear" w:pos="0"/>
      </w:tabs>
      <w:overflowPunct w:val="0"/>
      <w:adjustRightInd w:val="0"/>
      <w:snapToGrid w:val="0"/>
      <w:ind w:firstLine="0" w:firstLineChars="0"/>
      <w:jc w:val="center"/>
      <w:textAlignment w:val="baseline"/>
    </w:pPr>
    <w:rPr>
      <w:rFonts w:ascii="Arial" w:hAnsi="Arial" w:eastAsia="宋体" w:cs="Arial"/>
      <w:bCs w:val="0"/>
      <w:sz w:val="21"/>
      <w:szCs w:val="20"/>
    </w:rPr>
  </w:style>
  <w:style w:type="character" w:customStyle="1" w:styleId="195">
    <w:name w:val="表文 Char Char"/>
    <w:link w:val="194"/>
    <w:qFormat/>
    <w:uiPriority w:val="0"/>
    <w:rPr>
      <w:rFonts w:ascii="Arial" w:hAnsi="Arial" w:eastAsia="宋体" w:cs="Arial"/>
      <w:kern w:val="2"/>
      <w:sz w:val="21"/>
    </w:rPr>
  </w:style>
  <w:style w:type="character" w:customStyle="1" w:styleId="196">
    <w:name w:val="批注框文本 Char"/>
    <w:basedOn w:val="38"/>
    <w:link w:val="25"/>
    <w:qFormat/>
    <w:uiPriority w:val="0"/>
    <w:rPr>
      <w:rFonts w:ascii="Times New Roman" w:hAnsi="仿宋_GB2312" w:eastAsia="仿宋_GB2312" w:cs="宋体"/>
      <w:bCs/>
      <w:kern w:val="2"/>
      <w:sz w:val="18"/>
      <w:szCs w:val="18"/>
    </w:rPr>
  </w:style>
  <w:style w:type="character" w:customStyle="1" w:styleId="197">
    <w:name w:val="页脚 Char"/>
    <w:basedOn w:val="38"/>
    <w:link w:val="26"/>
    <w:qFormat/>
    <w:uiPriority w:val="0"/>
    <w:rPr>
      <w:rFonts w:ascii="Times New Roman" w:hAnsi="仿宋_GB2312" w:eastAsia="仿宋_GB2312" w:cs="宋体"/>
      <w:bCs/>
      <w:kern w:val="2"/>
      <w:sz w:val="18"/>
      <w:szCs w:val="18"/>
    </w:rPr>
  </w:style>
  <w:style w:type="character" w:customStyle="1" w:styleId="198">
    <w:name w:val="【正文】 Char Char"/>
    <w:qFormat/>
    <w:uiPriority w:val="0"/>
    <w:rPr>
      <w:rFonts w:eastAsia="宋体" w:cs="宋体"/>
      <w:kern w:val="2"/>
      <w:sz w:val="24"/>
      <w:lang w:val="en-US" w:eastAsia="zh-CN" w:bidi="ar-SA"/>
    </w:rPr>
  </w:style>
  <w:style w:type="character" w:customStyle="1" w:styleId="199">
    <w:name w:val="正文00 Char"/>
    <w:link w:val="120"/>
    <w:qFormat/>
    <w:uiPriority w:val="0"/>
    <w:rPr>
      <w:rFonts w:ascii="宋体" w:hAnsi="宋体" w:eastAsia="宋体" w:cs="宋体"/>
      <w:bCs/>
      <w:kern w:val="2"/>
      <w:sz w:val="24"/>
      <w:szCs w:val="24"/>
    </w:rPr>
  </w:style>
  <w:style w:type="paragraph" w:customStyle="1" w:styleId="200">
    <w:name w:val="样式3"/>
    <w:basedOn w:val="14"/>
    <w:qFormat/>
    <w:uiPriority w:val="0"/>
    <w:pPr>
      <w:tabs>
        <w:tab w:val="clear" w:pos="0"/>
      </w:tabs>
      <w:spacing w:after="0" w:line="500" w:lineRule="exact"/>
      <w:ind w:firstLine="200"/>
    </w:pPr>
    <w:rPr>
      <w:rFonts w:ascii="Calibri" w:hAnsi="Calibri" w:cs="Calibri"/>
      <w:color w:val="000000"/>
      <w:kern w:val="2"/>
    </w:rPr>
  </w:style>
  <w:style w:type="character" w:customStyle="1" w:styleId="201">
    <w:name w:val="font31"/>
    <w:basedOn w:val="38"/>
    <w:qFormat/>
    <w:uiPriority w:val="0"/>
    <w:rPr>
      <w:rFonts w:hint="default" w:ascii="Times New Roman" w:hAnsi="Times New Roman" w:cs="Times New Roman"/>
      <w:color w:val="000000"/>
      <w:sz w:val="21"/>
      <w:szCs w:val="21"/>
      <w:u w:val="none"/>
    </w:rPr>
  </w:style>
  <w:style w:type="character" w:customStyle="1" w:styleId="202">
    <w:name w:val="正文样式 Char"/>
    <w:link w:val="203"/>
    <w:qFormat/>
    <w:uiPriority w:val="0"/>
    <w:rPr>
      <w:rFonts w:ascii="宋体" w:hAnsi="宋体" w:eastAsia="宋体" w:cs="宋体"/>
      <w:sz w:val="24"/>
    </w:rPr>
  </w:style>
  <w:style w:type="paragraph" w:customStyle="1" w:styleId="203">
    <w:name w:val="正文样式"/>
    <w:basedOn w:val="1"/>
    <w:link w:val="202"/>
    <w:qFormat/>
    <w:uiPriority w:val="0"/>
    <w:pPr>
      <w:tabs>
        <w:tab w:val="clear" w:pos="0"/>
      </w:tabs>
      <w:ind w:firstLine="480"/>
    </w:pPr>
    <w:rPr>
      <w:rFonts w:ascii="宋体" w:hAnsi="宋体" w:eastAsia="宋体"/>
      <w:bCs w:val="0"/>
      <w:kern w:val="0"/>
      <w:szCs w:val="20"/>
    </w:rPr>
  </w:style>
  <w:style w:type="character" w:styleId="204">
    <w:name w:val="Placeholder Text"/>
    <w:basedOn w:val="38"/>
    <w:unhideWhenUsed/>
    <w:qFormat/>
    <w:uiPriority w:val="99"/>
    <w:rPr>
      <w:color w:val="808080"/>
    </w:rPr>
  </w:style>
  <w:style w:type="paragraph" w:customStyle="1" w:styleId="205">
    <w:name w:val="正文格式"/>
    <w:qFormat/>
    <w:uiPriority w:val="0"/>
    <w:pPr>
      <w:spacing w:line="360" w:lineRule="auto"/>
      <w:ind w:firstLine="200" w:firstLineChars="200"/>
    </w:pPr>
    <w:rPr>
      <w:rFonts w:ascii="宋体" w:hAnsi="宋体" w:eastAsia="宋体" w:cs="Times New Roman"/>
      <w:kern w:val="2"/>
      <w:sz w:val="28"/>
      <w:szCs w:val="22"/>
      <w:lang w:val="en-US" w:eastAsia="zh-CN" w:bidi="ar-SA"/>
    </w:rPr>
  </w:style>
  <w:style w:type="character" w:customStyle="1" w:styleId="206">
    <w:name w:val="表中字 Char"/>
    <w:link w:val="155"/>
    <w:qFormat/>
    <w:uiPriority w:val="0"/>
    <w:rPr>
      <w:rFonts w:ascii="Times New Roman" w:hAnsi="仿宋_GB2312" w:eastAsia="仿宋_GB2312" w:cs="宋体"/>
      <w:bCs/>
      <w:kern w:val="2"/>
      <w:sz w:val="21"/>
      <w:szCs w:val="24"/>
    </w:rPr>
  </w:style>
  <w:style w:type="character" w:customStyle="1" w:styleId="207">
    <w:name w:val="页眉 Char"/>
    <w:basedOn w:val="38"/>
    <w:link w:val="27"/>
    <w:qFormat/>
    <w:uiPriority w:val="0"/>
    <w:rPr>
      <w:rFonts w:ascii="Times New Roman" w:hAnsi="仿宋_GB2312" w:eastAsia="仿宋_GB2312" w:cs="宋体"/>
      <w:bCs/>
      <w:kern w:val="2"/>
      <w:sz w:val="18"/>
      <w:szCs w:val="18"/>
    </w:rPr>
  </w:style>
</w:styles>
</file>

<file path=word/_rels/document.xml.rels><?xml version="1.0" encoding="UTF-8" standalone="yes"?>
<Relationships xmlns="http://schemas.openxmlformats.org/package/2006/relationships"><Relationship Id="rId99" Type="http://schemas.openxmlformats.org/officeDocument/2006/relationships/image" Target="media/image70.wmf"/><Relationship Id="rId98" Type="http://schemas.openxmlformats.org/officeDocument/2006/relationships/oleObject" Target="embeddings/oleObject4.bin"/><Relationship Id="rId97" Type="http://schemas.openxmlformats.org/officeDocument/2006/relationships/image" Target="media/image69.wmf"/><Relationship Id="rId96" Type="http://schemas.openxmlformats.org/officeDocument/2006/relationships/oleObject" Target="embeddings/oleObject3.bin"/><Relationship Id="rId95" Type="http://schemas.openxmlformats.org/officeDocument/2006/relationships/image" Target="media/image68.png"/><Relationship Id="rId94" Type="http://schemas.openxmlformats.org/officeDocument/2006/relationships/image" Target="media/image67.wmf"/><Relationship Id="rId93" Type="http://schemas.openxmlformats.org/officeDocument/2006/relationships/oleObject" Target="embeddings/oleObject2.bin"/><Relationship Id="rId92" Type="http://schemas.openxmlformats.org/officeDocument/2006/relationships/image" Target="media/image66.jpeg"/><Relationship Id="rId91" Type="http://schemas.openxmlformats.org/officeDocument/2006/relationships/image" Target="media/image65.png"/><Relationship Id="rId90" Type="http://schemas.openxmlformats.org/officeDocument/2006/relationships/image" Target="media/image64.jpeg"/><Relationship Id="rId9" Type="http://schemas.openxmlformats.org/officeDocument/2006/relationships/footer" Target="footer2.xml"/><Relationship Id="rId89" Type="http://schemas.openxmlformats.org/officeDocument/2006/relationships/image" Target="media/image63.jpeg"/><Relationship Id="rId88" Type="http://schemas.openxmlformats.org/officeDocument/2006/relationships/image" Target="media/image62.jpeg"/><Relationship Id="rId87" Type="http://schemas.openxmlformats.org/officeDocument/2006/relationships/image" Target="media/image61.jpeg"/><Relationship Id="rId86" Type="http://schemas.openxmlformats.org/officeDocument/2006/relationships/image" Target="media/image60.jpeg"/><Relationship Id="rId85" Type="http://schemas.openxmlformats.org/officeDocument/2006/relationships/image" Target="media/image59.jpeg"/><Relationship Id="rId84" Type="http://schemas.openxmlformats.org/officeDocument/2006/relationships/image" Target="media/image58.jpeg"/><Relationship Id="rId83" Type="http://schemas.openxmlformats.org/officeDocument/2006/relationships/image" Target="media/image57.jpeg"/><Relationship Id="rId82" Type="http://schemas.openxmlformats.org/officeDocument/2006/relationships/image" Target="media/image56.jpeg"/><Relationship Id="rId81" Type="http://schemas.openxmlformats.org/officeDocument/2006/relationships/image" Target="media/image55.jpeg"/><Relationship Id="rId80" Type="http://schemas.openxmlformats.org/officeDocument/2006/relationships/image" Target="media/image54.jpeg"/><Relationship Id="rId8" Type="http://schemas.openxmlformats.org/officeDocument/2006/relationships/footer" Target="footer1.xml"/><Relationship Id="rId79" Type="http://schemas.openxmlformats.org/officeDocument/2006/relationships/image" Target="media/image53.jpeg"/><Relationship Id="rId78" Type="http://schemas.openxmlformats.org/officeDocument/2006/relationships/image" Target="media/image52.png"/><Relationship Id="rId77" Type="http://schemas.openxmlformats.org/officeDocument/2006/relationships/image" Target="media/image51.png"/><Relationship Id="rId76" Type="http://schemas.openxmlformats.org/officeDocument/2006/relationships/image" Target="media/image50.png"/><Relationship Id="rId75" Type="http://schemas.openxmlformats.org/officeDocument/2006/relationships/image" Target="media/image49.png"/><Relationship Id="rId74" Type="http://schemas.openxmlformats.org/officeDocument/2006/relationships/image" Target="media/image48.png"/><Relationship Id="rId73" Type="http://schemas.openxmlformats.org/officeDocument/2006/relationships/image" Target="media/image47.png"/><Relationship Id="rId72" Type="http://schemas.openxmlformats.org/officeDocument/2006/relationships/image" Target="media/image46.png"/><Relationship Id="rId71" Type="http://schemas.openxmlformats.org/officeDocument/2006/relationships/image" Target="media/image45.png"/><Relationship Id="rId70" Type="http://schemas.openxmlformats.org/officeDocument/2006/relationships/image" Target="media/image44.png"/><Relationship Id="rId7" Type="http://schemas.openxmlformats.org/officeDocument/2006/relationships/header" Target="header3.xml"/><Relationship Id="rId69" Type="http://schemas.openxmlformats.org/officeDocument/2006/relationships/image" Target="media/image43.png"/><Relationship Id="rId68" Type="http://schemas.openxmlformats.org/officeDocument/2006/relationships/image" Target="media/image42.png"/><Relationship Id="rId67" Type="http://schemas.openxmlformats.org/officeDocument/2006/relationships/image" Target="media/image41.png"/><Relationship Id="rId66" Type="http://schemas.openxmlformats.org/officeDocument/2006/relationships/image" Target="media/image40.jpeg"/><Relationship Id="rId65" Type="http://schemas.openxmlformats.org/officeDocument/2006/relationships/image" Target="media/image39.emf"/><Relationship Id="rId64" Type="http://schemas.openxmlformats.org/officeDocument/2006/relationships/image" Target="media/image38.jpeg"/><Relationship Id="rId63" Type="http://schemas.openxmlformats.org/officeDocument/2006/relationships/image" Target="media/image37.emf"/><Relationship Id="rId62" Type="http://schemas.openxmlformats.org/officeDocument/2006/relationships/image" Target="media/image36.emf"/><Relationship Id="rId61" Type="http://schemas.openxmlformats.org/officeDocument/2006/relationships/image" Target="media/image35.png"/><Relationship Id="rId60" Type="http://schemas.openxmlformats.org/officeDocument/2006/relationships/image" Target="media/image34.png"/><Relationship Id="rId6" Type="http://schemas.openxmlformats.org/officeDocument/2006/relationships/header" Target="header2.xml"/><Relationship Id="rId59" Type="http://schemas.openxmlformats.org/officeDocument/2006/relationships/image" Target="media/image33.jpeg"/><Relationship Id="rId58" Type="http://schemas.openxmlformats.org/officeDocument/2006/relationships/image" Target="media/image32.png"/><Relationship Id="rId57" Type="http://schemas.openxmlformats.org/officeDocument/2006/relationships/image" Target="media/image31.emf"/><Relationship Id="rId56" Type="http://schemas.openxmlformats.org/officeDocument/2006/relationships/image" Target="media/image30.png"/><Relationship Id="rId55" Type="http://schemas.openxmlformats.org/officeDocument/2006/relationships/image" Target="media/image29.png"/><Relationship Id="rId54" Type="http://schemas.openxmlformats.org/officeDocument/2006/relationships/image" Target="media/image28.png"/><Relationship Id="rId53" Type="http://schemas.openxmlformats.org/officeDocument/2006/relationships/image" Target="media/image27.png"/><Relationship Id="rId52" Type="http://schemas.openxmlformats.org/officeDocument/2006/relationships/image" Target="media/image26.png"/><Relationship Id="rId51" Type="http://schemas.openxmlformats.org/officeDocument/2006/relationships/image" Target="media/image25.png"/><Relationship Id="rId50" Type="http://schemas.openxmlformats.org/officeDocument/2006/relationships/image" Target="media/image24.wmf"/><Relationship Id="rId5" Type="http://schemas.openxmlformats.org/officeDocument/2006/relationships/header" Target="header1.xml"/><Relationship Id="rId49" Type="http://schemas.openxmlformats.org/officeDocument/2006/relationships/image" Target="media/image23.jpeg"/><Relationship Id="rId48" Type="http://schemas.openxmlformats.org/officeDocument/2006/relationships/image" Target="media/image22.wmf"/><Relationship Id="rId47" Type="http://schemas.openxmlformats.org/officeDocument/2006/relationships/oleObject" Target="embeddings/oleObject1.bin"/><Relationship Id="rId46" Type="http://schemas.openxmlformats.org/officeDocument/2006/relationships/image" Target="media/image21.png"/><Relationship Id="rId45" Type="http://schemas.openxmlformats.org/officeDocument/2006/relationships/image" Target="media/image20.jpeg"/><Relationship Id="rId44" Type="http://schemas.openxmlformats.org/officeDocument/2006/relationships/image" Target="media/image19.jpeg"/><Relationship Id="rId43" Type="http://schemas.openxmlformats.org/officeDocument/2006/relationships/image" Target="media/image18.jpeg"/><Relationship Id="rId42" Type="http://schemas.openxmlformats.org/officeDocument/2006/relationships/image" Target="media/image17.jpeg"/><Relationship Id="rId41" Type="http://schemas.openxmlformats.org/officeDocument/2006/relationships/image" Target="media/image16.jpeg"/><Relationship Id="rId40" Type="http://schemas.openxmlformats.org/officeDocument/2006/relationships/image" Target="media/image15.jpeg"/><Relationship Id="rId4" Type="http://schemas.openxmlformats.org/officeDocument/2006/relationships/endnotes" Target="endnotes.xml"/><Relationship Id="rId39" Type="http://schemas.openxmlformats.org/officeDocument/2006/relationships/image" Target="media/image14.jpeg"/><Relationship Id="rId38" Type="http://schemas.openxmlformats.org/officeDocument/2006/relationships/image" Target="media/image13.png"/><Relationship Id="rId37" Type="http://schemas.openxmlformats.org/officeDocument/2006/relationships/image" Target="media/image12.jpeg"/><Relationship Id="rId36" Type="http://schemas.openxmlformats.org/officeDocument/2006/relationships/image" Target="media/image11.jpeg"/><Relationship Id="rId35" Type="http://schemas.openxmlformats.org/officeDocument/2006/relationships/image" Target="media/image10.png"/><Relationship Id="rId34" Type="http://schemas.openxmlformats.org/officeDocument/2006/relationships/image" Target="media/image9.jpeg"/><Relationship Id="rId33" Type="http://schemas.openxmlformats.org/officeDocument/2006/relationships/image" Target="media/image8.png"/><Relationship Id="rId32" Type="http://schemas.openxmlformats.org/officeDocument/2006/relationships/image" Target="media/image7.emf"/><Relationship Id="rId31" Type="http://schemas.openxmlformats.org/officeDocument/2006/relationships/image" Target="media/image6.png"/><Relationship Id="rId30" Type="http://schemas.openxmlformats.org/officeDocument/2006/relationships/image" Target="media/image5.emf"/><Relationship Id="rId3" Type="http://schemas.openxmlformats.org/officeDocument/2006/relationships/footnotes" Target="footnotes.xml"/><Relationship Id="rId29" Type="http://schemas.openxmlformats.org/officeDocument/2006/relationships/image" Target="media/image4.jpeg"/><Relationship Id="rId28" Type="http://schemas.openxmlformats.org/officeDocument/2006/relationships/image" Target="media/image3.png"/><Relationship Id="rId27" Type="http://schemas.openxmlformats.org/officeDocument/2006/relationships/image" Target="media/image2.jpeg"/><Relationship Id="rId26" Type="http://schemas.openxmlformats.org/officeDocument/2006/relationships/image" Target="media/image1.jpeg"/><Relationship Id="rId25" Type="http://schemas.openxmlformats.org/officeDocument/2006/relationships/theme" Target="theme/theme1.xml"/><Relationship Id="rId24" Type="http://schemas.openxmlformats.org/officeDocument/2006/relationships/footer" Target="footer10.xml"/><Relationship Id="rId23" Type="http://schemas.openxmlformats.org/officeDocument/2006/relationships/footer" Target="footer9.xml"/><Relationship Id="rId22" Type="http://schemas.openxmlformats.org/officeDocument/2006/relationships/header" Target="header10.xml"/><Relationship Id="rId21" Type="http://schemas.openxmlformats.org/officeDocument/2006/relationships/header" Target="header9.xml"/><Relationship Id="rId20" Type="http://schemas.openxmlformats.org/officeDocument/2006/relationships/header" Target="header8.xml"/><Relationship Id="rId2" Type="http://schemas.openxmlformats.org/officeDocument/2006/relationships/settings" Target="settings.xml"/><Relationship Id="rId19" Type="http://schemas.openxmlformats.org/officeDocument/2006/relationships/header" Target="header7.xml"/><Relationship Id="rId18" Type="http://schemas.openxmlformats.org/officeDocument/2006/relationships/footer" Target="footer8.xml"/><Relationship Id="rId17" Type="http://schemas.openxmlformats.org/officeDocument/2006/relationships/header" Target="header6.xml"/><Relationship Id="rId16" Type="http://schemas.openxmlformats.org/officeDocument/2006/relationships/footer" Target="footer7.xml"/><Relationship Id="rId15" Type="http://schemas.openxmlformats.org/officeDocument/2006/relationships/header" Target="header5.xml"/><Relationship Id="rId14" Type="http://schemas.openxmlformats.org/officeDocument/2006/relationships/footer" Target="footer6.xml"/><Relationship Id="rId13" Type="http://schemas.openxmlformats.org/officeDocument/2006/relationships/footer" Target="footer5.xml"/><Relationship Id="rId12" Type="http://schemas.openxmlformats.org/officeDocument/2006/relationships/footer" Target="footer4.xml"/><Relationship Id="rId118" Type="http://schemas.openxmlformats.org/officeDocument/2006/relationships/fontTable" Target="fontTable.xml"/><Relationship Id="rId117" Type="http://schemas.openxmlformats.org/officeDocument/2006/relationships/customXml" Target="../customXml/item3.xml"/><Relationship Id="rId116" Type="http://schemas.openxmlformats.org/officeDocument/2006/relationships/customXml" Target="../customXml/item2.xml"/><Relationship Id="rId115" Type="http://schemas.openxmlformats.org/officeDocument/2006/relationships/numbering" Target="numbering.xml"/><Relationship Id="rId114" Type="http://schemas.openxmlformats.org/officeDocument/2006/relationships/customXml" Target="../customXml/item1.xml"/><Relationship Id="rId113" Type="http://schemas.openxmlformats.org/officeDocument/2006/relationships/image" Target="media/image81.emf"/><Relationship Id="rId112" Type="http://schemas.openxmlformats.org/officeDocument/2006/relationships/image" Target="media/image80.wmf"/><Relationship Id="rId111" Type="http://schemas.openxmlformats.org/officeDocument/2006/relationships/oleObject" Target="embeddings/oleObject7.bin"/><Relationship Id="rId110" Type="http://schemas.openxmlformats.org/officeDocument/2006/relationships/image" Target="media/image79.jpeg"/><Relationship Id="rId11" Type="http://schemas.openxmlformats.org/officeDocument/2006/relationships/header" Target="header4.xml"/><Relationship Id="rId109" Type="http://schemas.openxmlformats.org/officeDocument/2006/relationships/image" Target="media/image78.jpeg"/><Relationship Id="rId108" Type="http://schemas.openxmlformats.org/officeDocument/2006/relationships/image" Target="media/image77.jpeg"/><Relationship Id="rId107" Type="http://schemas.openxmlformats.org/officeDocument/2006/relationships/image" Target="media/image76.png"/><Relationship Id="rId106" Type="http://schemas.openxmlformats.org/officeDocument/2006/relationships/image" Target="media/image75.wmf"/><Relationship Id="rId105" Type="http://schemas.openxmlformats.org/officeDocument/2006/relationships/oleObject" Target="embeddings/oleObject6.bin"/><Relationship Id="rId104" Type="http://schemas.openxmlformats.org/officeDocument/2006/relationships/image" Target="media/image74.png"/><Relationship Id="rId103" Type="http://schemas.openxmlformats.org/officeDocument/2006/relationships/image" Target="media/image73.wmf"/><Relationship Id="rId102" Type="http://schemas.openxmlformats.org/officeDocument/2006/relationships/oleObject" Target="embeddings/oleObject5.bin"/><Relationship Id="rId101" Type="http://schemas.openxmlformats.org/officeDocument/2006/relationships/image" Target="media/image72.png"/><Relationship Id="rId100" Type="http://schemas.openxmlformats.org/officeDocument/2006/relationships/image" Target="media/image71.png"/><Relationship Id="rId10" Type="http://schemas.openxmlformats.org/officeDocument/2006/relationships/footer" Target="footer3.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121"/>
    <customShpInfo spid="_x0000_s1122"/>
    <customShpInfo spid="_x0000_s1202"/>
    <customShpInfo spid="_x0000_s1201"/>
    <customShpInfo spid="_x0000_s1092"/>
    <customShpInfo spid="_x0000_s1094"/>
    <customShpInfo spid="_x0000_s1148"/>
    <customShpInfo spid="_x0000_s1170"/>
    <customShpInfo spid="_x0000_s1171"/>
    <customShpInfo spid="_x0000_s1172"/>
    <customShpInfo spid="_x0000_s1173"/>
    <customShpInfo spid="_x0000_s1175"/>
    <customShpInfo spid="_x0000_s1176"/>
    <customShpInfo spid="_x0000_s1177"/>
    <customShpInfo spid="_x0000_s1178"/>
    <customShpInfo spid="_x0000_s1179"/>
    <customShpInfo spid="_x0000_s1180"/>
    <customShpInfo spid="_x0000_s1181"/>
    <customShpInfo spid="_x0000_s1182"/>
    <customShpInfo spid="_x0000_s1183"/>
    <customShpInfo spid="_x0000_s1184"/>
    <customShpInfo spid="_x0000_s1185"/>
    <customShpInfo spid="_x0000_s1186"/>
    <customShpInfo spid="_x0000_s1187"/>
    <customShpInfo spid="_x0000_s1188"/>
    <customShpInfo spid="_x0000_s1189"/>
    <customShpInfo spid="_x0000_s1190"/>
    <customShpInfo spid="_x0000_s1191"/>
    <customShpInfo spid="_x0000_s1149"/>
    <customShpInfo spid="_x0000_s1212"/>
    <customShpInfo spid="_x0000_s1211"/>
    <customShpInfo spid="_x0000_s1214"/>
    <customShpInfo spid="_x0000_s1213"/>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ontractReview xmlns="http://schemas.wps.cn/vas-ai-hub/contract-review">
  <reviewItems>
    <reviewItem>
      <errorID>9c9ba96b-079e-4486-adcd-c3137d084994</errorID>
      <errorWord>[2006]25号</errorWord>
      <group>L1_Knowledge</group>
      <groupName>知识性问题</groupName>
      <ability>L2_Knowledge</ability>
      <abilityName>其他知识</abilityName>
      <candidateList>
        <item>〔2006〕25号</item>
      </candidateList>
      <explain>发文字号格式错误。</explain>
      <paraID>3A9151E7</paraID>
      <start>174</start>
      <end>183</end>
      <status>modified</status>
      <modifiedWord>〔2006〕25号</modifiedWord>
      <trackRevisions>false</trackRevisions>
    </reviewItem>
    <reviewItem>
      <errorID>494c10aa-8ced-41f3-8ebc-8c6e6645d7df</errorID>
      <errorWord>[2011]234号</errorWord>
      <group>L1_Knowledge</group>
      <groupName>知识性问题</groupName>
      <ability>L2_Knowledge</ability>
      <abilityName>其他知识</abilityName>
      <candidateList>
        <item>〔2011〕234号</item>
      </candidateList>
      <explain>发文字号格式错误。</explain>
      <paraID>3A9151E7</paraID>
      <start>418</start>
      <end>428</end>
      <status>modified</status>
      <modifiedWord>〔2011〕234号</modifiedWord>
      <trackRevisions>false</trackRevisions>
    </reviewItem>
    <reviewItem>
      <errorID>42ed414e-eae3-4881-b307-f6247c448c48</errorID>
      <errorWord>[2013]154号</errorWord>
      <group>L1_Knowledge</group>
      <groupName>知识性问题</groupName>
      <ability>L2_Knowledge</ability>
      <abilityName>其他知识</abilityName>
      <candidateList>
        <item>〔2013〕154号</item>
      </candidateList>
      <explain>发文字号格式错误。</explain>
      <paraID>3A9151E7</paraID>
      <start>567</start>
      <end>577</end>
      <status>modified</status>
      <modifiedWord>〔2013〕154号</modifiedWord>
      <trackRevisions>false</trackRevisions>
    </reviewItem>
    <reviewItem>
      <errorID>ab178ee8-d24b-4d86-ad33-3e2ffff5471e</errorID>
      <errorWord>[2024]2号</errorWord>
      <group>L1_Knowledge</group>
      <groupName>知识性问题</groupName>
      <ability>L2_Knowledge</ability>
      <abilityName>其他知识</abilityName>
      <candidateList>
        <item>〔2024〕2号</item>
      </candidateList>
      <explain>发文字号格式错误。</explain>
      <paraID>3A9151E7</paraID>
      <start>846</start>
      <end>854</end>
      <status>modified</status>
      <modifiedWord>〔2024〕2号</modifiedWord>
      <trackRevisions>false</trackRevisions>
    </reviewItem>
    <reviewItem>
      <errorID>d2425925-9f52-4284-ba18-8eebcbe52ba3</errorID>
      <errorWord>投入生产</errorWord>
      <group>L1_Grammar</group>
      <groupName>语法问题</groupName>
      <ability>L2_Order</ability>
      <abilityName>语序不当</abilityName>
      <candidateList>
        <item>投入</item>
      </candidateList>
      <explain>句子可能没有遵循时空、逻辑顺序，或者介词、关联词等位置不当。</explain>
      <paraID>2B673A8C</paraID>
      <start>650</start>
      <end>654</end>
      <status>unmodified</status>
      <modifiedWord/>
      <trackRevisions>false</trackRevisions>
    </reviewItem>
    <reviewItem>
      <errorID>632eaaf3-3e2d-4f43-bcda-27ccd041c390</errorID>
      <errorWord>投入生产</errorWord>
      <group>L1_Grammar</group>
      <groupName>语法问题</groupName>
      <ability>L2_Order</ability>
      <abilityName>语序不当</abilityName>
      <candidateList>
        <item>投入</item>
      </candidateList>
      <explain>句子可能没有遵循时空、逻辑顺序，或者介词、关联词等位置不当。</explain>
      <paraID>312C2672</paraID>
      <start>214</start>
      <end>218</end>
      <status>unmodified</status>
      <modifiedWord/>
      <trackRevisions>false</trackRevisions>
    </reviewItem>
    <reviewItem>
      <errorID>2edd2ffe-68e0-43e4-aae8-ac967fcb332a</errorID>
      <errorWord>本次</errorWord>
      <group>L1_Word</group>
      <groupName>字词问题</groupName>
      <ability>L2_Typo</ability>
      <abilityName>字词错误</abilityName>
      <candidateList>
        <item>本文</item>
      </candidateList>
      <explain/>
      <paraID>312C2672</paraID>
      <start>234</start>
      <end>236</end>
      <status>unmodified</status>
      <modifiedWord/>
      <trackRevisions>false</trackRevisions>
    </reviewItem>
    <reviewItem>
      <errorID>aaa2a3c7-d585-4145-96a3-1293e117702c</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42AB30AA</paraID>
      <start>0</start>
      <end>2</end>
      <status>unmodified</status>
      <modifiedWord/>
      <trackRevisions>false</trackRevisions>
    </reviewItem>
    <reviewItem>
      <errorID>a74b5a2f-5fed-4ae9-957b-5bf1f997395f</errorID>
      <errorWord>工艺中</errorWord>
      <group>L1_Word</group>
      <groupName>字词问题</groupName>
      <ability>L2_Typo</ability>
      <abilityName>字词错误</abilityName>
      <candidateList>
        <item>工艺</item>
      </candidateList>
      <explain/>
      <paraID>37B7D77E</paraID>
      <start>4</start>
      <end>7</end>
      <status>unmodified</status>
      <modifiedWord/>
      <trackRevisions>false</trackRevisions>
    </reviewItem>
    <reviewItem>
      <errorID>f726a992-d393-4165-9341-c77fb33242ff</errorID>
      <errorWord>投入生产</errorWord>
      <group>L1_Grammar</group>
      <groupName>语法问题</groupName>
      <ability>L2_Order</ability>
      <abilityName>语序不当</abilityName>
      <candidateList>
        <item>投入</item>
      </candidateList>
      <explain>句子可能没有遵循时空、逻辑顺序，或者介词、关联词等位置不当。</explain>
      <paraID>744C8FDE</paraID>
      <start>76</start>
      <end>80</end>
      <status>unmodified</status>
      <modifiedWord/>
      <trackRevisions>false</trackRevisions>
    </reviewItem>
    <reviewItem>
      <errorID>95888bae-b82a-4ca4-b803-8430f5e2cf88</errorID>
      <errorWord>厂</errorWord>
      <group>L1_Word</group>
      <groupName>字词问题</groupName>
      <ability>L2_Typo</ability>
      <abilityName>字词错误</abilityName>
      <candidateList>
        <item>场</item>
      </candidateList>
      <explain/>
      <paraID>42282CF9</paraID>
      <start>2</start>
      <end>3</end>
      <status>unmodified</status>
      <modifiedWord/>
      <trackRevisions>false</trackRevisions>
    </reviewItem>
    <reviewItem>
      <errorID>7f4223e7-5c57-4adf-89eb-5c40e995fc30</errorID>
      <errorWord>厂</errorWord>
      <group>L1_Word</group>
      <groupName>字词问题</groupName>
      <ability>L2_Typo</ability>
      <abilityName>字词错误</abilityName>
      <candidateList>
        <item>场</item>
      </candidateList>
      <explain/>
      <paraID>3073E77A</paraID>
      <start>2</start>
      <end>3</end>
      <status>unmodified</status>
      <modifiedWord/>
      <trackRevisions>false</trackRevisions>
    </reviewItem>
    <reviewItem>
      <errorID>2ff12e53-82f5-4d40-9d23-9ccb9182359a</errorID>
      <errorWord>厂</errorWord>
      <group>L1_Word</group>
      <groupName>字词问题</groupName>
      <ability>L2_Typo</ability>
      <abilityName>字词错误</abilityName>
      <candidateList>
        <item>场</item>
      </candidateList>
      <explain/>
      <paraID>6D62847B</paraID>
      <start>2</start>
      <end>3</end>
      <status>unmodified</status>
      <modifiedWord/>
      <trackRevisions>false</trackRevisions>
    </reviewItem>
    <reviewItem>
      <errorID>2439c897-49b0-4e50-8c3d-c9af604a75cf</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14F7E8CD</paraID>
      <start>0</start>
      <end>2</end>
      <status>unmodified</status>
      <modifiedWord/>
      <trackRevisions>false</trackRevisions>
    </reviewItem>
    <reviewItem>
      <errorID>a77891a8-3891-49b8-ae77-01361ae6615a</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4B415DD0</paraID>
      <start>0</start>
      <end>2</end>
      <status>unmodified</status>
      <modifiedWord/>
      <trackRevisions>false</trackRevisions>
    </reviewItem>
    <reviewItem>
      <errorID>ab5fc8a3-a7aa-491a-8ae7-2f34eea1c297</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77576F35</paraID>
      <start>0</start>
      <end>2</end>
      <status>unmodified</status>
      <modifiedWord/>
      <trackRevisions>false</trackRevisions>
    </reviewItem>
    <reviewItem>
      <errorID>3d0bc156-7577-4c9b-9771-60b4169b2e2b</errorID>
      <errorWord>，</errorWord>
      <group>L1_Word</group>
      <groupName>字词问题</groupName>
      <ability>L2_Typo</ability>
      <abilityName>字词错误</abilityName>
      <candidateList>
        <item>，在</item>
      </candidateList>
      <explain/>
      <paraID>3248D2AD</paraID>
      <start>80</start>
      <end>81</end>
      <status>unmodified</status>
      <modifiedWord/>
      <trackRevisions>false</trackRevisions>
    </reviewItem>
    <reviewItem>
      <errorID>2ad6fcab-620b-4a54-9367-91d79ec22527</errorID>
      <errorWord>法律、法规</errorWord>
      <group>L1_Word</group>
      <groupName>字词问题</groupName>
      <ability>L2_Typo</ability>
      <abilityName>字词错误</abilityName>
      <candidateList>
        <item>法律法规</item>
      </candidateList>
      <explain/>
      <paraID>2D27FC76</paraID>
      <start>84</start>
      <end>89</end>
      <status>unmodified</status>
      <modifiedWord/>
      <trackRevisions>false</trackRevisions>
    </reviewItem>
    <reviewItem>
      <errorID>5b87aded-39c5-4d33-a530-033f805bb9f7</errorID>
      <errorWord>【2019】83号</errorWord>
      <group>L1_Knowledge</group>
      <groupName>知识性问题</groupName>
      <ability>L2_Knowledge</ability>
      <abilityName>其他知识</abilityName>
      <candidateList>
        <item>〔2019〕83号</item>
      </candidateList>
      <explain>发文字号格式错误。</explain>
      <paraID> FFCD6CB</paraID>
      <start>66</start>
      <end>75</end>
      <status>modified</status>
      <modifiedWord>〔2019〕83号</modifiedWord>
      <trackRevisions>false</trackRevisions>
    </reviewItem>
    <reviewItem>
      <errorID>07307fbe-ddd7-47ea-8cf6-d25b9a56a4e4</errorID>
      <errorWord>【2019】83号</errorWord>
      <group>L1_Knowledge</group>
      <groupName>知识性问题</groupName>
      <ability>L2_Knowledge</ability>
      <abilityName>其他知识</abilityName>
      <candidateList>
        <item>〔2019〕83号</item>
      </candidateList>
      <explain>发文字号格式错误。</explain>
      <paraID> DE44A82</paraID>
      <start>44</start>
      <end>53</end>
      <status>modified</status>
      <modifiedWord>〔2019〕83号</modifiedWord>
      <trackRevisions>false</trackRevisions>
    </reviewItem>
    <reviewItem>
      <errorID>fdb9d03d-52bf-42ba-8315-7b184fe3dba5</errorID>
      <errorWord>【2019】83号</errorWord>
      <group>L1_Knowledge</group>
      <groupName>知识性问题</groupName>
      <ability>L2_Knowledge</ability>
      <abilityName>其他知识</abilityName>
      <candidateList>
        <item>〔2019〕83号</item>
      </candidateList>
      <explain>发文字号格式错误。</explain>
      <paraID>352F45DE</paraID>
      <start>92</start>
      <end>101</end>
      <status>modified</status>
      <modifiedWord>〔2019〕83号</modifiedWord>
      <trackRevisions>false</trackRevisions>
    </reviewItem>
    <reviewItem>
      <errorID>c53f8c89-252f-42af-bc52-0e63ea0d1cd5</errorID>
      <errorWord>《黑龙江省矿产资源总体规划》（2021—2025年）</errorWord>
      <group>L1_Knowledge</group>
      <groupName>知识性问题</groupName>
      <ability>L2_Knowledge</ability>
      <abilityName>其他知识</abilityName>
      <candidateList>
        <item>《黑龙江省矿产资源总体规划（2021—2025年）》</item>
      </candidateList>
      <explain>疑似政策文件、法律法规名称等书写不规范，请注意检查。</explain>
      <paraID>351B3DDA</paraID>
      <start>3</start>
      <end>29</end>
      <status>unmodified</status>
      <modifiedWord/>
      <trackRevisions>false</trackRevisions>
    </reviewItem>
    <reviewItem>
      <errorID>0b154f84-9230-4a72-a0ef-794da360ffc0</errorID>
      <errorWord>《黑龙江省矿产资源总体规划》（2021—2025年）</errorWord>
      <group>L1_Knowledge</group>
      <groupName>知识性问题</groupName>
      <ability>L2_Knowledge</ability>
      <abilityName>其他知识</abilityName>
      <candidateList>
        <item>《黑龙江省矿产资源总体规划（2021—2025年）》</item>
      </candidateList>
      <explain>疑似政策文件、法律法规名称等书写不规范，请注意检查。</explain>
      <paraID>7C2761F6</paraID>
      <start>8</start>
      <end>34</end>
      <status>unmodified</status>
      <modifiedWord/>
      <trackRevisions>false</trackRevisions>
    </reviewItem>
    <reviewItem>
      <errorID>21a8ce4d-4b28-4df7-bb48-c2200b258ba0</errorID>
      <errorWord>-</errorWord>
      <group>L1_Format</group>
      <groupName>格式问题</groupName>
      <ability>L2_HalfPunc</ability>
      <abilityName>全半角检查</abilityName>
      <candidateList>
        <item>－</item>
      </candidateList>
      <explain>文本全半角错误。</explain>
      <paraID>7C2761F6</paraID>
      <start>53</start>
      <end>54</end>
      <status>unmodified</status>
      <modifiedWord/>
      <trackRevisions>false</trackRevisions>
    </reviewItem>
    <reviewItem>
      <errorID>aab208be-3a79-43e3-a066-b45ca25126ae</errorID>
      <errorWord>《黑龙江省矿产资源总体规划》（2021—2025年）</errorWord>
      <group>L1_Knowledge</group>
      <groupName>知识性问题</groupName>
      <ability>L2_Knowledge</ability>
      <abilityName>其他知识</abilityName>
      <candidateList>
        <item>《黑龙江省矿产资源总体规划（2021—2025年）》</item>
      </candidateList>
      <explain>疑似政策文件、法律法规名称等书写不规范，请注意检查。</explain>
      <paraID>7C2761F6</paraID>
      <start>69</start>
      <end>95</end>
      <status>unmodified</status>
      <modifiedWord/>
      <trackRevisions>false</trackRevisions>
    </reviewItem>
    <reviewItem>
      <errorID>4e84b87e-d139-4d03-b3d6-adf3ee64432d</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30DFF59C</paraID>
      <start>18</start>
      <end>19</end>
      <status>unmodified</status>
      <modifiedWord/>
      <trackRevisions>false</trackRevisions>
    </reviewItem>
    <reviewItem>
      <errorID>8439b9b1-9595-4489-829d-00008b501859</errorID>
      <errorWord>[2022]104号</errorWord>
      <group>L1_Knowledge</group>
      <groupName>知识性问题</groupName>
      <ability>L2_Knowledge</ability>
      <abilityName>其他知识</abilityName>
      <candidateList>
        <item>〔2022〕104号</item>
      </candidateList>
      <explain>发文字号格式错误。</explain>
      <paraID>30DFF59C</paraID>
      <start>65</start>
      <end>75</end>
      <status>modified</status>
      <modifiedWord>〔2022〕104号</modifiedWord>
      <trackRevisions>false</trackRevisions>
    </reviewItem>
    <reviewItem>
      <errorID>465a75f4-f195-4257-9ed1-5a38db14b58a</errorID>
      <errorWord>令</errorWord>
      <group>L1_Word</group>
      <groupName>字词问题</groupName>
      <ability>L2_Typo</ability>
      <abilityName>字词错误</abilityName>
      <candidateList>
        <item>令第</item>
      </candidateList>
      <explain/>
      <paraID>30DFF59C</paraID>
      <start>266</start>
      <end>268</end>
      <status>modified</status>
      <modifiedWord>令第</modifiedWord>
      <trackRevisions>false</trackRevisions>
    </reviewItem>
    <reviewItem>
      <errorID>2c4cd40e-a285-4ab9-9ca0-dc699b38ebe7</errorID>
      <errorWord>法律、法规</errorWord>
      <group>L1_Word</group>
      <groupName>字词问题</groupName>
      <ability>L2_Typo</ability>
      <abilityName>字词错误</abilityName>
      <candidateList>
        <item>法律法规</item>
      </candidateList>
      <explain/>
      <paraID>30DFF59C</paraID>
      <start>409</start>
      <end>414</end>
      <status>unmodified</status>
      <modifiedWord/>
      <trackRevisions>false</trackRevisions>
    </reviewItem>
    <reviewItem>
      <errorID>6010bf4d-ba6e-4007-8bc1-290f68ab1c8c</errorID>
      <errorWord>《黑龙江省矿产资源总体规划》（2021—2025年）</errorWord>
      <group>L1_Knowledge</group>
      <groupName>知识性问题</groupName>
      <ability>L2_Knowledge</ability>
      <abilityName>其他知识</abilityName>
      <candidateList>
        <item>《黑龙江省矿产资源总体规划（2021—2025年）》</item>
      </candidateList>
      <explain>疑似政策文件、法律法规名称等书写不规范，请注意检查。</explain>
      <paraID>51251707</paraID>
      <start>45</start>
      <end>71</end>
      <status>unmodified</status>
      <modifiedWord/>
      <trackRevisions>false</trackRevisions>
    </reviewItem>
    <reviewItem>
      <errorID>b29fcd0a-16c8-4dd6-9aa4-ad9a2afaacd3</errorID>
      <errorWord>-</errorWord>
      <group>L1_Format</group>
      <groupName>格式问题</groupName>
      <ability>L2_HalfPunc</ability>
      <abilityName>全半角检查</abilityName>
      <candidateList>
        <item>－</item>
      </candidateList>
      <explain>文本全半角错误。</explain>
      <paraID>51251707</paraID>
      <start>90</start>
      <end>91</end>
      <status>unmodified</status>
      <modifiedWord/>
      <trackRevisions>false</trackRevisions>
    </reviewItem>
    <reviewItem>
      <errorID>7be1be4d-3028-44d6-a0d7-ec8e45af4d77</errorID>
      <errorWord>的</errorWord>
      <group>L1_Word</group>
      <groupName>字词问题</groupName>
      <ability>L2_DDD</ability>
      <abilityName>的地得用法</abilityName>
      <candidateList>
        <item>地</item>
      </candidateList>
      <explain>“地”常用于连接修饰语与动词性中心语，表示动作的方式、状态或程度。</explain>
      <paraID>51251707</paraID>
      <start>367</start>
      <end>368</end>
      <status>unmodified</status>
      <modifiedWord/>
      <trackRevisions>false</trackRevisions>
    </reviewItem>
    <reviewItem>
      <errorID>302b5f43-130e-4006-aacb-397ccaf7f33c</errorID>
      <errorWord>“</errorWord>
      <group>L1_Punc</group>
      <groupName>标点问题</groupName>
      <ability>L2_Punc</ability>
      <abilityName>标点符号检查</abilityName>
      <candidateList>
        <item>‘</item>
      </candidateList>
      <explain>当引号中还需要使用引号时，外面一层用双引号，里面一层用单引号。</explain>
      <paraID>23A64496</paraID>
      <start>235</start>
      <end>236</end>
      <status>unmodified</status>
      <modifiedWord/>
      <trackRevisions>false</trackRevisions>
    </reviewItem>
    <reviewItem>
      <errorID>a8df39c8-3c73-4554-9db7-b1ddf02ddbef</errorID>
      <errorWord>”</errorWord>
      <group>L1_Punc</group>
      <groupName>标点问题</groupName>
      <ability>L2_Punc</ability>
      <abilityName>标点符号检查</abilityName>
      <candidateList>
        <item>’</item>
      </candidateList>
      <explain>当引号中还需要使用引号时，外面一层用双引号，里面一层用单引号。</explain>
      <paraID>23A64496</paraID>
      <start>251</start>
      <end>252</end>
      <status>unmodified</status>
      <modifiedWord/>
      <trackRevisions>false</trackRevisions>
    </reviewItem>
    <reviewItem>
      <errorID>6d8c2585-25d3-4ad6-a1e2-98218ebf0365</errorID>
      <errorWord>[2024]28号</errorWord>
      <group>L1_Knowledge</group>
      <groupName>知识性问题</groupName>
      <ability>L2_Knowledge</ability>
      <abilityName>其他知识</abilityName>
      <candidateList>
        <item>〔2024〕28号</item>
      </candidateList>
      <explain>发文字号格式错误。</explain>
      <paraID>7D85DE40</paraID>
      <start>121</start>
      <end>130</end>
      <status>modified</status>
      <modifiedWord>〔2024〕28号</modifiedWord>
      <trackRevisions>false</trackRevisions>
    </reviewItem>
    <reviewItem>
      <errorID>53b0e5ce-882c-45ac-a2e6-61d54fb3783e</errorID>
      <errorWord>环境影响评估</errorWord>
      <group>L1_Knowledge</group>
      <groupName>知识性问题</groupName>
      <ability>L2_Term</ability>
      <abilityName>专业术语</abilityName>
      <candidateList>
        <item>环境影响评价</item>
      </candidateList>
      <explain/>
      <paraID>4CA74ACD</paraID>
      <start>46</start>
      <end>52</end>
      <status>unmodified</status>
      <modifiedWord/>
      <trackRevisions>false</trackRevisions>
    </reviewItem>
    <reviewItem>
      <errorID>dfcdd286-74ae-44b1-94b6-0043ef69e017</errorID>
      <errorWord>砂金</errorWord>
      <group>L1_Word</group>
      <groupName>字词问题</groupName>
      <ability>L2_Typo</ability>
      <abilityName>字词错误</abilityName>
      <candidateList>
        <item>沙金</item>
      </candidateList>
      <explain/>
      <paraID>4FD51CB9</paraID>
      <start>136</start>
      <end>138</end>
      <status>unmodified</status>
      <modifiedWord/>
      <trackRevisions>false</trackRevisions>
    </reviewItem>
    <reviewItem>
      <errorID>c30c2ca5-6f30-4370-b1b9-8fb47cc8da69</errorID>
      <errorWord>其它生产</errorWord>
      <group>L1_Word</group>
      <groupName>字词问题</groupName>
      <ability>L2_Alias</ability>
      <abilityName>也作/曾用词</abilityName>
      <candidateList>
        <item>其他生产</item>
      </candidateList>
      <explain>词汇[其它生产]为不规范表述或旧称，其规范书面表述为[其他生产]。</explain>
      <paraID>177138B9</paraID>
      <start>244</start>
      <end>248</end>
      <status>unmodified</status>
      <modifiedWord/>
      <trackRevisions>false</trackRevisions>
    </reviewItem>
    <reviewItem>
      <errorID>7a38e1cb-bff4-4178-ae24-943e418a6392</errorID>
      <errorWord>“</errorWord>
      <group>L1_Punc</group>
      <groupName>标点问题</groupName>
      <ability>L2_Punc</ability>
      <abilityName>标点符号检查</abilityName>
      <candidateList>
        <item>‘</item>
      </candidateList>
      <explain>当引号中还需要使用引号时，外面一层用双引号，里面一层用单引号。</explain>
      <paraID> 72E2680</paraID>
      <start>61</start>
      <end>62</end>
      <status>unmodified</status>
      <modifiedWord/>
      <trackRevisions>false</trackRevisions>
    </reviewItem>
    <reviewItem>
      <errorID>84480072-f39f-45fb-ad7d-ed504a4775a4</errorID>
      <errorWord>”</errorWord>
      <group>L1_Punc</group>
      <groupName>标点问题</groupName>
      <ability>L2_Punc</ability>
      <abilityName>标点符号检查</abilityName>
      <candidateList>
        <item>’</item>
      </candidateList>
      <explain>当引号中还需要使用引号时，外面一层用双引号，里面一层用单引号。</explain>
      <paraID> 72E2680</paraID>
      <start>65</start>
      <end>66</end>
      <status>unmodified</status>
      <modifiedWord/>
      <trackRevisions>false</trackRevisions>
    </reviewItem>
    <reviewItem>
      <errorID>16ffc821-fd53-428a-9945-fb8b640dee09</errorID>
      <errorWord>石</errorWord>
      <group>L1_Word</group>
      <groupName>字词问题</groupName>
      <ability>L2_Typo</ability>
      <abilityName>字词错误</abilityName>
      <candidateList>
        <item>石等</item>
      </candidateList>
      <explain/>
      <paraID>37E54245</paraID>
      <start>105</start>
      <end>106</end>
      <status>unmodified</status>
      <modifiedWord/>
      <trackRevisions>false</trackRevisions>
    </reviewItem>
    <reviewItem>
      <errorID>8ae3fd8c-0d09-4f56-9610-5e7d9d229ea9</errorID>
      <errorWord>“</errorWord>
      <group>L1_Punc</group>
      <groupName>标点问题</groupName>
      <ability>L2_Punc</ability>
      <abilityName>标点符号检查</abilityName>
      <candidateList>
        <item>‘</item>
      </candidateList>
      <explain>当引号中还需要使用引号时，外面一层用双引号，里面一层用单引号。</explain>
      <paraID>614B7AAC</paraID>
      <start>258</start>
      <end>259</end>
      <status>unmodified</status>
      <modifiedWord/>
      <trackRevisions>false</trackRevisions>
    </reviewItem>
    <reviewItem>
      <errorID>ec360ad3-c7c5-4020-a788-9401b41e9260</errorID>
      <errorWord>”</errorWord>
      <group>L1_Punc</group>
      <groupName>标点问题</groupName>
      <ability>L2_Punc</ability>
      <abilityName>标点符号检查</abilityName>
      <candidateList>
        <item>’</item>
      </candidateList>
      <explain>当引号中还需要使用引号时，外面一层用双引号，里面一层用单引号。</explain>
      <paraID>614B7AAC</paraID>
      <start>273</start>
      <end>274</end>
      <status>unmodified</status>
      <modifiedWord/>
      <trackRevisions>false</trackRevisions>
    </reviewItem>
    <reviewItem>
      <errorID>1e64e50b-3d0a-47b5-baac-6533e0a3b1fd</errorID>
      <errorWord>（</errorWord>
      <group>L1_Punc</group>
      <groupName>标点问题</groupName>
      <ability>L2_Punc</ability>
      <abilityName>标点符号检查</abilityName>
      <candidateList/>
      <explain/>
      <paraID>5CA93C5E</paraID>
      <start>15</start>
      <end>16</end>
      <status>unmodified</status>
      <modifiedWord/>
      <trackRevisions>false</trackRevisions>
    </reviewItem>
    <reviewItem>
      <errorID>179e9140-8dcb-481a-a415-d00dc2bd2ec4</errorID>
      <errorWord>黑龙江省野生动物保护条例</errorWord>
      <group>L1_Knowledge</group>
      <groupName>知识性问题</groupName>
      <ability>L2_Knowledge</ability>
      <abilityName>其他知识</abilityName>
      <candidateList/>
      <explain>该法规已废止，请注意检查引用是否正确。</explain>
      <paraID> 2862829</paraID>
      <start>9</start>
      <end>21</end>
      <status>unmodified</status>
      <modifiedWord/>
      <trackRevisions>false</trackRevisions>
    </reviewItem>
    <reviewItem>
      <errorID>57fdaaff-9fc1-423b-943a-8ae1843dc2de</errorID>
      <errorWord>黑龙江省野生动物保护条例</errorWord>
      <group>L1_Knowledge</group>
      <groupName>知识性问题</groupName>
      <ability>L2_Knowledge</ability>
      <abilityName>其他知识</abilityName>
      <candidateList/>
      <explain>该法规已废止，请注意检查引用是否正确。</explain>
      <paraID>649F8996</paraID>
      <start>3</start>
      <end>15</end>
      <status>unmodified</status>
      <modifiedWord/>
      <trackRevisions>false</trackRevisions>
    </reviewItem>
    <reviewItem>
      <errorID>0e7a6b0b-484d-4f92-b99e-c09f4d6cd1eb</errorID>
      <errorWord>排水水质</errorWord>
      <group>L1_Knowledge</group>
      <groupName>知识性问题</groupName>
      <ability>L2_Term</ability>
      <abilityName>专业术语</abilityName>
      <candidateList>
        <item>出水水质</item>
      </candidateList>
      <explain/>
      <paraID>19BB6E08</paraID>
      <start>40</start>
      <end>44</end>
      <status>unmodified</status>
      <modifiedWord/>
      <trackRevisions>false</trackRevisions>
    </reviewItem>
    <reviewItem>
      <errorID>d65d5ea8-b961-4860-8f0e-2d61d6cba35e</errorID>
      <errorWord>隐患自查</errorWord>
      <group>L1_Knowledge</group>
      <groupName>知识性问题</groupName>
      <ability>L2_Term</ability>
      <abilityName>专业术语</abilityName>
      <candidateList>
        <item>隐患排查</item>
      </candidateList>
      <explain/>
      <paraID>4D0F16BF</paraID>
      <start>257</start>
      <end>261</end>
      <status>unmodified</status>
      <modifiedWord/>
      <trackRevisions>false</trackRevisions>
    </reviewItem>
    <reviewItem>
      <errorID>86b1f998-3393-4fae-b144-6157e03e1c37</errorID>
      <errorWord>“</errorWord>
      <group>L1_Punc</group>
      <groupName>标点问题</groupName>
      <ability>L2_Punc</ability>
      <abilityName>标点符号检查</abilityName>
      <candidateList>
        <item>‘</item>
      </candidateList>
      <explain>当引号中还需要使用引号时，外面一层用双引号，里面一层用单引号。</explain>
      <paraID>1A75BAAD</paraID>
      <start>211</start>
      <end>212</end>
      <status>unmodified</status>
      <modifiedWord/>
      <trackRevisions>false</trackRevisions>
    </reviewItem>
    <reviewItem>
      <errorID>9163f617-f314-46fb-82b9-1294c655f979</errorID>
      <errorWord>”</errorWord>
      <group>L1_Punc</group>
      <groupName>标点问题</groupName>
      <ability>L2_Punc</ability>
      <abilityName>标点符号检查</abilityName>
      <candidateList>
        <item>’</item>
      </candidateList>
      <explain>当引号中还需要使用引号时，外面一层用双引号，里面一层用单引号。</explain>
      <paraID>1A75BAAD</paraID>
      <start>217</start>
      <end>218</end>
      <status>unmodified</status>
      <modifiedWord/>
      <trackRevisions>false</trackRevisions>
    </reviewItem>
    <reviewItem>
      <errorID>959389b0-c47c-48e9-b448-4c12edd20a21</errorID>
      <errorWord>程</errorWord>
      <group>L1_Word</group>
      <groupName>字词问题</groupName>
      <ability>L2_Typo</ability>
      <abilityName>字词错误</abilityName>
      <candidateList>
        <item>程中</item>
      </candidateList>
      <explain/>
      <paraID>1078B1F6</paraID>
      <start>52</start>
      <end>53</end>
      <status>unmodified</status>
      <modifiedWord/>
      <trackRevisions>false</trackRevisions>
    </reviewItem>
    <reviewItem>
      <errorID>b2391853-6a75-497b-bdf7-673c6fab1868</errorID>
      <errorWord>[2021]2号</errorWord>
      <group>L1_Knowledge</group>
      <groupName>知识性问题</groupName>
      <ability>L2_Knowledge</ability>
      <abilityName>其他知识</abilityName>
      <candidateList>
        <item>〔2021〕2号</item>
      </candidateList>
      <explain>发文字号格式错误。</explain>
      <paraID>120CE5ED</paraID>
      <start>85</start>
      <end>93</end>
      <status>modified</status>
      <modifiedWord>〔2021〕2号</modifiedWord>
      <trackRevisions>false</trackRevisions>
    </reviewItem>
    <reviewItem>
      <errorID>65cd3cbe-6f4a-420e-bf4b-1b43b981b1c9</errorID>
      <errorWord>胜</errorWord>
      <group>L1_Word</group>
      <groupName>字词问题</groupName>
      <ability>L2_Typo</ability>
      <abilityName>字词错误</abilityName>
      <candidateList>
        <item>胜区</item>
      </candidateList>
      <explain/>
      <paraID>1E4E3BB7</paraID>
      <start>548</start>
      <end>550</end>
      <status>modified</status>
      <modifiedWord>胜区</modifiedWord>
      <trackRevisions>false</trackRevisions>
    </reviewItem>
    <reviewItem>
      <errorID>bf6bd50c-5973-4770-a498-e672e1743462</errorID>
      <errorWord>法律、法规</errorWord>
      <group>L1_Word</group>
      <groupName>字词问题</groupName>
      <ability>L2_Typo</ability>
      <abilityName>字词错误</abilityName>
      <candidateList>
        <item>法律法规</item>
      </candidateList>
      <explain/>
      <paraID>1E4E3BB7</paraID>
      <start>732</start>
      <end>737</end>
      <status>unmodified</status>
      <modifiedWord/>
      <trackRevisions>false</trackRevisions>
    </reviewItem>
    <reviewItem>
      <errorID>6fd4f142-3a38-4558-a7aa-9735306d2513</errorID>
      <errorWord>其它有害</errorWord>
      <group>L1_Word</group>
      <groupName>字词问题</groupName>
      <ability>L2_Alias</ability>
      <abilityName>也作/曾用词</abilityName>
      <candidateList>
        <item>其他有害</item>
      </candidateList>
      <explain>词汇[其它有害]为不规范表述或旧称，其规范书面表述为[其他有害]。</explain>
      <paraID>1E4E3BB7</paraID>
      <start>1691</start>
      <end>1695</end>
      <status>unmodified</status>
      <modifiedWord/>
      <trackRevisions>false</trackRevisions>
    </reviewItem>
    <reviewItem>
      <errorID>ff34f377-b2b0-4839-989b-051cfbe56ea9</errorID>
      <errorWord>其它有害</errorWord>
      <group>L1_Word</group>
      <groupName>字词问题</groupName>
      <ability>L2_Alias</ability>
      <abilityName>也作/曾用词</abilityName>
      <candidateList>
        <item>其他有害</item>
      </candidateList>
      <explain>词汇[其它有害]为不规范表述或旧称，其规范书面表述为[其他有害]。</explain>
      <paraID>1E4E3BB7</paraID>
      <start>1823</start>
      <end>1827</end>
      <status>unmodified</status>
      <modifiedWord/>
      <trackRevisions>false</trackRevisions>
    </reviewItem>
    <reviewItem>
      <errorID>b89b3395-eb37-40c6-a151-ed2ee981c41e</errorID>
      <errorWord>作好</errorWord>
      <group>L1_Word</group>
      <groupName>字词问题</groupName>
      <ability>L2_Typo</ability>
      <abilityName>字词错误</abilityName>
      <candidateList>
        <item>做好</item>
      </candidateList>
      <explain>“作好～措施”搭配不当，建议修改为“做好～措施”。</explain>
      <paraID>1E4E3BB7</paraID>
      <start>2094</start>
      <end>2096</end>
      <status>unmodified</status>
      <modifiedWord/>
      <trackRevisions>false</trackRevisions>
    </reviewItem>
    <reviewItem>
      <errorID>3fbfa91f-5755-494a-9d5f-b2ee6d553fa1</errorID>
      <errorWord>，，</errorWord>
      <group>L1_Punc</group>
      <groupName>标点问题</groupName>
      <ability>L2_Punc</ability>
      <abilityName>标点符号检查</abilityName>
      <candidateList>
        <item>，</item>
      </candidateList>
      <explain/>
      <paraID>7DD7EC17</paraID>
      <start>204</start>
      <end>206</end>
      <status>unmodified</status>
      <modifiedWord/>
      <trackRevisions>false</trackRevisions>
    </reviewItem>
    <reviewItem>
      <errorID>ea61d3f7-6cea-4226-a2a4-4d3353535978</errorID>
      <errorWord>上线</errorWord>
      <group>L1_Word</group>
      <groupName>字词问题</groupName>
      <ability>L2_Typo</ability>
      <abilityName>字词错误</abilityName>
      <candidateList>
        <item>上限</item>
      </candidateList>
      <explain/>
      <paraID> E450101</paraID>
      <start>34</start>
      <end>36</end>
      <status>unmodified</status>
      <modifiedWord/>
      <trackRevisions>false</trackRevisions>
    </reviewItem>
    <reviewItem>
      <errorID>d9771fe2-b95a-43de-b3a4-34ea1d82c810</errorID>
      <errorWord>胜</errorWord>
      <group>L1_Word</group>
      <groupName>字词问题</groupName>
      <ability>L2_Typo</ability>
      <abilityName>字词错误</abilityName>
      <candidateList>
        <item>胜区</item>
      </candidateList>
      <explain/>
      <paraID>7868D641</paraID>
      <start>548</start>
      <end>550</end>
      <status>modified</status>
      <modifiedWord>胜区</modifiedWord>
      <trackRevisions>false</trackRevisions>
    </reviewItem>
    <reviewItem>
      <errorID>6044bb36-a042-40b6-9a5a-de59995ed48d</errorID>
      <errorWord>法律、法规</errorWord>
      <group>L1_Word</group>
      <groupName>字词问题</groupName>
      <ability>L2_Typo</ability>
      <abilityName>字词错误</abilityName>
      <candidateList>
        <item>法律法规</item>
      </candidateList>
      <explain/>
      <paraID>7868D641</paraID>
      <start>732</start>
      <end>737</end>
      <status>unmodified</status>
      <modifiedWord/>
      <trackRevisions>false</trackRevisions>
    </reviewItem>
    <reviewItem>
      <errorID>17a7e42e-8a62-4643-9f6c-e77d0497843b</errorID>
      <errorWord>其它有害</errorWord>
      <group>L1_Word</group>
      <groupName>字词问题</groupName>
      <ability>L2_Alias</ability>
      <abilityName>也作/曾用词</abilityName>
      <candidateList>
        <item>其他有害</item>
      </candidateList>
      <explain>词汇[其它有害]为不规范表述或旧称，其规范书面表述为[其他有害]。</explain>
      <paraID>7868D641</paraID>
      <start>1691</start>
      <end>1695</end>
      <status>unmodified</status>
      <modifiedWord/>
      <trackRevisions>false</trackRevisions>
    </reviewItem>
    <reviewItem>
      <errorID>398eca70-a783-4bc1-8c98-f8fe63f2a4f2</errorID>
      <errorWord>其它有害</errorWord>
      <group>L1_Word</group>
      <groupName>字词问题</groupName>
      <ability>L2_Alias</ability>
      <abilityName>也作/曾用词</abilityName>
      <candidateList>
        <item>其他有害</item>
      </candidateList>
      <explain>词汇[其它有害]为不规范表述或旧称，其规范书面表述为[其他有害]。</explain>
      <paraID>7868D641</paraID>
      <start>1823</start>
      <end>1827</end>
      <status>unmodified</status>
      <modifiedWord/>
      <trackRevisions>false</trackRevisions>
    </reviewItem>
    <reviewItem>
      <errorID>d5f05718-499c-43b9-9426-f74ffe075272</errorID>
      <errorWord>作好</errorWord>
      <group>L1_Word</group>
      <groupName>字词问题</groupName>
      <ability>L2_Typo</ability>
      <abilityName>字词错误</abilityName>
      <candidateList>
        <item>做好</item>
      </candidateList>
      <explain>“作好～措施”搭配不当，建议修改为“做好～措施”。</explain>
      <paraID>7868D641</paraID>
      <start>2094</start>
      <end>2096</end>
      <status>unmodified</status>
      <modifiedWord/>
      <trackRevisions>false</trackRevisions>
    </reviewItem>
    <reviewItem>
      <errorID>a8e62023-a0bc-4c13-860e-6aa994454a77</errorID>
      <errorWord>需均</errorWord>
      <group>L1_Word</group>
      <groupName>字词问题</groupName>
      <ability>L2_Typo</ability>
      <abilityName>字词错误</abilityName>
      <candidateList>
        <item>需</item>
      </candidateList>
      <explain>❶〈动〉需要：～求｜按～分配｜完成任务还～五天时间。❷需用的东西：军～。</explain>
      <paraID>2A07CB91</paraID>
      <start>128</start>
      <end>129</end>
      <status>modified</status>
      <modifiedWord>需</modifiedWord>
      <trackRevisions>false</trackRevisions>
    </reviewItem>
    <reviewItem>
      <errorID>5a68eb0c-9d0b-457f-b336-1c9453a8ded3</errorID>
      <errorWord>数据交集</errorWord>
      <group>L1_Knowledge</group>
      <groupName>知识性问题</groupName>
      <ability>L2_Term</ability>
      <abilityName>专业术语</abilityName>
      <candidateList>
        <item>数据采集</item>
      </candidateList>
      <explain/>
      <paraID>26D0D4D0</paraID>
      <start>100</start>
      <end>104</end>
      <status>unmodified</status>
      <modifiedWord/>
      <trackRevisions>false</trackRevisions>
    </reviewItem>
    <reviewItem>
      <errorID>0621e9d8-24a5-4753-9e9e-4f81af02dbd6</errorID>
      <errorWord>交集</errorWord>
      <group>L1_Word</group>
      <groupName>字词问题</groupName>
      <ability>L2_Typo</ability>
      <abilityName>字词错误</abilityName>
      <candidateList>
        <item>交界</item>
      </candidateList>
      <explain/>
      <paraID>26D0D4D0</paraID>
      <start>153</start>
      <end>155</end>
      <status>unmodified</status>
      <modifiedWord/>
      <trackRevisions>false</trackRevisions>
    </reviewItem>
    <reviewItem>
      <errorID>293f174c-960e-42c3-8506-f61876189d2f</errorID>
      <errorWord>交集</errorWord>
      <group>L1_Word</group>
      <groupName>字词问题</groupName>
      <ability>L2_Typo</ability>
      <abilityName>字词错误</abilityName>
      <candidateList>
        <item>交接</item>
      </candidateList>
      <explain/>
      <paraID>26D0D4D0</paraID>
      <start>199</start>
      <end>201</end>
      <status>unmodified</status>
      <modifiedWord/>
      <trackRevisions>false</trackRevisions>
    </reviewItem>
    <reviewItem>
      <errorID>02204aa2-383b-4ad1-b4b6-7ef968b89434</errorID>
      <errorWord>交集</errorWord>
      <group>L1_Word</group>
      <groupName>字词问题</groupName>
      <ability>L2_Typo</ability>
      <abilityName>字词错误</abilityName>
      <candidateList>
        <item>交接</item>
      </candidateList>
      <explain/>
      <paraID>26D0D4D0</paraID>
      <start>240</start>
      <end>242</end>
      <status>unmodified</status>
      <modifiedWord/>
      <trackRevisions>false</trackRevisions>
    </reviewItem>
    <reviewItem>
      <errorID>2aa0dcfb-a9f8-47b9-8134-8714ff414e97</errorID>
      <errorWord>胜</errorWord>
      <group>L1_Word</group>
      <groupName>字词问题</groupName>
      <ability>L2_Typo</ability>
      <abilityName>字词错误</abilityName>
      <candidateList>
        <item>胜区</item>
      </candidateList>
      <explain/>
      <paraID>1E029E1A</paraID>
      <start>548</start>
      <end>550</end>
      <status>modified</status>
      <modifiedWord>胜区</modifiedWord>
      <trackRevisions>false</trackRevisions>
    </reviewItem>
    <reviewItem>
      <errorID>cf0c62db-b83c-4514-bc32-eb5cbdf4f647</errorID>
      <errorWord>法律、法规</errorWord>
      <group>L1_Word</group>
      <groupName>字词问题</groupName>
      <ability>L2_Typo</ability>
      <abilityName>字词错误</abilityName>
      <candidateList>
        <item>法律法规</item>
      </candidateList>
      <explain/>
      <paraID>1E029E1A</paraID>
      <start>732</start>
      <end>737</end>
      <status>unmodified</status>
      <modifiedWord/>
      <trackRevisions>false</trackRevisions>
    </reviewItem>
    <reviewItem>
      <errorID>91dd858d-f0cb-42fd-a3cd-13ac324bb508</errorID>
      <errorWord>其它有害</errorWord>
      <group>L1_Word</group>
      <groupName>字词问题</groupName>
      <ability>L2_Alias</ability>
      <abilityName>也作/曾用词</abilityName>
      <candidateList>
        <item>其他有害</item>
      </candidateList>
      <explain>词汇[其它有害]为不规范表述或旧称，其规范书面表述为[其他有害]。</explain>
      <paraID>1E029E1A</paraID>
      <start>1691</start>
      <end>1695</end>
      <status>unmodified</status>
      <modifiedWord/>
      <trackRevisions>false</trackRevisions>
    </reviewItem>
    <reviewItem>
      <errorID>a0170b36-8e88-4143-8851-6ad48ca7fd71</errorID>
      <errorWord>其它有害</errorWord>
      <group>L1_Word</group>
      <groupName>字词问题</groupName>
      <ability>L2_Alias</ability>
      <abilityName>也作/曾用词</abilityName>
      <candidateList>
        <item>其他有害</item>
      </candidateList>
      <explain>词汇[其它有害]为不规范表述或旧称，其规范书面表述为[其他有害]。</explain>
      <paraID>1E029E1A</paraID>
      <start>1823</start>
      <end>1827</end>
      <status>unmodified</status>
      <modifiedWord/>
      <trackRevisions>false</trackRevisions>
    </reviewItem>
    <reviewItem>
      <errorID>a3bed21f-5b33-46b9-96f2-118fdeb8b246</errorID>
      <errorWord>作好</errorWord>
      <group>L1_Word</group>
      <groupName>字词问题</groupName>
      <ability>L2_Typo</ability>
      <abilityName>字词错误</abilityName>
      <candidateList>
        <item>做好</item>
      </candidateList>
      <explain>“作好～措施”搭配不当，建议修改为“做好～措施”。</explain>
      <paraID>1E029E1A</paraID>
      <start>2094</start>
      <end>2096</end>
      <status>unmodified</status>
      <modifiedWord/>
      <trackRevisions>false</trackRevisions>
    </reviewItem>
    <reviewItem>
      <errorID>f2442480-4f6d-4279-a8e5-05cc10863dcc</errorID>
      <errorWord>需均</errorWord>
      <group>L1_Word</group>
      <groupName>字词问题</groupName>
      <ability>L2_Typo</ability>
      <abilityName>字词错误</abilityName>
      <candidateList>
        <item>需</item>
      </candidateList>
      <explain>❶〈动〉需要：～求｜按～分配｜完成任务还～五天时间。❷需用的东西：军～。</explain>
      <paraID> 36C6F0F</paraID>
      <start>141</start>
      <end>143</end>
      <status>unmodified</status>
      <modifiedWord/>
      <trackRevisions>false</trackRevisions>
    </reviewItem>
    <reviewItem>
      <errorID>83522fbc-6f64-455f-8235-2394a0fc45ea</errorID>
      <errorWord>上线</errorWord>
      <group>L1_Word</group>
      <groupName>字词问题</groupName>
      <ability>L2_Typo</ability>
      <abilityName>字词错误</abilityName>
      <candidateList>
        <item>上限</item>
      </candidateList>
      <explain/>
      <paraID>5D8CCCC9</paraID>
      <start>34</start>
      <end>36</end>
      <status>unmodified</status>
      <modifiedWord/>
      <trackRevisions>false</trackRevisions>
    </reviewItem>
    <reviewItem>
      <errorID>65cd3cbe-6f4a-420e-bf4b-1b43b981b1c9</errorID>
      <errorWord>胜</errorWord>
      <group>L1_Word</group>
      <groupName>字词问题</groupName>
      <ability>L2_Typo</ability>
      <abilityName>字词错误</abilityName>
      <candidateList>
        <item>胜区</item>
      </candidateList>
      <explain/>
      <paraID>53591F53</paraID>
      <start>548</start>
      <end>550</end>
      <status>modified</status>
      <modifiedWord>胜区</modifiedWord>
      <trackRevisions>false</trackRevisions>
    </reviewItem>
    <reviewItem>
      <errorID>bf6bd50c-5973-4770-a498-e672e1743462</errorID>
      <errorWord>法律、法规</errorWord>
      <group>L1_Word</group>
      <groupName>字词问题</groupName>
      <ability>L2_Typo</ability>
      <abilityName>字词错误</abilityName>
      <candidateList>
        <item>法律法规</item>
      </candidateList>
      <explain/>
      <paraID>53591F53</paraID>
      <start>732</start>
      <end>737</end>
      <status>unmodified</status>
      <modifiedWord/>
      <trackRevisions>false</trackRevisions>
    </reviewItem>
    <reviewItem>
      <errorID>6fd4f142-3a38-4558-a7aa-9735306d2513</errorID>
      <errorWord>其它有害</errorWord>
      <group>L1_Word</group>
      <groupName>字词问题</groupName>
      <ability>L2_Alias</ability>
      <abilityName>也作/曾用词</abilityName>
      <candidateList>
        <item>其他有害</item>
      </candidateList>
      <explain>词汇[其它有害]为不规范表述或旧称，其规范书面表述为[其他有害]。</explain>
      <paraID>53591F53</paraID>
      <start>1691</start>
      <end>1695</end>
      <status>unmodified</status>
      <modifiedWord/>
      <trackRevisions>false</trackRevisions>
    </reviewItem>
    <reviewItem>
      <errorID>ff34f377-b2b0-4839-989b-051cfbe56ea9</errorID>
      <errorWord>其它有害</errorWord>
      <group>L1_Word</group>
      <groupName>字词问题</groupName>
      <ability>L2_Alias</ability>
      <abilityName>也作/曾用词</abilityName>
      <candidateList>
        <item>其他有害</item>
      </candidateList>
      <explain>词汇[其它有害]为不规范表述或旧称，其规范书面表述为[其他有害]。</explain>
      <paraID>53591F53</paraID>
      <start>1823</start>
      <end>1827</end>
      <status>unmodified</status>
      <modifiedWord/>
      <trackRevisions>false</trackRevisions>
    </reviewItem>
    <reviewItem>
      <errorID>a93993ab-cf28-40d2-8342-1f7996d8b1ba</errorID>
      <errorWord>作好</errorWord>
      <group>L1_Word</group>
      <groupName>字词问题</groupName>
      <ability>L2_Typo</ability>
      <abilityName>字词错误</abilityName>
      <candidateList>
        <item>做好</item>
      </candidateList>
      <explain>“作好～措施”搭配不当，建议修改为“做好～措施”。</explain>
      <paraID>53591F53</paraID>
      <start>2094</start>
      <end>2096</end>
      <status>unmodified</status>
      <modifiedWord/>
      <trackRevisions>false</trackRevisions>
    </reviewItem>
    <reviewItem>
      <errorID>b2cbab9a-ac01-49b2-9208-c2996aec9947</errorID>
      <errorWord>需均</errorWord>
      <group>L1_Word</group>
      <groupName>字词问题</groupName>
      <ability>L2_Typo</ability>
      <abilityName>字词错误</abilityName>
      <candidateList>
        <item>需</item>
      </candidateList>
      <explain>❶〈动〉需要：～求｜按～分配｜完成任务还～五天时间。❷需用的东西：军～。</explain>
      <paraID>6E11C28D</paraID>
      <start>141</start>
      <end>142</end>
      <status>modified</status>
      <modifiedWord>需</modifiedWord>
      <trackRevisions>false</trackRevisions>
    </reviewItem>
    <reviewItem>
      <errorID>300d8a93-c719-4e48-8e2e-673c03d5f409</errorID>
      <errorWord>数据交集</errorWord>
      <group>L1_Knowledge</group>
      <groupName>知识性问题</groupName>
      <ability>L2_Term</ability>
      <abilityName>专业术语</abilityName>
      <candidateList>
        <item>数据采集</item>
      </candidateList>
      <explain/>
      <paraID>134BF9E6</paraID>
      <start>103</start>
      <end>107</end>
      <status>unmodified</status>
      <modifiedWord/>
      <trackRevisions>false</trackRevisions>
    </reviewItem>
    <reviewItem>
      <errorID>20e28970-ebc4-40b5-88ab-941502de1dac</errorID>
      <errorWord>交集</errorWord>
      <group>L1_Word</group>
      <groupName>字词问题</groupName>
      <ability>L2_Typo</ability>
      <abilityName>字词错误</abilityName>
      <candidateList>
        <item>交界</item>
      </candidateList>
      <explain/>
      <paraID>134BF9E6</paraID>
      <start>156</start>
      <end>158</end>
      <status>unmodified</status>
      <modifiedWord/>
      <trackRevisions>false</trackRevisions>
    </reviewItem>
    <reviewItem>
      <errorID>552c9656-2da4-4f65-83d9-935d9f4d8c2c</errorID>
      <errorWord>交集</errorWord>
      <group>L1_Word</group>
      <groupName>字词问题</groupName>
      <ability>L2_Typo</ability>
      <abilityName>字词错误</abilityName>
      <candidateList>
        <item>交接</item>
      </candidateList>
      <explain/>
      <paraID>134BF9E6</paraID>
      <start>202</start>
      <end>204</end>
      <status>unmodified</status>
      <modifiedWord/>
      <trackRevisions>false</trackRevisions>
    </reviewItem>
    <reviewItem>
      <errorID>5c39a898-d32d-49fb-a845-c245624f946d</errorID>
      <errorWord>交集</errorWord>
      <group>L1_Word</group>
      <groupName>字词问题</groupName>
      <ability>L2_Typo</ability>
      <abilityName>字词错误</abilityName>
      <candidateList>
        <item>交接</item>
      </candidateList>
      <explain/>
      <paraID>134BF9E6</paraID>
      <start>243</start>
      <end>245</end>
      <status>unmodified</status>
      <modifiedWord/>
      <trackRevisions>false</trackRevisions>
    </reviewItem>
    <reviewItem>
      <errorID>21adbf5d-b68e-443b-988e-52ab745806e6</errorID>
      <errorWord>需均</errorWord>
      <group>L1_Word</group>
      <groupName>字词问题</groupName>
      <ability>L2_Typo</ability>
      <abilityName>字词错误</abilityName>
      <candidateList>
        <item>需</item>
      </candidateList>
      <explain>❶〈动〉需要：～求｜按～分配｜完成任务还～五天时间。❷需用的东西：军～。</explain>
      <paraID> 95C25F5</paraID>
      <start>145</start>
      <end>146</end>
      <status>modified</status>
      <modifiedWord>需</modifiedWord>
      <trackRevisions>false</trackRevisions>
    </reviewItem>
    <reviewItem>
      <errorID>198659d8-7165-4b55-9b7f-643b644a43b5</errorID>
      <errorWord>可</errorWord>
      <group>L1_Word</group>
      <groupName>字词问题</groupName>
      <ability>L2_Typo</ability>
      <abilityName>字词错误</abilityName>
      <candidateList>
        <item>可以</item>
      </candidateList>
      <explain>〈口〉〈形〉❶好；不坏；过得去：这篇文章写得还～。❷厉害：你这张嘴真～｜天气实在热得～。</explain>
      <paraID> 95C25F5</paraID>
      <start>538</start>
      <end>539</end>
      <status>unmodified</status>
      <modifiedWord/>
      <trackRevisions>false</trackRevisions>
    </reviewItem>
    <reviewItem>
      <errorID>447cbc16-ed10-4558-b0ea-18ce699bea74</errorID>
      <errorWord>的</errorWord>
      <group>L1_Word</group>
      <groupName>字词问题</groupName>
      <ability>L2_DDD</ability>
      <abilityName>的地得用法</abilityName>
      <candidateList>
        <item>地</item>
      </candidateList>
      <explain>“地”常用于连接修饰语与动词性中心语，表示动作的方式、状态或程度。</explain>
      <paraID> 95C25F5</paraID>
      <start>543</start>
      <end>544</end>
      <status>unmodified</status>
      <modifiedWord/>
      <trackRevisions>false</trackRevisions>
    </reviewItem>
    <reviewItem>
      <errorID>82c324c1-68e0-442f-8bc3-62c988880842</errorID>
      <errorWord>入下</errorWord>
      <group>L1_Word</group>
      <groupName>字词问题</groupName>
      <ability>L2_Typo</ability>
      <abilityName>字词错误</abilityName>
      <candidateList>
        <item>如下</item>
      </candidateList>
      <explain>〈动〉如同下面所叙述或列举的：列举～｜现将应注意的事情说明～。</explain>
      <paraID>1436EC58</paraID>
      <start>4</start>
      <end>6</end>
      <status>modified</status>
      <modifiedWord>如下</modifiedWord>
      <trackRevisions>false</trackRevisions>
    </reviewItem>
    <reviewItem>
      <errorID>3d99237f-f3e0-4ab8-a0df-9de6cf1a46da</errorID>
      <errorWord>设施</errorWord>
      <group>L1_Word</group>
      <groupName>字词问题</groupName>
      <ability>L2_Typo</ability>
      <abilityName>字词错误</abilityName>
      <candidateList>
        <item>设置</item>
      </candidateList>
      <explain>〈动〉❶设立：这座剧院是为儿童～的。❷安放；安装：～障碍。</explain>
      <paraID>50C49767</paraID>
      <start>3</start>
      <end>5</end>
      <status>modified</status>
      <modifiedWord>设置</modifiedWord>
      <trackRevisions>false</trackRevisions>
    </reviewItem>
    <reviewItem>
      <errorID>23342952-5ffa-4ab8-973e-4659a3c382e3</errorID>
      <errorWord>区</errorWord>
      <group>L1_Word</group>
      <groupName>字词问题</groupName>
      <ability>L2_Typo</ability>
      <abilityName>字词错误</abilityName>
      <candidateList>
        <item>区规</item>
      </candidateList>
      <explain/>
      <paraID>7EB275CE</paraID>
      <start>31</start>
      <end>32</end>
      <status>unmodified</status>
      <modifiedWord/>
      <trackRevisions>false</trackRevisions>
    </reviewItem>
    <reviewItem>
      <errorID>d79fae55-a135-4301-96cb-5faef48c5104</errorID>
      <errorWord>《黑龙江省矿产资源总体规划》（2021—2025年）</errorWord>
      <group>L1_Knowledge</group>
      <groupName>知识性问题</groupName>
      <ability>L2_Knowledge</ability>
      <abilityName>其他知识</abilityName>
      <candidateList>
        <item>《黑龙江省矿产资源总体规划（2021—2025年）》</item>
      </candidateList>
      <explain>疑似政策文件、法律法规名称等书写不规范，请注意检查。</explain>
      <paraID>7EB275CE</paraID>
      <start>34</start>
      <end>60</end>
      <status>unmodified</status>
      <modifiedWord/>
      <trackRevisions>false</trackRevisions>
    </reviewItem>
    <reviewItem>
      <errorID>02f0fb49-62e6-4371-bc6e-5a458ddab253</errorID>
      <errorWord>在在</errorWord>
      <group>L1_Word</group>
      <groupName>字词问题</groupName>
      <ability>L2_Typo</ability>
      <abilityName>字词错误</abilityName>
      <candidateList>
        <item>在</item>
      </candidateList>
      <explain>❶〈动〉存在；生存：精神永～｜留得青山～，不怕没柴烧｜父母都～。❷〈动〉表示人或事物的位置：我今天晚上不～厂里｜你的钢笔～桌子上呢。❸〈动〉留在：～职｜～位。❹〈动〉参加（某团体）；属于（某团体）：～党｜～组织。❺〈动〉在于；决定于：事～人为｜学习好，主要～自己努力。❻“在”和“所”连用，表示强调，下面多连“不”：～所不辞｜～所不惜｜～所不计｜～所难免。❼〈介〉表示时间、处所、范围、条件等：事情发生～去年｜～礼堂开会｜这件事～方式上还可以研究｜～他的帮助下，我取得了较好的成绩。❽〈副〉正在：风～刮，雨～下｜姐姐～做功课。</explain>
      <paraID>7EB275CE</paraID>
      <start>79</start>
      <end>80</end>
      <status>modified</status>
      <modifiedWord>在</modifiedWord>
      <trackRevisions>false</trackRevisions>
    </reviewItem>
    <reviewItem>
      <errorID>21039e43-e305-4a5a-8cc5-b61a26b79a8f</errorID>
      <errorWord>需均</errorWord>
      <group>L1_Word</group>
      <groupName>字词问题</groupName>
      <ability>L2_Typo</ability>
      <abilityName>字词错误</abilityName>
      <candidateList>
        <item>需</item>
      </candidateList>
      <explain>❶〈动〉需要：～求｜按～分配｜完成任务还～五天时间。❷需用的东西：军～。</explain>
      <paraID> E8DF1AA</paraID>
      <start>327</start>
      <end>328</end>
      <status>modified</status>
      <modifiedWord>需</modifiedWord>
      <trackRevisions>false</trackRevisions>
    </reviewItem>
    <reviewItem>
      <errorID>31071019-c8ae-4163-a87c-129525c667aa</errorID>
      <errorWord>本次</errorWord>
      <group>L1_Word</group>
      <groupName>字词问题</groupName>
      <ability>L2_Typo</ability>
      <abilityName>字词错误</abilityName>
      <candidateList>
        <item>本文</item>
      </candidateList>
      <explain/>
      <paraID> E8DF1AA</paraID>
      <start>360</start>
      <end>362</end>
      <status>unmodified</status>
      <modifiedWord/>
      <trackRevisions>false</trackRevisions>
    </reviewItem>
    <reviewItem>
      <errorID>a4058a51-27b6-4436-a734-968d9db0b711</errorID>
      <errorWord>充分发挥了</errorWord>
      <group>L1_Word</group>
      <groupName>字词问题</groupName>
      <ability>L2_Typo</ability>
      <abilityName>字词错误</abilityName>
      <candidateList>
        <item>充分发挥</item>
      </candidateList>
      <explain/>
      <paraID>71AA0EB9</paraID>
      <start>39</start>
      <end>43</end>
      <status>modified</status>
      <modifiedWord>充分发挥</modifiedWord>
      <trackRevisions>false</trackRevisions>
    </reviewItem>
    <reviewItem>
      <errorID>5cced07a-43d6-4a59-a628-32c46a57c004</errorID>
      <errorWord>素</errorWord>
      <group>L1_Word</group>
      <groupName>字词问题</groupName>
      <ability>L2_Typo</ability>
      <abilityName>字词错误</abilityName>
      <candidateList>
        <item>素之</item>
      </candidateList>
      <explain/>
      <paraID>52621731</paraID>
      <start>27</start>
      <end>28</end>
      <status>unmodified</status>
      <modifiedWord/>
      <trackRevisions>false</trackRevisions>
    </reviewItem>
    <reviewItem>
      <errorID>cfeefa8f-bc65-47fc-9dc2-9dcd73b67da4</errorID>
      <errorWord>法律、法规</errorWord>
      <group>L1_Word</group>
      <groupName>字词问题</groupName>
      <ability>L2_Typo</ability>
      <abilityName>字词错误</abilityName>
      <candidateList>
        <item>法律法规</item>
      </candidateList>
      <explain/>
      <paraID>6E86400B</paraID>
      <start>8</start>
      <end>13</end>
      <status>unmodified</status>
      <modifiedWord/>
      <trackRevisions>false</trackRevisions>
    </reviewItem>
    <reviewItem>
      <errorID>46e4f1cd-487d-4dda-b1f8-240c7cf866d1</errorID>
      <errorWord>[2016]3号</errorWord>
      <group>L1_Knowledge</group>
      <groupName>知识性问题</groupName>
      <ability>L2_Knowledge</ability>
      <abilityName>其他知识</abilityName>
      <candidateList>
        <item>〔2016〕3号</item>
      </candidateList>
      <explain>发文字号格式错误。</explain>
      <paraID>1E337BFF</paraID>
      <start>38</start>
      <end>46</end>
      <status>modified</status>
      <modifiedWord>〔2016〕3号</modifiedWord>
      <trackRevisions>false</trackRevisions>
    </reviewItem>
    <reviewItem>
      <errorID>764a24eb-eb5c-40ba-97ed-8e46b97db750</errorID>
      <errorWord>程</errorWord>
      <group>L1_Word</group>
      <groupName>字词问题</groupName>
      <ability>L2_Typo</ability>
      <abilityName>字词错误</abilityName>
      <candidateList>
        <item>程中</item>
      </candidateList>
      <explain/>
      <paraID>749D123A</paraID>
      <start>20</start>
      <end>21</end>
      <status>unmodified</status>
      <modifiedWord/>
      <trackRevisions>false</trackRevisions>
    </reviewItem>
    <reviewItem>
      <errorID>62ac9433-d75e-4fbe-a53f-9cf372f8f9e2</errorID>
      <errorWord>解性</errorWord>
      <group>L1_Word</group>
      <groupName>字词问题</groupName>
      <ability>L2_Typo</ability>
      <abilityName>字词错误</abilityName>
      <candidateList>
        <item>碱性</item>
      </candidateList>
      <explain/>
      <paraID>3D7D204A</paraID>
      <start>0</start>
      <end>2</end>
      <status>unmodified</status>
      <modifiedWord/>
      <trackRevisions>false</trackRevisions>
    </reviewItem>
    <reviewItem>
      <errorID>683d6009-ef7c-4239-8e93-dc2cac8df74d</errorID>
      <errorWord>项目上</errorWord>
      <group>L1_Word</group>
      <groupName>字词问题</groupName>
      <ability>L2_Typo</ability>
      <abilityName>字词错误</abilityName>
      <candidateList>
        <item>项目</item>
      </candidateList>
      <explain>〈名〉事物分成的门类：服务～｜体育～｜建设～。</explain>
      <paraID>12DC2D7C</paraID>
      <start>1</start>
      <end>3</end>
      <status>modified</status>
      <modifiedWord>项目</modifiedWord>
      <trackRevisions>false</trackRevisions>
    </reviewItem>
    <reviewItem>
      <errorID>4a10bd90-3af8-4bf4-93a8-10b95c35798b</errorID>
      <errorWord>《全国重要江河湖泊水功能区划》（2011—2030年）</errorWord>
      <group>L1_Knowledge</group>
      <groupName>知识性问题</groupName>
      <ability>L2_Knowledge</ability>
      <abilityName>其他知识</abilityName>
      <candidateList>
        <item>《全国重要江河湖泊水功能区划（2011—2030年）》</item>
      </candidateList>
      <explain>疑似政策文件、法律法规名称等书写不规范，请注意检查。</explain>
      <paraID>1E165A67</paraID>
      <start>29</start>
      <end>56</end>
      <status>unmodified</status>
      <modifiedWord/>
      <trackRevisions>false</trackRevisions>
    </reviewItem>
    <reviewItem>
      <errorID>27370a8c-60d2-47e3-9dac-4e8c2ad4acae</errorID>
      <errorWord>～</errorWord>
      <group>L1_Format</group>
      <groupName>格式问题</groupName>
      <ability>L2_HalfPunc</ability>
      <abilityName>全半角检查</abilityName>
      <candidateList>
        <item>~</item>
      </candidateList>
      <explain>文本全半角错误。</explain>
      <paraID>52F33923</paraID>
      <start>1</start>
      <end>2</end>
      <status>unmodified</status>
      <modifiedWord/>
      <trackRevisions>false</trackRevisions>
    </reviewItem>
    <reviewItem>
      <errorID>86ca9e3f-93dc-4bbb-b992-2574da20935d</errorID>
      <errorWord>～</errorWord>
      <group>L1_Format</group>
      <groupName>格式问题</groupName>
      <ability>L2_HalfPunc</ability>
      <abilityName>全半角检查</abilityName>
      <candidateList>
        <item>~</item>
      </candidateList>
      <explain>文本全半角错误。</explain>
      <paraID> 5C7EBE4</paraID>
      <start>3</start>
      <end>4</end>
      <status>unmodified</status>
      <modifiedWord/>
      <trackRevisions>false</trackRevisions>
    </reviewItem>
    <reviewItem>
      <errorID>68684f11-4a2c-425a-9587-b46f4eb20570</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4592DFDF</paraID>
      <start>0</start>
      <end>2</end>
      <status>unmodified</status>
      <modifiedWord/>
      <trackRevisions>false</trackRevisions>
    </reviewItem>
    <reviewItem>
      <errorID>f6c2461c-a2c5-4021-bb0b-d801a22b6926</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3624DB6C</paraID>
      <start>0</start>
      <end>2</end>
      <status>unmodified</status>
      <modifiedWord/>
      <trackRevisions>false</trackRevisions>
    </reviewItem>
    <reviewItem>
      <errorID>6e854d85-5964-4b21-9118-a19869055dcb</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6096B307</paraID>
      <start>0</start>
      <end>2</end>
      <status>unmodified</status>
      <modifiedWord/>
      <trackRevisions>false</trackRevisions>
    </reviewItem>
    <reviewItem>
      <errorID>942c033c-98b0-42bc-8dc8-fbe42a55f3fb</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53D6F587</paraID>
      <start>0</start>
      <end>2</end>
      <status>unmodified</status>
      <modifiedWord/>
      <trackRevisions>false</trackRevisions>
    </reviewItem>
    <reviewItem>
      <errorID>aa2190fe-fcb6-4cf2-b14e-0ff6394098f7</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3B121619</paraID>
      <start>0</start>
      <end>2</end>
      <status>unmodified</status>
      <modifiedWord/>
      <trackRevisions>false</trackRevisions>
    </reviewItem>
    <reviewItem>
      <errorID>c2c933e8-e402-4cab-a5d2-a6cc45f95fc1</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9F27B5D</paraID>
      <start>0</start>
      <end>2</end>
      <status>unmodified</status>
      <modifiedWord/>
      <trackRevisions>false</trackRevisions>
    </reviewItem>
    <reviewItem>
      <errorID>878e1a5c-5cdf-4970-b77a-1e1a422028d2</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405C4620</paraID>
      <start>0</start>
      <end>2</end>
      <status>unmodified</status>
      <modifiedWord/>
      <trackRevisions>false</trackRevisions>
    </reviewItem>
    <reviewItem>
      <errorID>5abd3f43-3e09-40a6-996f-c0c8d13f3508</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5FA6A4C2</paraID>
      <start>0</start>
      <end>2</end>
      <status>unmodified</status>
      <modifiedWord/>
      <trackRevisions>false</trackRevisions>
    </reviewItem>
    <reviewItem>
      <errorID>a4fb90a6-15b5-4998-b8f6-ea5764b63fed</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4303B77B</paraID>
      <start>0</start>
      <end>2</end>
      <status>unmodified</status>
      <modifiedWord/>
      <trackRevisions>false</trackRevisions>
    </reviewItem>
    <reviewItem>
      <errorID>a36c9190-ddad-4f46-b7d7-fe68ba9458a0</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68A3AC3D</paraID>
      <start>0</start>
      <end>2</end>
      <status>unmodified</status>
      <modifiedWord/>
      <trackRevisions>false</trackRevisions>
    </reviewItem>
    <reviewItem>
      <errorID>07474bbc-4307-479b-a716-5439381e0d42</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86DCA8A</paraID>
      <start>0</start>
      <end>2</end>
      <status>unmodified</status>
      <modifiedWord/>
      <trackRevisions>false</trackRevisions>
    </reviewItem>
    <reviewItem>
      <errorID>217e3bfe-7bc2-4125-86cc-0e914fc83c7d</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49BC1C0A</paraID>
      <start>0</start>
      <end>2</end>
      <status>unmodified</status>
      <modifiedWord/>
      <trackRevisions>false</trackRevisions>
    </reviewItem>
    <reviewItem>
      <errorID>43fec114-ea88-45e0-a28e-6177dacf674d</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7A462474</paraID>
      <start>0</start>
      <end>2</end>
      <status>unmodified</status>
      <modifiedWord/>
      <trackRevisions>false</trackRevisions>
    </reviewItem>
    <reviewItem>
      <errorID>aa8f88c8-7995-4968-affe-484c0bc93562</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54F4F80E</paraID>
      <start>144</start>
      <end>145</end>
      <status>unmodified</status>
      <modifiedWord/>
      <trackRevisions>false</trackRevisions>
    </reviewItem>
    <reviewItem>
      <errorID>25a9d665-0b83-4ca9-8429-ad89fcc8c0ce</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2C5C25ED</paraID>
      <start>0</start>
      <end>2</end>
      <status>unmodified</status>
      <modifiedWord/>
      <trackRevisions>false</trackRevisions>
    </reviewItem>
    <reviewItem>
      <errorID>b0221a15-511e-46dd-8a67-3ba1b220e913</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93B187D</paraID>
      <start>0</start>
      <end>2</end>
      <status>unmodified</status>
      <modifiedWord/>
      <trackRevisions>false</trackRevisions>
    </reviewItem>
    <reviewItem>
      <errorID>f8af235d-3a32-4d33-864f-f4a73e5e4876</errorID>
      <errorWord>海拔高度</errorWord>
      <group>L1_Word</group>
      <groupName>字词问题</groupName>
      <ability>L2_Typo</ability>
      <abilityName>字词错误</abilityName>
      <candidateList>
        <item>海拔</item>
      </candidateList>
      <explain>〈名〉从平均海平面起算的高度。</explain>
      <paraID> CB6BF36</paraID>
      <start>5</start>
      <end>9</end>
      <status>unmodified</status>
      <modifiedWord/>
      <trackRevisions>false</trackRevisions>
    </reviewItem>
    <reviewItem>
      <errorID>b494fe81-ec1f-4e35-acf0-2e31e09b8b3c</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553DDB7</paraID>
      <start>0</start>
      <end>2</end>
      <status>unmodified</status>
      <modifiedWord/>
      <trackRevisions>false</trackRevisions>
    </reviewItem>
    <reviewItem>
      <errorID>88a57385-06e3-436a-9ffe-b79162dd926f</errorID>
      <errorWord>《全国重要江河湖泊水功能区划》（2011—2030年）</errorWord>
      <group>L1_Knowledge</group>
      <groupName>知识性问题</groupName>
      <ability>L2_Knowledge</ability>
      <abilityName>其他知识</abilityName>
      <candidateList>
        <item>《全国重要江河湖泊水功能区划（2011—2030年）》</item>
      </candidateList>
      <explain>疑似政策文件、法律法规名称等书写不规范，请注意检查。</explain>
      <paraID>481AD72C</paraID>
      <start>29</start>
      <end>56</end>
      <status>unmodified</status>
      <modifiedWord/>
      <trackRevisions>false</trackRevisions>
    </reviewItem>
    <reviewItem>
      <errorID>806db244-7551-4fba-9dba-20bdb8212d98</errorID>
      <errorWord>相关的其它</errorWord>
      <group>L1_Word</group>
      <groupName>字词问题</groupName>
      <ability>L2_Alias</ability>
      <abilityName>也作/曾用词</abilityName>
      <candidateList>
        <item>相关的其他</item>
      </candidateList>
      <explain>词汇[相关的其它]为不规范表述或旧称，其规范书面表述为[相关的其他]。</explain>
      <paraID>1DE7FBA1</paraID>
      <start>68</start>
      <end>73</end>
      <status>unmodified</status>
      <modifiedWord/>
      <trackRevisions>false</trackRevisions>
    </reviewItem>
    <reviewItem>
      <errorID>ef84f47e-b456-4741-aae8-6c16408cf105</errorID>
      <errorWord>较感区</errorWord>
      <group>L1_Word</group>
      <groupName>字词问题</groupName>
      <ability>L2_Typo</ability>
      <abilityName>字词错误</abilityName>
      <candidateList>
        <item>敏感区</item>
      </candidateList>
      <explain/>
      <paraID>1B82684E</paraID>
      <start>71</start>
      <end>74</end>
      <status>modified</status>
      <modifiedWord>敏感区</modifiedWord>
      <trackRevisions>false</trackRevisions>
    </reviewItem>
    <reviewItem>
      <errorID>1f6a3e59-af2a-460b-b779-7a55f15d5b33</errorID>
      <errorWord>》</errorWord>
      <group>L1_Word</group>
      <groupName>字词问题</groupName>
      <ability>L2_Typo</ability>
      <abilityName>字词错误</abilityName>
      <candidateList>
        <item>》和</item>
      </candidateList>
      <explain/>
      <paraID>7F9810D1</paraID>
      <start>37</start>
      <end>38</end>
      <status>unmodified</status>
      <modifiedWord/>
      <trackRevisions>false</trackRevisions>
    </reviewItem>
    <reviewItem>
      <errorID>39ab48dd-642b-46f0-ae51-1c7630a71b31</errorID>
      <errorWord>做</errorWord>
      <group>L1_Word</group>
      <groupName>字词问题</groupName>
      <ability>L2_Typo</ability>
      <abilityName>字词错误</abilityName>
      <candidateList>
        <item>作</item>
      </candidateList>
      <explain>存在发音相同字词的误用。</explain>
      <paraID>48571309</paraID>
      <start>57</start>
      <end>58</end>
      <status>modified</status>
      <modifiedWord>作</modifiedWord>
      <trackRevisions>false</trackRevisions>
    </reviewItem>
    <reviewItem>
      <errorID>b7d8e3c4-4e6e-4a4f-9817-01365e7679a9</errorID>
      <errorWord>存在</errorWord>
      <group>L1_Word</group>
      <groupName>字词问题</groupName>
      <ability>L2_Typo</ability>
      <abilityName>字词错误</abilityName>
      <candidateList>
        <item>存放</item>
      </candidateList>
      <explain/>
      <paraID>4FE3F876</paraID>
      <start>95</start>
      <end>97</end>
      <status>unmodified</status>
      <modifiedWord/>
      <trackRevisions>false</trackRevisions>
    </reviewItem>
    <reviewItem>
      <errorID>fe188734-9460-412c-8a1e-73c27a79c64f</errorID>
      <errorWord>检测报告</errorWord>
      <group>L1_Word</group>
      <groupName>字词问题</groupName>
      <ability>L2_Typo</ability>
      <abilityName>字词错误</abilityName>
      <candidateList>
        <item>监测报告</item>
      </candidateList>
      <explain/>
      <paraID>5E5155D5</paraID>
      <start>36</start>
      <end>40</end>
      <status>unmodified</status>
      <modifiedWord/>
      <trackRevisions>false</trackRevisions>
    </reviewItem>
    <reviewItem>
      <errorID>d22020df-47ca-45d9-ac8a-a17c4e49c0ea</errorID>
      <errorWord>为级</errorWord>
      <group>L1_Word</group>
      <groupName>字词问题</groupName>
      <ability>L2_Typo</ability>
      <abilityName>字词错误</abilityName>
      <candidateList>
        <item>为</item>
      </candidateList>
      <explain>（爲、為）wèi❶〈书〉帮助；卫护：～吕氏者右袒，～刘氏者左袒。❷〈介〉表示行为的对象；替：～你庆幸｜～人民服务｜～这本书写一篇序。❸〈介〉表示原因、目的：大家都～这件事高兴｜～建设伟大祖国而奋斗。❹〈书〉〈介〉对；向：不足～外人道。</explain>
      <paraID>5E5155D5</paraID>
      <start>103</start>
      <end>104</end>
      <status>modified</status>
      <modifiedWord>为</modifiedWord>
      <trackRevisions>false</trackRevisions>
    </reviewItem>
    <reviewItem>
      <errorID>63042ec7-0dde-4e0b-87ef-9e8779a44f73</errorID>
      <errorWord>-</errorWord>
      <group>L1_Format</group>
      <groupName>格式问题</groupName>
      <ability>L2_HalfPunc</ability>
      <abilityName>全半角检查</abilityName>
      <candidateList>
        <item>－</item>
      </candidateList>
      <explain>文本全半角错误。</explain>
      <paraID>314C05EE</paraID>
      <start>3</start>
      <end>4</end>
      <status>unmodified</status>
      <modifiedWord/>
      <trackRevisions>false</trackRevisions>
    </reviewItem>
    <reviewItem>
      <errorID>70d522ee-6788-441d-a0c4-6ef9268b5280</errorID>
      <errorWord>截止</errorWord>
      <group>L1_Word</group>
      <groupName>字词问题</groupName>
      <ability>L2_Typo</ability>
      <abilityName>字词错误</abilityName>
      <candidateList>
        <item>截至</item>
      </candidateList>
      <explain>存在发音相同字词的误用。</explain>
      <paraID>3D278F11</paraID>
      <start>297</start>
      <end>299</end>
      <status>modified</status>
      <modifiedWord>截至</modifiedWord>
      <trackRevisions>false</trackRevisions>
    </reviewItem>
    <reviewItem>
      <errorID>00d6f809-20f8-4a56-ac97-36798ef13f61</errorID>
      <errorWord>截止</errorWord>
      <group>L1_Word</group>
      <groupName>字词问题</groupName>
      <ability>L2_Typo</ability>
      <abilityName>字词错误</abilityName>
      <candidateList>
        <item>截至</item>
      </candidateList>
      <explain>存在发音相同字词的误用。</explain>
      <paraID>6DF0594E</paraID>
      <start>149</start>
      <end>151</end>
      <status>modified</status>
      <modifiedWord>截至</modifiedWord>
      <trackRevisions>false</trackRevisions>
    </reviewItem>
    <reviewItem>
      <errorID>52f73b0b-9be2-478a-859f-3ac1410a65df</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231F28A6</paraID>
      <start>46</start>
      <end>47</end>
      <status>unmodified</status>
      <modifiedWord/>
      <trackRevisions>false</trackRevisions>
    </reviewItem>
    <reviewItem>
      <errorID>c24bbe7d-63f4-40bc-9edd-963d97d47a61</errorID>
      <errorWord>称量系统</errorWord>
      <group>L1_Knowledge</group>
      <groupName>知识性问题</groupName>
      <ability>L2_Term</ability>
      <abilityName>专业术语</abilityName>
      <candidateList>
        <item>称重系统</item>
      </candidateList>
      <explain/>
      <paraID>41D07A30</paraID>
      <start>2</start>
      <end>6</end>
      <status>unmodified</status>
      <modifiedWord/>
      <trackRevisions>false</trackRevisions>
    </reviewItem>
    <reviewItem>
      <errorID>70157823-c112-4ee3-af64-1879cb212066</errorID>
      <errorWord>呈</errorWord>
      <group>L1_Word</group>
      <groupName>字词问题</groupName>
      <ability>L2_Typo</ability>
      <abilityName>字词错误</abilityName>
      <candidateList>
        <item>成</item>
      </candidateList>
      <explain>（～儿）〈量〉十分之一叫一成：九～金｜村里今年收的庄稼比去年增加两～。</explain>
      <paraID>41D07A30</paraID>
      <start>40</start>
      <end>41</end>
      <status>modified</status>
      <modifiedWord>成</modifiedWord>
      <trackRevisions>false</trackRevisions>
    </reviewItem>
    <reviewItem>
      <errorID>f798a5d6-d5b4-43f7-864d-2bdddd59f5a9</errorID>
      <errorWord>黏土</errorWord>
      <group>L1_Word</group>
      <groupName>字词问题</groupName>
      <ability>L2_Typo</ability>
      <abilityName>字词错误</abilityName>
      <candidateList>
        <item>粘土</item>
      </candidateList>
      <explain/>
      <paraID>222BE268</paraID>
      <start>66</start>
      <end>68</end>
      <status>unmodified</status>
      <modifiedWord/>
      <trackRevisions>false</trackRevisions>
    </reviewItem>
    <reviewItem>
      <errorID>47b65a99-ec51-4260-8366-411a813eb592</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222BE268</paraID>
      <start>85</start>
      <end>86</end>
      <status>unmodified</status>
      <modifiedWord/>
      <trackRevisions>false</trackRevisions>
    </reviewItem>
    <reviewItem>
      <errorID>1e4bf59a-4c1d-4ebc-b6bd-4c70f1371883</errorID>
      <errorWord>沉砂池</errorWord>
      <group>L1_Word</group>
      <groupName>字词问题</groupName>
      <ability>L2_Typo</ability>
      <abilityName>字词错误</abilityName>
      <candidateList>
        <item>沉沙池</item>
      </candidateList>
      <explain>存在发音相同字词的误用。</explain>
      <paraID> D0794A5</paraID>
      <start>68</start>
      <end>71</end>
      <status>unmodified</status>
      <modifiedWord/>
      <trackRevisions>false</trackRevisions>
    </reviewItem>
    <reviewItem>
      <errorID>cfa4d25f-fe13-45e7-b09b-8bdbcd49f917</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D0794A5</paraID>
      <start>100</start>
      <end>101</end>
      <status>unmodified</status>
      <modifiedWord/>
      <trackRevisions>false</trackRevisions>
    </reviewItem>
    <reviewItem>
      <errorID>604fde57-cfe4-45f2-9c4a-fa2b398fa4fb</errorID>
      <errorWord>[2006]25号</errorWord>
      <group>L1_Knowledge</group>
      <groupName>知识性问题</groupName>
      <ability>L2_Knowledge</ability>
      <abilityName>其他知识</abilityName>
      <candidateList>
        <item>〔2006〕25号</item>
      </candidateList>
      <explain>发文字号格式错误。</explain>
      <paraID>309138DD</paraID>
      <start>58</start>
      <end>67</end>
      <status>modified</status>
      <modifiedWord>〔2006〕25号</modifiedWord>
      <trackRevisions>false</trackRevisions>
    </reviewItem>
    <reviewItem>
      <errorID>04d7304e-b454-48e2-8002-7e0e36589c40</errorID>
      <errorWord>[2008]1号</errorWord>
      <group>L1_Knowledge</group>
      <groupName>知识性问题</groupName>
      <ability>L2_Knowledge</ability>
      <abilityName>其他知识</abilityName>
      <candidateList>
        <item>〔2008〕1号</item>
      </candidateList>
      <explain>发文字号格式错误。</explain>
      <paraID> 4DDF8AE</paraID>
      <start>60</start>
      <end>68</end>
      <status>modified</status>
      <modifiedWord>〔2008〕1号</modifiedWord>
      <trackRevisions>false</trackRevisions>
    </reviewItem>
    <reviewItem>
      <errorID>57f37477-62e1-4e46-b507-dca2f75c6135</errorID>
      <errorWord>[2011]234号</errorWord>
      <group>L1_Knowledge</group>
      <groupName>知识性问题</groupName>
      <ability>L2_Knowledge</ability>
      <abilityName>其他知识</abilityName>
      <candidateList>
        <item>〔2011〕234号</item>
      </candidateList>
      <explain>发文字号格式错误。</explain>
      <paraID>6593D7B5</paraID>
      <start>58</start>
      <end>68</end>
      <status>modified</status>
      <modifiedWord>〔2011〕234号</modifiedWord>
      <trackRevisions>false</trackRevisions>
    </reviewItem>
    <reviewItem>
      <errorID>2aacd7f1-e233-448a-9cfd-b1d07174813e</errorID>
      <errorWord>[2013]154号</errorWord>
      <group>L1_Knowledge</group>
      <groupName>知识性问题</groupName>
      <ability>L2_Knowledge</ability>
      <abilityName>其他知识</abilityName>
      <candidateList>
        <item>〔2013〕154号</item>
      </candidateList>
      <explain>发文字号格式错误。</explain>
      <paraID>3E8E7B39</paraID>
      <start>61</start>
      <end>71</end>
      <status>modified</status>
      <modifiedWord>〔2013〕154号</modifiedWord>
      <trackRevisions>false</trackRevisions>
    </reviewItem>
    <reviewItem>
      <errorID>c1d5a73d-dc01-4ed0-b5fa-9c9f0d477f10</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5C485B7</paraID>
      <start>13</start>
      <end>14</end>
      <status>unmodified</status>
      <modifiedWord/>
      <trackRevisions>false</trackRevisions>
    </reviewItem>
    <reviewItem>
      <errorID>d9c4039a-493c-4066-af36-aa026856b27b</errorID>
      <errorWord>[2024]2号</errorWord>
      <group>L1_Knowledge</group>
      <groupName>知识性问题</groupName>
      <ability>L2_Knowledge</ability>
      <abilityName>其他知识</abilityName>
      <candidateList>
        <item>〔2024〕2号</item>
      </candidateList>
      <explain>发文字号格式错误。</explain>
      <paraID>1F35619F</paraID>
      <start>62</start>
      <end>70</end>
      <status>modified</status>
      <modifiedWord>〔2024〕2号</modifiedWord>
      <trackRevisions>false</trackRevisions>
    </reviewItem>
    <reviewItem>
      <errorID>df7a3df9-1670-4972-969d-f99f3fae2dc7</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D151A4A</paraID>
      <start>80</start>
      <end>81</end>
      <status>unmodified</status>
      <modifiedWord/>
      <trackRevisions>false</trackRevisions>
    </reviewItem>
    <reviewItem>
      <errorID>4f5a4c6d-bffb-40bb-86f5-c92e51f98a21</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4599C87E</paraID>
      <start>0</start>
      <end>2</end>
      <status>unmodified</status>
      <modifiedWord/>
      <trackRevisions>false</trackRevisions>
    </reviewItem>
    <reviewItem>
      <errorID>05728616-6a76-476f-964d-a5425ddd9f21</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78A83606</paraID>
      <start>0</start>
      <end>2</end>
      <status>unmodified</status>
      <modifiedWord/>
      <trackRevisions>false</trackRevisions>
    </reviewItem>
    <reviewItem>
      <errorID>65dba477-fb2c-42ff-96db-0f016bef0464</errorID>
      <errorWord>一段</errorWord>
      <group>L1_Knowledge</group>
      <groupName>知识性问题</groupName>
      <ability>L2_Knowledge</ability>
      <abilityName>其他知识</abilityName>
      <candidateList>
        <item>一次</item>
      </candidateList>
      <explain/>
      <paraID>36E61AB2</paraID>
      <start>49</start>
      <end>51</end>
      <status>unmodified</status>
      <modifiedWord/>
      <trackRevisions>false</trackRevisions>
    </reviewItem>
    <reviewItem>
      <errorID>702ab804-b7a6-4e51-96dd-2690e0face64</errorID>
      <errorWord>到</errorWord>
      <group>L1_Word</group>
      <groupName>字词问题</groupName>
      <ability>L2_Typo</ability>
      <abilityName>字词错误</abilityName>
      <candidateList>
        <item>至</item>
      </candidateList>
      <explain>存在字形相近字词的误用。</explain>
      <paraID>36E61AB2</paraID>
      <start>158</start>
      <end>159</end>
      <status>unmodified</status>
      <modifiedWord/>
      <trackRevisions>false</trackRevisions>
    </reviewItem>
    <reviewItem>
      <errorID>33ab6d9f-3237-4582-830a-11e781e49f4a</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38F358B8</paraID>
      <start>0</start>
      <end>2</end>
      <status>unmodified</status>
      <modifiedWord/>
      <trackRevisions>false</trackRevisions>
    </reviewItem>
    <reviewItem>
      <errorID>c0310d93-f13c-4158-af0e-699cdf9185ba</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2B3A34AB</paraID>
      <start>0</start>
      <end>2</end>
      <status>unmodified</status>
      <modifiedWord/>
      <trackRevisions>false</trackRevisions>
    </reviewItem>
    <reviewItem>
      <errorID>a59ca72e-b280-48d1-a6a4-0a9f272eae28</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24C86706</paraID>
      <start>0</start>
      <end>2</end>
      <status>unmodified</status>
      <modifiedWord/>
      <trackRevisions>false</trackRevisions>
    </reviewItem>
    <reviewItem>
      <errorID>7a3ee93d-67e6-4cdd-9846-d3ff15f6cd1f</errorID>
      <errorWord>：</errorWord>
      <group>L1_Format</group>
      <groupName>格式问题</groupName>
      <ability>L2_HalfPunc</ability>
      <abilityName>全半角检查</abilityName>
      <candidateList>
        <item>:</item>
      </candidateList>
      <explain>文本全半角错误。</explain>
      <paraID>52CFE686</paraID>
      <start>62</start>
      <end>63</end>
      <status>unmodified</status>
      <modifiedWord/>
      <trackRevisions>false</trackRevisions>
    </reviewItem>
    <reviewItem>
      <errorID>864c9720-1e61-42e8-81c4-e70786a3897f</errorID>
      <errorWord>：</errorWord>
      <group>L1_Format</group>
      <groupName>格式问题</groupName>
      <ability>L2_HalfPunc</ability>
      <abilityName>全半角检查</abilityName>
      <candidateList>
        <item>:</item>
      </candidateList>
      <explain>文本全半角错误。</explain>
      <paraID>52CFE686</paraID>
      <start>72</start>
      <end>73</end>
      <status>unmodified</status>
      <modifiedWord/>
      <trackRevisions>false</trackRevisions>
    </reviewItem>
    <reviewItem>
      <errorID>8faa9831-5e1e-4513-8b48-6e6069953335</errorID>
      <errorWord>：</errorWord>
      <group>L1_Format</group>
      <groupName>格式问题</groupName>
      <ability>L2_HalfPunc</ability>
      <abilityName>全半角检查</abilityName>
      <candidateList>
        <item>:</item>
      </candidateList>
      <explain>文本全半角错误。</explain>
      <paraID>2AB370AA</paraID>
      <start>67</start>
      <end>68</end>
      <status>unmodified</status>
      <modifiedWord/>
      <trackRevisions>false</trackRevisions>
    </reviewItem>
    <reviewItem>
      <errorID>f2fd7b22-2071-439f-9a89-c77d71badd7b</errorID>
      <errorWord>一</errorWord>
      <group>L1_Word</group>
      <groupName>字词问题</groupName>
      <ability>L2_Typo</ability>
      <abilityName>字词错误</abilityName>
      <candidateList>
        <item>一个</item>
      </candidateList>
      <explain/>
      <paraID> 5BDDD30</paraID>
      <start>18</start>
      <end>20</end>
      <status>modified</status>
      <modifiedWord>一个</modifiedWord>
      <trackRevisions>false</trackRevisions>
    </reviewItem>
    <reviewItem>
      <errorID>aba35b84-3486-48a0-94d4-b8e5e96bc719</errorID>
      <errorWord>[2024]2号</errorWord>
      <group>L1_Knowledge</group>
      <groupName>知识性问题</groupName>
      <ability>L2_Knowledge</ability>
      <abilityName>其他知识</abilityName>
      <candidateList>
        <item>〔2024〕2号</item>
      </candidateList>
      <explain>发文字号格式错误。</explain>
      <paraID>7CDDA9B0</paraID>
      <start>125</start>
      <end>133</end>
      <status>modified</status>
      <modifiedWord>〔2024〕2号</modifiedWord>
      <trackRevisions>false</trackRevisions>
    </reviewItem>
    <reviewItem>
      <errorID>6ddf484b-9a4d-4da4-97d7-ff4c6f17da08</errorID>
      <errorWord>钻孔钻机</errorWord>
      <group>L1_Knowledge</group>
      <groupName>知识性问题</groupName>
      <ability>L2_Term</ability>
      <abilityName>专业术语</abilityName>
      <candidateList>
        <item>潜孔钻机</item>
      </candidateList>
      <explain/>
      <paraID>1E8C021A</paraID>
      <start>32</start>
      <end>36</end>
      <status>unmodified</status>
      <modifiedWord/>
      <trackRevisions>false</trackRevisions>
    </reviewItem>
    <reviewItem>
      <errorID>8926b8ca-4d07-4812-a0c9-1bf5c3dc7634</errorID>
      <errorWord>厂</errorWord>
      <group>L1_Word</group>
      <groupName>字词问题</groupName>
      <ability>L2_Typo</ability>
      <abilityName>字词错误</abilityName>
      <candidateList>
        <item>场</item>
      </candidateList>
      <explain/>
      <paraID>416ACADC</paraID>
      <start>32</start>
      <end>33</end>
      <status>unmodified</status>
      <modifiedWord/>
      <trackRevisions>false</trackRevisions>
    </reviewItem>
    <reviewItem>
      <errorID>d20d5341-5024-4005-aac7-2edb7560fafd</errorID>
      <errorWord>＜</errorWord>
      <group>L1_Format</group>
      <groupName>格式问题</groupName>
      <ability>L2_HalfPunc</ability>
      <abilityName>全半角检查</abilityName>
      <candidateList>
        <item>&lt;</item>
      </candidateList>
      <explain>文本全半角错误。</explain>
      <paraID>7E85AFC1</paraID>
      <start>0</start>
      <end>1</end>
      <status>unmodified</status>
      <modifiedWord/>
      <trackRevisions>false</trackRevisions>
    </reviewItem>
    <reviewItem>
      <errorID>391ef491-0006-4930-ab10-4f77c4dbe0dd</errorID>
      <errorWord>＜</errorWord>
      <group>L1_Format</group>
      <groupName>格式问题</groupName>
      <ability>L2_HalfPunc</ability>
      <abilityName>全半角检查</abilityName>
      <candidateList>
        <item>&lt;</item>
      </candidateList>
      <explain>文本全半角错误。</explain>
      <paraID>782AA5D5</paraID>
      <start>0</start>
      <end>1</end>
      <status>unmodified</status>
      <modifiedWord/>
      <trackRevisions>false</trackRevisions>
    </reviewItem>
    <reviewItem>
      <errorID>d4c7c1bb-ab1e-4563-a4fc-4214cb479b6e</errorID>
      <errorWord>＜</errorWord>
      <group>L1_Format</group>
      <groupName>格式问题</groupName>
      <ability>L2_HalfPunc</ability>
      <abilityName>全半角检查</abilityName>
      <candidateList>
        <item>&lt;</item>
      </candidateList>
      <explain>文本全半角错误。</explain>
      <paraID>55B35A69</paraID>
      <start>0</start>
      <end>1</end>
      <status>unmodified</status>
      <modifiedWord/>
      <trackRevisions>false</trackRevisions>
    </reviewItem>
    <reviewItem>
      <errorID>434cf33e-565a-4f07-acac-6d6112a3fa1f</errorID>
      <errorWord>＜</errorWord>
      <group>L1_Format</group>
      <groupName>格式问题</groupName>
      <ability>L2_HalfPunc</ability>
      <abilityName>全半角检查</abilityName>
      <candidateList>
        <item>&lt;</item>
      </candidateList>
      <explain>文本全半角错误。</explain>
      <paraID>7269D592</paraID>
      <start>0</start>
      <end>1</end>
      <status>unmodified</status>
      <modifiedWord/>
      <trackRevisions>false</trackRevisions>
    </reviewItem>
    <reviewItem>
      <errorID>35b9728e-0fb4-4ee4-8a46-eefae3f207aa</errorID>
      <errorWord>＜</errorWord>
      <group>L1_Format</group>
      <groupName>格式问题</groupName>
      <ability>L2_HalfPunc</ability>
      <abilityName>全半角检查</abilityName>
      <candidateList>
        <item>&lt;</item>
      </candidateList>
      <explain>文本全半角错误。</explain>
      <paraID>5929DC97</paraID>
      <start>0</start>
      <end>1</end>
      <status>unmodified</status>
      <modifiedWord/>
      <trackRevisions>false</trackRevisions>
    </reviewItem>
    <reviewItem>
      <errorID>463c3beb-8f8f-4284-b838-dbe92602a8e5</errorID>
      <errorWord>＜</errorWord>
      <group>L1_Format</group>
      <groupName>格式问题</groupName>
      <ability>L2_HalfPunc</ability>
      <abilityName>全半角检查</abilityName>
      <candidateList>
        <item>&lt;</item>
      </candidateList>
      <explain>文本全半角错误。</explain>
      <paraID>18AEC8AE</paraID>
      <start>0</start>
      <end>1</end>
      <status>unmodified</status>
      <modifiedWord/>
      <trackRevisions>false</trackRevisions>
    </reviewItem>
    <reviewItem>
      <errorID>b2233538-8fc6-4de9-b952-7190f2ec88bd</errorID>
      <errorWord>＜</errorWord>
      <group>L1_Format</group>
      <groupName>格式问题</groupName>
      <ability>L2_HalfPunc</ability>
      <abilityName>全半角检查</abilityName>
      <candidateList>
        <item>&lt;</item>
      </candidateList>
      <explain>文本全半角错误。</explain>
      <paraID> 8D7EB5E</paraID>
      <start>0</start>
      <end>1</end>
      <status>unmodified</status>
      <modifiedWord/>
      <trackRevisions>false</trackRevisions>
    </reviewItem>
    <reviewItem>
      <errorID>dc2f615a-3572-43f3-bf5f-7053f692af61</errorID>
      <errorWord>＜</errorWord>
      <group>L1_Format</group>
      <groupName>格式问题</groupName>
      <ability>L2_HalfPunc</ability>
      <abilityName>全半角检查</abilityName>
      <candidateList>
        <item>&lt;</item>
      </candidateList>
      <explain>文本全半角错误。</explain>
      <paraID>6E4DF295</paraID>
      <start>0</start>
      <end>1</end>
      <status>unmodified</status>
      <modifiedWord/>
      <trackRevisions>false</trackRevisions>
    </reviewItem>
    <reviewItem>
      <errorID>cb6b1e28-be62-47e9-bc0e-107d17fdf3d8</errorID>
      <errorWord>＜</errorWord>
      <group>L1_Format</group>
      <groupName>格式问题</groupName>
      <ability>L2_HalfPunc</ability>
      <abilityName>全半角检查</abilityName>
      <candidateList>
        <item>&lt;</item>
      </candidateList>
      <explain>文本全半角错误。</explain>
      <paraID>141B7917</paraID>
      <start>0</start>
      <end>1</end>
      <status>unmodified</status>
      <modifiedWord/>
      <trackRevisions>false</trackRevisions>
    </reviewItem>
    <reviewItem>
      <errorID>e54a19b0-2cf3-410e-bab4-06858f8bf473</errorID>
      <errorWord>＜</errorWord>
      <group>L1_Format</group>
      <groupName>格式问题</groupName>
      <ability>L2_HalfPunc</ability>
      <abilityName>全半角检查</abilityName>
      <candidateList>
        <item>&lt;</item>
      </candidateList>
      <explain>文本全半角错误。</explain>
      <paraID>342DF156</paraID>
      <start>0</start>
      <end>1</end>
      <status>unmodified</status>
      <modifiedWord/>
      <trackRevisions>false</trackRevisions>
    </reviewItem>
    <reviewItem>
      <errorID>771a1e58-b5e1-4a75-b3c7-094949a9de3e</errorID>
      <errorWord>＜</errorWord>
      <group>L1_Format</group>
      <groupName>格式问题</groupName>
      <ability>L2_HalfPunc</ability>
      <abilityName>全半角检查</abilityName>
      <candidateList>
        <item>&lt;</item>
      </candidateList>
      <explain>文本全半角错误。</explain>
      <paraID>51A9D08A</paraID>
      <start>0</start>
      <end>1</end>
      <status>unmodified</status>
      <modifiedWord/>
      <trackRevisions>false</trackRevisions>
    </reviewItem>
    <reviewItem>
      <errorID>0e4b0166-1d75-4ad3-8ddd-83daeafaf05b</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2B78204D</paraID>
      <start>0</start>
      <end>2</end>
      <status>unmodified</status>
      <modifiedWord/>
      <trackRevisions>false</trackRevisions>
    </reviewItem>
    <reviewItem>
      <errorID>9c9dd77e-81b6-491d-8bfc-ce7cbc881e68</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59DFF4BE</paraID>
      <start>0</start>
      <end>2</end>
      <status>unmodified</status>
      <modifiedWord/>
      <trackRevisions>false</trackRevisions>
    </reviewItem>
    <reviewItem>
      <errorID>ee444099-4fa0-4bc6-9470-8c9a9f14bb4f</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3C267EC5</paraID>
      <start>0</start>
      <end>2</end>
      <status>unmodified</status>
      <modifiedWord/>
      <trackRevisions>false</trackRevisions>
    </reviewItem>
    <reviewItem>
      <errorID>f2c1d61d-563d-4f17-b276-d17df9bb0a1b</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40022358</paraID>
      <start>0</start>
      <end>2</end>
      <status>unmodified</status>
      <modifiedWord/>
      <trackRevisions>false</trackRevisions>
    </reviewItem>
    <reviewItem>
      <errorID>d7bb91eb-6dc9-47a5-a766-483bf48c7ceb</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73727C05</paraID>
      <start>0</start>
      <end>2</end>
      <status>unmodified</status>
      <modifiedWord/>
      <trackRevisions>false</trackRevisions>
    </reviewItem>
    <reviewItem>
      <errorID>318d9f29-d41a-4a29-896c-ea5b95dcfd98</errorID>
      <errorWord>＜</errorWord>
      <group>L1_Format</group>
      <groupName>格式问题</groupName>
      <ability>L2_HalfPunc</ability>
      <abilityName>全半角检查</abilityName>
      <candidateList>
        <item>&lt;</item>
      </candidateList>
      <explain>文本全半角错误。</explain>
      <paraID>3C8B081C</paraID>
      <start>0</start>
      <end>1</end>
      <status>unmodified</status>
      <modifiedWord/>
      <trackRevisions>false</trackRevisions>
    </reviewItem>
    <reviewItem>
      <errorID>dbf595d5-68b6-42db-9cdb-aafb197b8c60</errorID>
      <errorWord>爆堆</errorWord>
      <group>L1_Word</group>
      <groupName>字词问题</groupName>
      <ability>L2_Typo</ability>
      <abilityName>字词错误</abilityName>
      <candidateList>
        <item>爆破</item>
      </candidateList>
      <explain/>
      <paraID> DE01C45</paraID>
      <start>30</start>
      <end>32</end>
      <status>modified</status>
      <modifiedWord>爆破</modifiedWord>
      <trackRevisions>false</trackRevisions>
    </reviewItem>
    <reviewItem>
      <errorID>e14047c2-d4a9-4005-845d-4a3a07cbd954</errorID>
      <errorWord>配戴</errorWord>
      <group>L1_Word</group>
      <groupName>字词问题</groupName>
      <ability>L2_Alias</ability>
      <abilityName>也作/曾用词</abilityName>
      <candidateList>
        <item>佩戴</item>
      </candidateList>
      <explain>词汇[配戴]为不规范表述或旧称，其规范书面表述为[佩戴]。</explain>
      <paraID>69FF514D</paraID>
      <start>10</start>
      <end>12</end>
      <status>modified</status>
      <modifiedWord>佩戴</modifiedWord>
      <trackRevisions>false</trackRevisions>
    </reviewItem>
    <reviewItem>
      <errorID>d0cc7f88-6143-484c-93eb-58920b32b495</errorID>
      <errorWord>涌水处理站</errorWord>
      <group>L1_Knowledge</group>
      <groupName>知识性问题</groupName>
      <ability>L2_Term</ability>
      <abilityName>专业术语</abilityName>
      <candidateList>
        <item>污水处理站</item>
      </candidateList>
      <explain/>
      <paraID>1ADAFF6F</paraID>
      <start>19</start>
      <end>24</end>
      <status>unmodified</status>
      <modifiedWord/>
      <trackRevisions>false</trackRevisions>
    </reviewItem>
    <reviewItem>
      <errorID>61e08304-8212-4169-8389-848c59e0a49d</errorID>
      <errorWord>黏土</errorWord>
      <group>L1_Word</group>
      <groupName>字词问题</groupName>
      <ability>L2_Typo</ability>
      <abilityName>字词错误</abilityName>
      <candidateList>
        <item>粘土</item>
      </candidateList>
      <explain/>
      <paraID> 4DCE173</paraID>
      <start>66</start>
      <end>68</end>
      <status>unmodified</status>
      <modifiedWord/>
      <trackRevisions>false</trackRevisions>
    </reviewItem>
    <reviewItem>
      <errorID>38e68fb5-9376-4f89-9c79-6658b81bfba6</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4DCE173</paraID>
      <start>85</start>
      <end>86</end>
      <status>unmodified</status>
      <modifiedWord/>
      <trackRevisions>false</trackRevisions>
    </reviewItem>
    <reviewItem>
      <errorID>56dd4ce7-bf19-4697-a977-435d876133cd</errorID>
      <errorWord>沉砂池</errorWord>
      <group>L1_Word</group>
      <groupName>字词问题</groupName>
      <ability>L2_Typo</ability>
      <abilityName>字词错误</abilityName>
      <candidateList>
        <item>沉沙池</item>
      </candidateList>
      <explain>存在发音相同字词的误用。</explain>
      <paraID> B669C20</paraID>
      <start>68</start>
      <end>71</end>
      <status>unmodified</status>
      <modifiedWord/>
      <trackRevisions>false</trackRevisions>
    </reviewItem>
    <reviewItem>
      <errorID>ae48e9f0-98ad-4748-932d-0d16705f42fe</errorID>
      <errorWord>黏土</errorWord>
      <group>L1_Word</group>
      <groupName>字词问题</groupName>
      <ability>L2_Typo</ability>
      <abilityName>字词错误</abilityName>
      <candidateList>
        <item>粘土</item>
      </candidateList>
      <explain/>
      <paraID> B669C20</paraID>
      <start>82</start>
      <end>84</end>
      <status>unmodified</status>
      <modifiedWord/>
      <trackRevisions>false</trackRevisions>
    </reviewItem>
    <reviewItem>
      <errorID>5d820e51-c306-40df-8e40-99f284387da6</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B669C20</paraID>
      <start>101</start>
      <end>102</end>
      <status>unmodified</status>
      <modifiedWord/>
      <trackRevisions>false</trackRevisions>
    </reviewItem>
    <reviewItem>
      <errorID>e63e10cb-1e30-4028-a693-c7eb2fc942f7</errorID>
      <errorWord>地下水检测</errorWord>
      <group>L1_Word</group>
      <groupName>字词问题</groupName>
      <ability>L2_Typo</ability>
      <abilityName>字词错误</abilityName>
      <candidateList>
        <item>地下水监测</item>
      </candidateList>
      <explain/>
      <paraID>5C1A61EA</paraID>
      <start>2</start>
      <end>7</end>
      <status>unmodified</status>
      <modifiedWord/>
      <trackRevisions>false</trackRevisions>
    </reviewItem>
    <reviewItem>
      <errorID>2bd05888-4a5f-4878-9d73-c87d1e88a537</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30EBB22A</paraID>
      <start>0</start>
      <end>2</end>
      <status>unmodified</status>
      <modifiedWord/>
      <trackRevisions>false</trackRevisions>
    </reviewItem>
    <reviewItem>
      <errorID>6168b487-aefe-4c9d-afe0-85751dc00465</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48C529F3</paraID>
      <start>0</start>
      <end>2</end>
      <status>unmodified</status>
      <modifiedWord/>
      <trackRevisions>false</trackRevisions>
    </reviewItem>
    <reviewItem>
      <errorID>f0f5e6e2-6a0a-46e4-a095-8de9162674cd</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30802AA4</paraID>
      <start>0</start>
      <end>2</end>
      <status>unmodified</status>
      <modifiedWord/>
      <trackRevisions>false</trackRevisions>
    </reviewItem>
    <reviewItem>
      <errorID>1080458f-93ce-44e4-acaf-b0400b8f9749</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77439242</paraID>
      <start>0</start>
      <end>2</end>
      <status>unmodified</status>
      <modifiedWord/>
      <trackRevisions>false</trackRevisions>
    </reviewItem>
    <reviewItem>
      <errorID>a8f37ab1-7201-44e9-8938-d6f211bd41a3</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664BD936</paraID>
      <start>0</start>
      <end>2</end>
      <status>unmodified</status>
      <modifiedWord/>
      <trackRevisions>false</trackRevisions>
    </reviewItem>
    <reviewItem>
      <errorID>fa5440f1-146c-4904-94f3-175fc87e24c7</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31515AD5</paraID>
      <start>0</start>
      <end>2</end>
      <status>unmodified</status>
      <modifiedWord/>
      <trackRevisions>false</trackRevisions>
    </reviewItem>
    <reviewItem>
      <errorID>f83211d4-1fc6-4ee7-9b48-6b36829a78e7</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280EF7AF</paraID>
      <start>0</start>
      <end>2</end>
      <status>unmodified</status>
      <modifiedWord/>
      <trackRevisions>false</trackRevisions>
    </reviewItem>
    <reviewItem>
      <errorID>91bae067-8dfa-4266-b7c2-473af5b04249</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1B4D3FB</paraID>
      <start>0</start>
      <end>2</end>
      <status>unmodified</status>
      <modifiedWord/>
      <trackRevisions>false</trackRevisions>
    </reviewItem>
    <reviewItem>
      <errorID>81f2867e-f76e-46c2-8d00-1923a257b042</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7B4F7706</paraID>
      <start>0</start>
      <end>2</end>
      <status>unmodified</status>
      <modifiedWord/>
      <trackRevisions>false</trackRevisions>
    </reviewItem>
    <reviewItem>
      <errorID>cb6a0b48-e96e-4287-b390-3d6d61d647de</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2EA66560</paraID>
      <start>0</start>
      <end>2</end>
      <status>unmodified</status>
      <modifiedWord/>
      <trackRevisions>false</trackRevisions>
    </reviewItem>
    <reviewItem>
      <errorID>f0377896-9bdf-46de-982a-0a735ea506bc</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71B2A364</paraID>
      <start>0</start>
      <end>2</end>
      <status>unmodified</status>
      <modifiedWord/>
      <trackRevisions>false</trackRevisions>
    </reviewItem>
    <reviewItem>
      <errorID>78fff6af-e814-4efc-8368-216c8500fb00</errorID>
      <errorWord>土壤监测</errorWord>
      <group>L1_Word</group>
      <groupName>字词问题</groupName>
      <ability>L2_Typo</ability>
      <abilityName>字词错误</abilityName>
      <candidateList>
        <item>土壤检测</item>
      </candidateList>
      <explain/>
      <paraID>1AFC1233</paraID>
      <start>9</start>
      <end>13</end>
      <status>unmodified</status>
      <modifiedWord/>
      <trackRevisions>false</trackRevisions>
    </reviewItem>
    <reviewItem>
      <errorID>8adf331c-ba2b-421b-8abc-bb7670191250</errorID>
      <errorWord>前对</errorWord>
      <group>L1_Word</group>
      <groupName>字词问题</groupName>
      <ability>L2_Typo</ability>
      <abilityName>字词错误</abilityName>
      <candidateList>
        <item>前</item>
      </candidateList>
      <explain>❶〈名〉方位词。在正面的（指空间，跟“后”相对）：～门｜村～村后。❷往前走：勇往直～｜畏缩不～。❸〈名〉方位词。次序靠近头里的（跟“后”相对）：～排｜他的成绩在班里总是～三名。❹〈名〉方位词。过去的；较早的（指时间，跟“后”相对）：～天｜从～｜～几年｜～功尽弃｜～所未有｜～无古人，后无来者。❺〈名〉方位词。从前的（指现在改变了名称的机构等）：～政务院。❻〈名〉方位词。指某事物产生之前：～科学（科学产生之前）｜～资本主义（资本主义产生之前）。❼〈名〉方位词。未来的（用于展望）：～程｜～景｜事情要往～看，不要往后看。❽前线；前方：支～。❾（Qián）〈名〉姓。</explain>
      <paraID>1523C048</paraID>
      <start>17</start>
      <end>18</end>
      <status>modified</status>
      <modifiedWord>前</modifiedWord>
      <trackRevisions>false</trackRevisions>
    </reviewItem>
    <reviewItem>
      <errorID>acce46fc-80bb-490c-b676-f66c6e5c880e</errorID>
      <errorWord>根据建设单位提供资料显示</errorWord>
      <group>L1_Word</group>
      <groupName>字词问题</groupName>
      <ability>L2_Typo</ability>
      <abilityName>字词错误</abilityName>
      <candidateList>
        <item>根据建设单位提供资料</item>
      </candidateList>
      <explain/>
      <paraID>6BBB1EBB</paraID>
      <start>64</start>
      <end>74</end>
      <status>modified</status>
      <modifiedWord>根据建设单位提供资料</modifiedWord>
      <trackRevisions>false</trackRevisions>
    </reviewItem>
    <reviewItem>
      <errorID>68a08a26-033a-4313-a1f4-a7c929ce7bcc</errorID>
      <errorWord>[2012]51号</errorWord>
      <group>L1_Knowledge</group>
      <groupName>知识性问题</groupName>
      <ability>L2_Knowledge</ability>
      <abilityName>其他知识</abilityName>
      <candidateList>
        <item>〔2012〕51号</item>
      </candidateList>
      <explain>发文字号格式错误。</explain>
      <paraID>6BBB1EBB</paraID>
      <start>144</start>
      <end>153</end>
      <status>modified</status>
      <modifiedWord>〔2012〕51号</modifiedWord>
      <trackRevisions>false</trackRevisions>
    </reviewItem>
    <reviewItem>
      <errorID>15ece9d4-fa4d-464f-990c-ea38bff75da8</errorID>
      <errorWord>[2013]154号</errorWord>
      <group>L1_Knowledge</group>
      <groupName>知识性问题</groupName>
      <ability>L2_Knowledge</ability>
      <abilityName>其他知识</abilityName>
      <candidateList>
        <item>〔2013〕154号</item>
      </candidateList>
      <explain>发文字号格式错误。</explain>
      <paraID>6BBB1EBB</paraID>
      <start>274</start>
      <end>284</end>
      <status>modified</status>
      <modifiedWord>〔2013〕154号</modifiedWord>
      <trackRevisions>false</trackRevisions>
    </reviewItem>
    <reviewItem>
      <errorID>15f33e7e-cdc9-4b9f-9c69-6b62e894bae5</errorID>
      <errorWord>污水厂</errorWord>
      <group>L1_Word</group>
      <groupName>字词问题</groupName>
      <ability>L2_Typo</ability>
      <abilityName>字词错误</abilityName>
      <candidateList>
        <item>污水处理厂</item>
      </candidateList>
      <explain/>
      <paraID>6BBB1EBB</paraID>
      <start>465</start>
      <end>468</end>
      <status>unmodified</status>
      <modifiedWord/>
      <trackRevisions>false</trackRevisions>
    </reviewItem>
    <reviewItem>
      <errorID>4a1d4cf7-e747-4777-8aad-15a03527ac8e</errorID>
      <errorWord>需均</errorWord>
      <group>L1_Word</group>
      <groupName>字词问题</groupName>
      <ability>L2_Typo</ability>
      <abilityName>字词错误</abilityName>
      <candidateList>
        <item>需</item>
      </candidateList>
      <explain>❶〈动〉需要：～求｜按～分配｜完成任务还～五天时间。❷需用的东西：军～。</explain>
      <paraID>6BBB1EBB</paraID>
      <start>655</start>
      <end>656</end>
      <status>modified</status>
      <modifiedWord>需</modifiedWord>
      <trackRevisions>false</trackRevisions>
    </reviewItem>
    <reviewItem>
      <errorID>7d9126ab-f7c6-46b7-bdc0-d336313827dd</errorID>
      <errorWord>污水厂</errorWord>
      <group>L1_Word</group>
      <groupName>字词问题</groupName>
      <ability>L2_Typo</ability>
      <abilityName>字词错误</abilityName>
      <candidateList>
        <item>污水处理厂</item>
      </candidateList>
      <explain/>
      <paraID>309620EE</paraID>
      <start>80</start>
      <end>83</end>
      <status>unmodified</status>
      <modifiedWord/>
      <trackRevisions>false</trackRevisions>
    </reviewItem>
    <reviewItem>
      <errorID>c5101065-c85f-498c-a520-fe5dfd9a853f</errorID>
      <errorWord>》中</errorWord>
      <group>L1_Word</group>
      <groupName>字词问题</groupName>
      <ability>L2_Typo</ability>
      <abilityName>字词错误</abilityName>
      <candidateList>
        <item>》</item>
      </candidateList>
      <explain/>
      <paraID>3E69A643</paraID>
      <start>90</start>
      <end>92</end>
      <status>unmodified</status>
      <modifiedWord/>
      <trackRevisions>false</trackRevisions>
    </reviewItem>
    <reviewItem>
      <errorID>c99275e2-5a62-4647-9666-62e0ab78df72</errorID>
      <errorWord>盐类化合物</errorWord>
      <group>L1_Knowledge</group>
      <groupName>知识性问题</groupName>
      <ability>L2_Term</ability>
      <abilityName>专业术语</abilityName>
      <candidateList>
        <item>萜类化合物</item>
      </candidateList>
      <explain/>
      <paraID>62EB0336</paraID>
      <start>19</start>
      <end>24</end>
      <status>unmodified</status>
      <modifiedWord/>
      <trackRevisions>false</trackRevisions>
    </reviewItem>
    <reviewItem>
      <errorID>b16a9c6f-b6a4-465d-8ce2-8ada4d34eb18</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72DA7C41</paraID>
      <start>118</start>
      <end>119</end>
      <status>unmodified</status>
      <modifiedWord/>
      <trackRevisions>false</trackRevisions>
    </reviewItem>
    <reviewItem>
      <errorID>22c8a795-7b1b-43b7-bfc1-666e1ab9e44a</errorID>
      <errorWord>需均</errorWord>
      <group>L1_Word</group>
      <groupName>字词问题</groupName>
      <ability>L2_Typo</ability>
      <abilityName>字词错误</abilityName>
      <candidateList>
        <item>需</item>
      </candidateList>
      <explain>❶〈动〉需要：～求｜按～分配｜完成任务还～五天时间。❷需用的东西：军～。</explain>
      <paraID>7161ED24</paraID>
      <start>75</start>
      <end>76</end>
      <status>modified</status>
      <modifiedWord>需</modifiedWord>
      <trackRevisions>false</trackRevisions>
    </reviewItem>
    <reviewItem>
      <errorID>a9d2741c-82c8-4eef-ac19-64ff8eb35dc0</errorID>
      <errorWord>本次</errorWord>
      <group>L1_Word</group>
      <groupName>字词问题</groupName>
      <ability>L2_Typo</ability>
      <abilityName>字词错误</abilityName>
      <candidateList>
        <item>本文</item>
      </candidateList>
      <explain/>
      <paraID>7161ED24</paraID>
      <start>108</start>
      <end>110</end>
      <status>unmodified</status>
      <modifiedWord/>
      <trackRevisions>false</trackRevisions>
    </reviewItem>
    <reviewItem>
      <errorID>eb49d5bc-f372-4960-af87-3b3508f1d738</errorID>
      <errorWord>需均</errorWord>
      <group>L1_Word</group>
      <groupName>字词问题</groupName>
      <ability>L2_Typo</ability>
      <abilityName>字词错误</abilityName>
      <candidateList>
        <item>需</item>
      </candidateList>
      <explain>❶〈动〉需要：～求｜按～分配｜完成任务还～五天时间。❷需用的东西：军～。</explain>
      <paraID>4CC562E8</paraID>
      <start>191</start>
      <end>192</end>
      <status>modified</status>
      <modifiedWord>需</modifiedWord>
      <trackRevisions>false</trackRevisions>
    </reviewItem>
    <reviewItem>
      <errorID>2368e965-3d5e-4997-8de6-5e3dd93fc0f0</errorID>
      <errorWord>本次</errorWord>
      <group>L1_Word</group>
      <groupName>字词问题</groupName>
      <ability>L2_Typo</ability>
      <abilityName>字词错误</abilityName>
      <candidateList>
        <item>本文</item>
      </candidateList>
      <explain/>
      <paraID>4CC562E8</paraID>
      <start>224</start>
      <end>226</end>
      <status>unmodified</status>
      <modifiedWord/>
      <trackRevisions>false</trackRevisions>
    </reviewItem>
    <reviewItem>
      <errorID>8e3b5ae1-630a-4a9c-80fc-ff7f6c3c9123</errorID>
      <errorWord>仍选</errorWord>
      <group>L1_Word</group>
      <groupName>字词问题</groupName>
      <ability>L2_Typo</ability>
      <abilityName>字词错误</abilityName>
      <candidateList>
        <item>人选</item>
      </candidateList>
      <explain/>
      <paraID>3CDC236A</paraID>
      <start>77</start>
      <end>79</end>
      <status>unmodified</status>
      <modifiedWord/>
      <trackRevisions>false</trackRevisions>
    </reviewItem>
    <reviewItem>
      <errorID>7c5ad4e7-22c8-4547-997c-c195e17be693</errorID>
      <errorWord>联通</errorWord>
      <group>L1_Word</group>
      <groupName>字词问题</groupName>
      <ability>L2_Typo</ability>
      <abilityName>字词错误</abilityName>
      <candidateList>
        <item>连通</item>
      </candidateList>
      <explain>存在发音相同字词的误用。</explain>
      <paraID>32804A50</paraID>
      <start>80</start>
      <end>82</end>
      <status>modified</status>
      <modifiedWord>连通</modifiedWord>
      <trackRevisions>false</trackRevisions>
    </reviewItem>
    <reviewItem>
      <errorID>f1e6336d-0f69-4382-8e9d-472883322e30</errorID>
      <errorWord>位于在</errorWord>
      <group>L1_Word</group>
      <groupName>字词问题</groupName>
      <ability>L2_Typo</ability>
      <abilityName>字词错误</abilityName>
      <candidateList>
        <item>位于</item>
      </candidateList>
      <explain/>
      <paraID>3E4C76B9</paraID>
      <start>17</start>
      <end>19</end>
      <status>modified</status>
      <modifiedWord>位于</modifiedWord>
      <trackRevisions>false</trackRevisions>
    </reviewItem>
    <reviewItem>
      <errorID>c1b65c5f-3f41-49ee-90d4-2d6c1419fcbe</errorID>
      <errorWord>两条</errorWord>
      <group>L1_Knowledge</group>
      <groupName>知识性问题</groupName>
      <ability>L2_Knowledge</ability>
      <abilityName>其他知识</abilityName>
      <candidateList>
        <item>两根</item>
      </candidateList>
      <explain/>
      <paraID>68FD65C4</paraID>
      <start>50</start>
      <end>52</end>
      <status>unmodified</status>
      <modifiedWord/>
      <trackRevisions>false</trackRevisions>
    </reviewItem>
    <reviewItem>
      <errorID>025dadd0-f18a-4f33-be6a-8432be21c88a</errorID>
      <errorWord>，</errorWord>
      <group>L1_Word</group>
      <groupName>字词问题</groupName>
      <ability>L2_Typo</ability>
      <abilityName>字词错误</abilityName>
      <candidateList>
        <item>，将</item>
      </candidateList>
      <explain/>
      <paraID>68FD65C4</paraID>
      <start>113</start>
      <end>114</end>
      <status>unmodified</status>
      <modifiedWord/>
      <trackRevisions>false</trackRevisions>
    </reviewItem>
    <reviewItem>
      <errorID>4f3929ec-2845-4949-bbcb-a14c95b4c52e</errorID>
      <errorWord>一座</errorWord>
      <group>L1_Knowledge</group>
      <groupName>知识性问题</groupName>
      <ability>L2_Knowledge</ability>
      <abilityName>其他知识</abilityName>
      <candidateList>
        <item>一处</item>
      </candidateList>
      <explain/>
      <paraID>47AE7068</paraID>
      <start>67</start>
      <end>69</end>
      <status>modified</status>
      <modifiedWord>一处</modifiedWord>
      <trackRevisions>false</trackRevisions>
    </reviewItem>
    <reviewItem>
      <errorID>7ddc449d-7bf5-46bc-a6ed-d2808cc82225</errorID>
      <errorWord>派班</errorWord>
      <group>L1_Word</group>
      <groupName>字词问题</groupName>
      <ability>L2_Typo</ability>
      <abilityName>字词错误</abilityName>
      <candidateList>
        <item>排班</item>
      </candidateList>
      <explain/>
      <paraID>4942E604</paraID>
      <start>10</start>
      <end>12</end>
      <status>unmodified</status>
      <modifiedWord/>
      <trackRevisions>false</trackRevisions>
    </reviewItem>
    <reviewItem>
      <errorID>46a076d1-169b-4fa3-a497-f1bebc6412f0</errorID>
      <errorWord>絮凝剂为</errorWord>
      <group>L1_Word</group>
      <groupName>字词问题</groupName>
      <ability>L2_Typo</ability>
      <abilityName>字词错误</abilityName>
      <candidateList>
        <item>絮凝剂</item>
      </candidateList>
      <explain/>
      <paraID>3C320CAA</paraID>
      <start>64</start>
      <end>68</end>
      <status>unmodified</status>
      <modifiedWord/>
      <trackRevisions>false</trackRevisions>
    </reviewItem>
    <reviewItem>
      <errorID>d50fc9fa-0a7f-4f1c-9db2-481850a59127</errorID>
      <errorWord>-</errorWord>
      <group>L1_Format</group>
      <groupName>格式问题</groupName>
      <ability>L2_HalfPunc</ability>
      <abilityName>全半角检查</abilityName>
      <candidateList>
        <item>－</item>
      </candidateList>
      <explain>文本全半角错误。</explain>
      <paraID>41DED28B</paraID>
      <start>29</start>
      <end>30</end>
      <status>unmodified</status>
      <modifiedWord/>
      <trackRevisions>false</trackRevisions>
    </reviewItem>
    <reviewItem>
      <errorID>89cf794f-8fd3-4de5-8775-b3ea3e9686f5</errorID>
      <errorWord>场</errorWord>
      <group>L1_Word</group>
      <groupName>字词问题</groupName>
      <ability>L2_Typo</ability>
      <abilityName>字词错误</abilityName>
      <candidateList>
        <item>厂</item>
      </candidateList>
      <explain>存在发音相同字词的误用。</explain>
      <paraID>41DED28B</paraID>
      <start>33</start>
      <end>34</end>
      <status>unmodified</status>
      <modifiedWord/>
      <trackRevisions>false</trackRevisions>
    </reviewItem>
    <reviewItem>
      <errorID>eab5c34c-921c-4d33-b5b1-0db1dd80949d</errorID>
      <errorWord>-</errorWord>
      <group>L1_Format</group>
      <groupName>格式问题</groupName>
      <ability>L2_HalfPunc</ability>
      <abilityName>全半角检查</abilityName>
      <candidateList>
        <item>－</item>
      </candidateList>
      <explain>文本全半角错误。</explain>
      <paraID>41DED28B</paraID>
      <start>70</start>
      <end>71</end>
      <status>unmodified</status>
      <modifiedWord/>
      <trackRevisions>false</trackRevisions>
    </reviewItem>
    <reviewItem>
      <errorID>7bd70df3-f83f-4982-a9ff-095e1019f941</errorID>
      <errorWord>即为</errorWord>
      <group>L1_Word</group>
      <groupName>字词问题</groupName>
      <ability>L2_Typo</ability>
      <abilityName>字词错误</abilityName>
      <candidateList>
        <item>即</item>
      </candidateList>
      <explain>〈书〉❶就是：荷花～莲花｜非此～彼。❷〈副〉就；便：一触～发｜招之～来｜闻过～改。❸〈连〉即使：～无他方之支援，也能按期完成任务。参看733页“就2”。</explain>
      <paraID>1E94442F</paraID>
      <start>70</start>
      <end>72</end>
      <status>unmodified</status>
      <modifiedWord/>
      <trackRevisions>false</trackRevisions>
    </reviewItem>
    <reviewItem>
      <errorID>93d8f175-5424-4622-afa0-0c7ba584dcd1</errorID>
      <errorWord>联通</errorWord>
      <group>L1_Word</group>
      <groupName>字词问题</groupName>
      <ability>L2_Typo</ability>
      <abilityName>字词错误</abilityName>
      <candidateList>
        <item>连通</item>
      </candidateList>
      <explain>存在发音相同字词的误用。</explain>
      <paraID>500265AF</paraID>
      <start>80</start>
      <end>82</end>
      <status>modified</status>
      <modifiedWord>连通</modifiedWord>
      <trackRevisions>false</trackRevisions>
    </reviewItem>
    <reviewItem>
      <errorID>00805e77-0b90-4ee0-a258-b90a761077f9</errorID>
      <errorWord>位于在</errorWord>
      <group>L1_Word</group>
      <groupName>字词问题</groupName>
      <ability>L2_Typo</ability>
      <abilityName>字词错误</abilityName>
      <candidateList>
        <item>位于</item>
      </candidateList>
      <explain/>
      <paraID>485D5667</paraID>
      <start>17</start>
      <end>19</end>
      <status>modified</status>
      <modifiedWord>位于</modifiedWord>
      <trackRevisions>false</trackRevisions>
    </reviewItem>
    <reviewItem>
      <errorID>138b7358-6e91-4ef0-95a0-bf6138b741b5</errorID>
      <errorWord>（</errorWord>
      <group>L1_Punc</group>
      <groupName>标点问题</groupName>
      <ability>L2_Punc</ability>
      <abilityName>标点符号检查</abilityName>
      <candidateList/>
      <explain>同一形式括号套用。</explain>
      <paraID>2CC3E4E0</paraID>
      <start>17</start>
      <end>18</end>
      <status>unmodified</status>
      <modifiedWord/>
      <trackRevisions>false</trackRevisions>
    </reviewItem>
    <reviewItem>
      <errorID>0adbbefc-049b-4b38-b7b7-a9e642e8da0c</errorID>
      <errorWord>）</errorWord>
      <group>L1_Punc</group>
      <groupName>标点问题</groupName>
      <ability>L2_Punc</ability>
      <abilityName>标点符号检查</abilityName>
      <candidateList/>
      <explain>同一形式括号套用。</explain>
      <paraID>2CC3E4E0</paraID>
      <start>21</start>
      <end>22</end>
      <status>unmodified</status>
      <modifiedWord/>
      <trackRevisions>false</trackRevisions>
    </reviewItem>
    <reviewItem>
      <errorID>c4bc90d5-7c45-4514-a1f5-d0d390ef0661</errorID>
      <errorWord>派班</errorWord>
      <group>L1_Word</group>
      <groupName>字词问题</groupName>
      <ability>L2_Typo</ability>
      <abilityName>字词错误</abilityName>
      <candidateList>
        <item>排班</item>
      </candidateList>
      <explain/>
      <paraID>2CC3E4E0</paraID>
      <start>23</start>
      <end>25</end>
      <status>unmodified</status>
      <modifiedWord/>
      <trackRevisions>false</trackRevisions>
    </reviewItem>
    <reviewItem>
      <errorID>54c381a5-99a9-45ab-b45a-11a9629bcf9a</errorID>
      <errorWord>涌水处理站</errorWord>
      <group>L1_Knowledge</group>
      <groupName>知识性问题</groupName>
      <ability>L2_Term</ability>
      <abilityName>专业术语</abilityName>
      <candidateList>
        <item>污水处理站</item>
      </candidateList>
      <explain/>
      <paraID>77A4B1E9</paraID>
      <start>3</start>
      <end>8</end>
      <status>unmodified</status>
      <modifiedWord/>
      <trackRevisions>false</trackRevisions>
    </reviewItem>
    <reviewItem>
      <errorID>c4fca6ad-1a96-4234-9a98-8305d21cf51f</errorID>
      <errorWord>絮凝剂为</errorWord>
      <group>L1_Word</group>
      <groupName>字词问题</groupName>
      <ability>L2_Typo</ability>
      <abilityName>字词错误</abilityName>
      <candidateList>
        <item>絮凝剂</item>
      </candidateList>
      <explain/>
      <paraID>77A4B1E9</paraID>
      <start>63</start>
      <end>67</end>
      <status>unmodified</status>
      <modifiedWord/>
      <trackRevisions>false</trackRevisions>
    </reviewItem>
    <reviewItem>
      <errorID>5d0568fc-e6eb-48f0-959f-cbd46f2a39b0</errorID>
      <errorWord>-</errorWord>
      <group>L1_Format</group>
      <groupName>格式问题</groupName>
      <ability>L2_HalfPunc</ability>
      <abilityName>全半角检查</abilityName>
      <candidateList>
        <item>－</item>
      </candidateList>
      <explain>文本全半角错误。</explain>
      <paraID>383E4834</paraID>
      <start>2</start>
      <end>3</end>
      <status>unmodified</status>
      <modifiedWord/>
      <trackRevisions>false</trackRevisions>
    </reviewItem>
    <reviewItem>
      <errorID>5f02330f-b987-45a4-a30b-d59ca94fea66</errorID>
      <errorWord>-</errorWord>
      <group>L1_Format</group>
      <groupName>格式问题</groupName>
      <ability>L2_HalfPunc</ability>
      <abilityName>全半角检查</abilityName>
      <candidateList>
        <item>－</item>
      </candidateList>
      <explain>文本全半角错误。</explain>
      <paraID>3AF6A3A6</paraID>
      <start>2</start>
      <end>3</end>
      <status>unmodified</status>
      <modifiedWord/>
      <trackRevisions>false</trackRevisions>
    </reviewItem>
    <reviewItem>
      <errorID>2e18aa60-50a3-46ee-b242-2866606d9655</errorID>
      <errorWord>涌水处理站</errorWord>
      <group>L1_Knowledge</group>
      <groupName>知识性问题</groupName>
      <ability>L2_Term</ability>
      <abilityName>专业术语</abilityName>
      <candidateList>
        <item>污水处理站</item>
      </candidateList>
      <explain/>
      <paraID>3282CDEC</paraID>
      <start>62</start>
      <end>67</end>
      <status>unmodified</status>
      <modifiedWord/>
      <trackRevisions>false</trackRevisions>
    </reviewItem>
    <reviewItem>
      <errorID>6b4083a1-9f5c-4b53-8401-6ff14e6d451e</errorID>
      <errorWord>-</errorWord>
      <group>L1_Format</group>
      <groupName>格式问题</groupName>
      <ability>L2_HalfPunc</ability>
      <abilityName>全半角检查</abilityName>
      <candidateList>
        <item>－</item>
      </candidateList>
      <explain>文本全半角错误。</explain>
      <paraID>3282CDEC</paraID>
      <start>96</start>
      <end>97</end>
      <status>unmodified</status>
      <modifiedWord/>
      <trackRevisions>false</trackRevisions>
    </reviewItem>
    <reviewItem>
      <errorID>c0aba183-a081-4034-bbc4-c4ac604fee9a</errorID>
      <errorWord>涌水处理站</errorWord>
      <group>L1_Knowledge</group>
      <groupName>知识性问题</groupName>
      <ability>L2_Term</ability>
      <abilityName>专业术语</abilityName>
      <candidateList>
        <item>污水处理站</item>
      </candidateList>
      <explain/>
      <paraID>3282CDEC</paraID>
      <start>278</start>
      <end>283</end>
      <status>unmodified</status>
      <modifiedWord/>
      <trackRevisions>false</trackRevisions>
    </reviewItem>
    <reviewItem>
      <errorID>f3483571-ef21-4f74-9785-2e8184c9f166</errorID>
      <errorWord>涌水处理站</errorWord>
      <group>L1_Knowledge</group>
      <groupName>知识性问题</groupName>
      <ability>L2_Term</ability>
      <abilityName>专业术语</abilityName>
      <candidateList>
        <item>污水处理站</item>
      </candidateList>
      <explain/>
      <paraID>25E0F51F</paraID>
      <start>62</start>
      <end>67</end>
      <status>unmodified</status>
      <modifiedWord/>
      <trackRevisions>false</trackRevisions>
    </reviewItem>
    <reviewItem>
      <errorID>e1b33fe7-9d95-45ed-9dd7-53727886d1ba</errorID>
      <errorWord>涌水处理站</errorWord>
      <group>L1_Knowledge</group>
      <groupName>知识性问题</groupName>
      <ability>L2_Term</ability>
      <abilityName>专业术语</abilityName>
      <candidateList>
        <item>污水处理站</item>
      </candidateList>
      <explain/>
      <paraID>25E0F51F</paraID>
      <start>185</start>
      <end>190</end>
      <status>unmodified</status>
      <modifiedWord/>
      <trackRevisions>false</trackRevisions>
    </reviewItem>
    <reviewItem>
      <errorID>45a5cfff-fadb-4b13-8dc2-064f81ad6437</errorID>
      <errorWord>称量系统</errorWord>
      <group>L1_Knowledge</group>
      <groupName>知识性问题</groupName>
      <ability>L2_Term</ability>
      <abilityName>专业术语</abilityName>
      <candidateList>
        <item>称重系统</item>
      </candidateList>
      <explain/>
      <paraID>195287D1</paraID>
      <start>10</start>
      <end>14</end>
      <status>unmodified</status>
      <modifiedWord/>
      <trackRevisions>false</trackRevisions>
    </reviewItem>
    <reviewItem>
      <errorID>0c90d21f-a360-4f6a-a187-2df411437a9d</errorID>
      <errorWord>呈</errorWord>
      <group>L1_Word</group>
      <groupName>字词问题</groupName>
      <ability>L2_Typo</ability>
      <abilityName>字词错误</abilityName>
      <candidateList>
        <item>成</item>
      </candidateList>
      <explain>（～儿）〈量〉十分之一叫一成：九～金｜村里今年收的庄稼比去年增加两～。</explain>
      <paraID>195287D1</paraID>
      <start>48</start>
      <end>49</end>
      <status>modified</status>
      <modifiedWord>成</modifiedWord>
      <trackRevisions>false</trackRevisions>
    </reviewItem>
    <reviewItem>
      <errorID>17d5eaa0-49d8-4980-9fc4-c963b6e89591</errorID>
      <errorWord>需均</errorWord>
      <group>L1_Word</group>
      <groupName>字词问题</groupName>
      <ability>L2_Typo</ability>
      <abilityName>字词错误</abilityName>
      <candidateList>
        <item>需</item>
      </candidateList>
      <explain>❶〈动〉需要：～求｜按～分配｜完成任务还～五天时间。❷需用的东西：军～。</explain>
      <paraID>3B64823B</paraID>
      <start>65</start>
      <end>66</end>
      <status>modified</status>
      <modifiedWord>需</modifiedWord>
      <trackRevisions>false</trackRevisions>
    </reviewItem>
    <reviewItem>
      <errorID>ab350307-f3b3-447d-b310-a67d051dac29</errorID>
      <errorWord>[2024]10号</errorWord>
      <group>L1_Knowledge</group>
      <groupName>知识性问题</groupName>
      <ability>L2_Knowledge</ability>
      <abilityName>其他知识</abilityName>
      <candidateList>
        <item>〔2024〕10号</item>
      </candidateList>
      <explain>发文字号格式错误。</explain>
      <paraID> B6574BA</paraID>
      <start>296</start>
      <end>305</end>
      <status>modified</status>
      <modifiedWord>〔2024〕10号</modifiedWord>
      <trackRevisions>false</trackRevisions>
    </reviewItem>
    <reviewItem>
      <errorID>ae5aabfd-507e-4e6d-b43f-6d35cf2e3390</errorID>
      <errorWord>-</errorWord>
      <group>L1_Format</group>
      <groupName>格式问题</groupName>
      <ability>L2_HalfPunc</ability>
      <abilityName>全半角检查</abilityName>
      <candidateList>
        <item>－</item>
      </candidateList>
      <explain>文本全半角错误。</explain>
      <paraID> 5F17AE5</paraID>
      <start>39</start>
      <end>40</end>
      <status>unmodified</status>
      <modifiedWord/>
      <trackRevisions>false</trackRevisions>
    </reviewItem>
    <reviewItem>
      <errorID>68c53971-36f0-4851-aee9-23a673060b6e</errorID>
      <errorWord>-</errorWord>
      <group>L1_Format</group>
      <groupName>格式问题</groupName>
      <ability>L2_HalfPunc</ability>
      <abilityName>全半角检查</abilityName>
      <candidateList>
        <item>－</item>
      </candidateList>
      <explain>文本全半角错误。</explain>
      <paraID> 5F17AE5</paraID>
      <start>70</start>
      <end>71</end>
      <status>unmodified</status>
      <modifiedWord/>
      <trackRevisions>false</trackRevisions>
    </reviewItem>
    <reviewItem>
      <errorID>8d59a62d-e5bc-449e-99c8-484579e6d5af</errorID>
      <errorWord>“U”型</errorWord>
      <group>L1_Word</group>
      <groupName>字词问题</groupName>
      <ability>L2_Typo</ability>
      <abilityName>字词错误</abilityName>
      <candidateList>
        <item>“U”形</item>
      </candidateList>
      <explain/>
      <paraID>2AE3BF2E</paraID>
      <start>106</start>
      <end>110</end>
      <status>unmodified</status>
      <modifiedWord/>
      <trackRevisions>false</trackRevisions>
    </reviewItem>
    <reviewItem>
      <errorID>3c9b78c2-e1e9-406c-b0da-01567c67c476</errorID>
      <errorWord>砂金</errorWord>
      <group>L1_Word</group>
      <groupName>字词问题</groupName>
      <ability>L2_Typo</ability>
      <abilityName>字词错误</abilityName>
      <candidateList>
        <item>沙金</item>
      </candidateList>
      <explain/>
      <paraID>2AE3BF2E</paraID>
      <start>124</start>
      <end>126</end>
      <status>unmodified</status>
      <modifiedWord/>
      <trackRevisions>false</trackRevisions>
    </reviewItem>
    <reviewItem>
      <errorID>ffd71de5-a51e-4842-92b7-b74f2ae24df0</errorID>
      <errorWord>具</errorWord>
      <group>L1_Word</group>
      <groupName>字词问题</groupName>
      <ability>L2_Typo</ability>
      <abilityName>字词错误</abilityName>
      <candidateList>
        <item>具有</item>
      </candidateList>
      <explain>〈动〉有（多用于抽象事物）：～信心｜～伟大的意义。</explain>
      <paraID> D721816</paraID>
      <start>102</start>
      <end>103</end>
      <status>unmodified</status>
      <modifiedWord/>
      <trackRevisions>false</trackRevisions>
    </reviewItem>
    <reviewItem>
      <errorID>f109a4f4-fb17-460e-a46c-94fac889b0ae</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D721816</paraID>
      <start>116</start>
      <end>117</end>
      <status>unmodified</status>
      <modifiedWord/>
      <trackRevisions>false</trackRevisions>
    </reviewItem>
    <reviewItem>
      <errorID>5e429052-13e1-4db3-8986-74f8c56db09e</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D721816</paraID>
      <start>124</start>
      <end>125</end>
      <status>unmodified</status>
      <modifiedWord/>
      <trackRevisions>false</trackRevisions>
    </reviewItem>
    <reviewItem>
      <errorID>a614147c-5af6-41d4-ac32-db569c8443b1</errorID>
      <errorWord>型</errorWord>
      <group>L1_Word</group>
      <groupName>字词问题</groupName>
      <ability>L2_Typo</ability>
      <abilityName>字词错误</abilityName>
      <candidateList>
        <item>形</item>
      </candidateList>
      <explain>存在发音相同字词的误用。</explain>
      <paraID> D721816</paraID>
      <start>137</start>
      <end>138</end>
      <status>unmodified</status>
      <modifiedWord/>
      <trackRevisions>false</trackRevisions>
    </reviewItem>
    <reviewItem>
      <errorID>0f7ed374-ba48-4160-8080-2530cac957cd</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5E693210</paraID>
      <start>66</start>
      <end>67</end>
      <status>unmodified</status>
      <modifiedWord/>
      <trackRevisions>false</trackRevisions>
    </reviewItem>
    <reviewItem>
      <errorID>ee173a8d-ed2f-4004-aada-b39b71c728d4</errorID>
      <errorWord>-</errorWord>
      <group>L1_Format</group>
      <groupName>格式问题</groupName>
      <ability>L2_HalfPunc</ability>
      <abilityName>全半角检查</abilityName>
      <candidateList>
        <item>－</item>
      </candidateList>
      <explain>文本全半角错误。</explain>
      <paraID>630698D6</paraID>
      <start>52</start>
      <end>53</end>
      <status>unmodified</status>
      <modifiedWord/>
      <trackRevisions>false</trackRevisions>
    </reviewItem>
    <reviewItem>
      <errorID>d7cfbdd1-4fd4-4d2a-8050-68f33e4631c8</errorID>
      <errorWord>-</errorWord>
      <group>L1_Format</group>
      <groupName>格式问题</groupName>
      <ability>L2_HalfPunc</ability>
      <abilityName>全半角检查</abilityName>
      <candidateList>
        <item>－</item>
      </candidateList>
      <explain>文本全半角错误。</explain>
      <paraID>7450BFFF</paraID>
      <start>64</start>
      <end>65</end>
      <status>unmodified</status>
      <modifiedWord/>
      <trackRevisions>false</trackRevisions>
    </reviewItem>
    <reviewItem>
      <errorID>1684613e-39b5-4d3e-88e1-e590308586e4</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7450BFFF</paraID>
      <start>107</start>
      <end>108</end>
      <status>unmodified</status>
      <modifiedWord/>
      <trackRevisions>false</trackRevisions>
    </reviewItem>
    <reviewItem>
      <errorID>41101b6f-a4eb-4e54-9518-8d586c36938e</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7450BFFF</paraID>
      <start>191</start>
      <end>192</end>
      <status>unmodified</status>
      <modifiedWord/>
      <trackRevisions>false</trackRevisions>
    </reviewItem>
    <reviewItem>
      <errorID>9518426c-6709-4b8d-bb66-049df1ec09ca</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7450BFFF</paraID>
      <start>288</start>
      <end>289</end>
      <status>unmodified</status>
      <modifiedWord/>
      <trackRevisions>false</trackRevisions>
    </reviewItem>
    <reviewItem>
      <errorID>933d077c-18e4-454b-af3c-d62bb91a0172</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7450BFFF</paraID>
      <start>338</start>
      <end>339</end>
      <status>unmodified</status>
      <modifiedWord/>
      <trackRevisions>false</trackRevisions>
    </reviewItem>
    <reviewItem>
      <errorID>d9746526-1cb4-4f77-bcb5-f1a93d1fa8dc</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396EF698</paraID>
      <start>112</start>
      <end>113</end>
      <status>unmodified</status>
      <modifiedWord/>
      <trackRevisions>false</trackRevisions>
    </reviewItem>
    <reviewItem>
      <errorID>c924c351-5290-4055-9acb-f2ebb26fe33c</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396EF698</paraID>
      <start>125</start>
      <end>126</end>
      <status>unmodified</status>
      <modifiedWord/>
      <trackRevisions>false</trackRevisions>
    </reviewItem>
    <reviewItem>
      <errorID>744748c4-33cf-478e-8708-37bd558887d3</errorID>
      <errorWord>3-5%</errorWord>
      <group>L1_Knowledge</group>
      <groupName>知识性问题</groupName>
      <ability>L2_Knowledge</ability>
      <abilityName>其他知识</abilityName>
      <candidateList>
        <item>3%—5%</item>
      </candidateList>
      <explain>1. “3-5%”中的单位“%”仅出现在后一个数字上，容易引起歧义；根据《现代汉语标点符号数字用法规范手册》，数字表示范围两边需要使用统一的格式。2. 根据标点国标 4.13 中的规则，数字、时间或地域连接符应使用（视觉上更长的）“—”或“～”。</explain>
      <paraID>396EF698</paraID>
      <start>192</start>
      <end>196</end>
      <status>unmodified</status>
      <modifiedWord/>
      <trackRevisions>false</trackRevisions>
    </reviewItem>
    <reviewItem>
      <errorID>4c37f6f7-cb19-4667-a993-abaa82868fa2</errorID>
      <errorWord>各别</errorWord>
      <group>L1_Word</group>
      <groupName>字词问题</groupName>
      <ability>L2_Typo</ability>
      <abilityName>字词错误</abilityName>
      <candidateList>
        <item>个别</item>
      </candidateList>
      <explain>存在发音相同字词的误用。</explain>
      <paraID>396EF698</paraID>
      <start>197</start>
      <end>199</end>
      <status>modified</status>
      <modifiedWord>个别</modifiedWord>
      <trackRevisions>false</trackRevisions>
    </reviewItem>
    <reviewItem>
      <errorID>243d11e1-91b2-402b-8f05-00c911688b0a</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25DF6775</paraID>
      <start>89</start>
      <end>90</end>
      <status>unmodified</status>
      <modifiedWord/>
      <trackRevisions>false</trackRevisions>
    </reviewItem>
    <reviewItem>
      <errorID>c6789017-651b-4002-8ad6-676c1c6818be</errorID>
      <errorWord>-</errorWord>
      <group>L1_Format</group>
      <groupName>格式问题</groupName>
      <ability>L2_HalfPunc</ability>
      <abilityName>全半角检查</abilityName>
      <candidateList>
        <item>－</item>
      </candidateList>
      <explain>文本全半角错误。</explain>
      <paraID>6D73255A</paraID>
      <start>129</start>
      <end>130</end>
      <status>unmodified</status>
      <modifiedWord/>
      <trackRevisions>false</trackRevisions>
    </reviewItem>
    <reviewItem>
      <errorID>740bd20d-915a-435e-98ba-621f30a68782</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7E8D7893</paraID>
      <start>4</start>
      <end>5</end>
      <status>unmodified</status>
      <modifiedWord/>
      <trackRevisions>false</trackRevisions>
    </reviewItem>
    <reviewItem>
      <errorID>3c35a863-9c4b-4e20-b81d-f624d12fb9f4</errorID>
      <errorWord>[2004]507号</errorWord>
      <group>L1_Knowledge</group>
      <groupName>知识性问题</groupName>
      <ability>L2_Knowledge</ability>
      <abilityName>其他知识</abilityName>
      <candidateList>
        <item>〔2004〕507号</item>
      </candidateList>
      <explain>发文字号格式错误。</explain>
      <paraID>7E8D7893</paraID>
      <start>64</start>
      <end>74</end>
      <status>modified</status>
      <modifiedWord>〔2004〕507号</modifiedWord>
      <trackRevisions>false</trackRevisions>
    </reviewItem>
    <reviewItem>
      <errorID>d516b2ce-e1ca-4319-80a5-363ece0a1c0f</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7E8D7893</paraID>
      <start>102</start>
      <end>103</end>
      <status>unmodified</status>
      <modifiedWord/>
      <trackRevisions>false</trackRevisions>
    </reviewItem>
    <reviewItem>
      <errorID>6f5bad78-c735-4ed3-9246-35a5d035592b</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7DF2816B</paraID>
      <start>4</start>
      <end>5</end>
      <status>unmodified</status>
      <modifiedWord/>
      <trackRevisions>false</trackRevisions>
    </reviewItem>
    <reviewItem>
      <errorID>527224c2-e475-443c-a0a6-49e7ac4c721d</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2BCD9812</paraID>
      <start>199</start>
      <end>200</end>
      <status>unmodified</status>
      <modifiedWord/>
      <trackRevisions>false</trackRevisions>
    </reviewItem>
    <reviewItem>
      <errorID>e868e38f-fd44-493c-b864-0b3f9cf953de</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2BCD9812</paraID>
      <start>222</start>
      <end>223</end>
      <status>unmodified</status>
      <modifiedWord/>
      <trackRevisions>false</trackRevisions>
    </reviewItem>
    <reviewItem>
      <errorID>b65992ee-5dec-48cf-a905-cb4da592feea</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2BCD9812</paraID>
      <start>304</start>
      <end>305</end>
      <status>unmodified</status>
      <modifiedWord/>
      <trackRevisions>false</trackRevisions>
    </reviewItem>
    <reviewItem>
      <errorID>60f4c58d-9fc3-4c4f-ac15-2a328751e45d</errorID>
      <errorWord>-</errorWord>
      <group>L1_Format</group>
      <groupName>格式问题</groupName>
      <ability>L2_HalfPunc</ability>
      <abilityName>全半角检查</abilityName>
      <candidateList>
        <item>－</item>
      </candidateList>
      <explain>文本全半角错误。</explain>
      <paraID>376BD902</paraID>
      <start>15</start>
      <end>16</end>
      <status>unmodified</status>
      <modifiedWord/>
      <trackRevisions>false</trackRevisions>
    </reviewItem>
    <reviewItem>
      <errorID>b9f1e0fe-41f4-4b9e-a18c-5a69b575fbb9</errorID>
      <errorWord>-</errorWord>
      <group>L1_Format</group>
      <groupName>格式问题</groupName>
      <ability>L2_HalfPunc</ability>
      <abilityName>全半角检查</abilityName>
      <candidateList>
        <item>－</item>
      </candidateList>
      <explain>文本全半角错误。</explain>
      <paraID>376BD902</paraID>
      <start>17</start>
      <end>18</end>
      <status>unmodified</status>
      <modifiedWord/>
      <trackRevisions>false</trackRevisions>
    </reviewItem>
    <reviewItem>
      <errorID>90aafb9c-f7aa-4588-97d5-099840679629</errorID>
      <errorWord>-2022年</errorWord>
      <group>L1_Word</group>
      <groupName>字词问题</groupName>
      <ability>L2_Typo</ability>
      <abilityName>字词错误</abilityName>
      <candidateList>
        <item>—2022年</item>
      </candidateList>
      <explain/>
      <paraID>63F0E039</paraID>
      <start>4</start>
      <end>10</end>
      <status>unmodified</status>
      <modifiedWord/>
      <trackRevisions>false</trackRevisions>
    </reviewItem>
    <reviewItem>
      <errorID>67f06d0b-cde3-49dd-ae3a-55decf63fe21</errorID>
      <errorWord>进入到</errorWord>
      <group>L1_Word</group>
      <groupName>字词问题</groupName>
      <ability>L2_Typo</ability>
      <abilityName>字词错误</abilityName>
      <candidateList>
        <item>进入</item>
      </candidateList>
      <explain>〈动〉支进到某个范围或某个时期里：～学校｜～新阶段◇～角色。</explain>
      <paraID>2D5D64BF</paraID>
      <start>118</start>
      <end>121</end>
      <status>unmodified</status>
      <modifiedWord/>
      <trackRevisions>false</trackRevisions>
    </reviewItem>
    <reviewItem>
      <errorID>23606277-447d-4696-8f6f-2826ff520f9c</errorID>
      <errorWord>，金</errorWord>
      <group>L1_Word</group>
      <groupName>字词问题</groupName>
      <ability>L2_Typo</ability>
      <abilityName>字词错误</abilityName>
      <candidateList>
        <item>，</item>
      </candidateList>
      <explain/>
      <paraID>7E491FF0</paraID>
      <start>433</start>
      <end>435</end>
      <status>unmodified</status>
      <modifiedWord/>
      <trackRevisions>false</trackRevisions>
    </reviewItem>
    <reviewItem>
      <errorID>9bef91ef-ffa1-44e7-a04c-790b90c44115</errorID>
      <errorWord>个</errorWord>
      <group>L1_Knowledge</group>
      <groupName>知识性问题</groupName>
      <ability>L2_Knowledge</ability>
      <abilityName>其他知识</abilityName>
      <candidateList>
        <item>期</item>
      </candidateList>
      <explain/>
      <paraID> C257533</paraID>
      <start>225</start>
      <end>226</end>
      <status>unmodified</status>
      <modifiedWord/>
      <trackRevisions>false</trackRevisions>
    </reviewItem>
    <reviewItem>
      <errorID>3b47471b-f5e4-435d-8447-b416ace7c081</errorID>
      <errorWord>-</errorWord>
      <group>L1_Format</group>
      <groupName>格式问题</groupName>
      <ability>L2_HalfPunc</ability>
      <abilityName>全半角检查</abilityName>
      <candidateList>
        <item>－</item>
      </candidateList>
      <explain>文本全半角错误。</explain>
      <paraID>5A1A46A1</paraID>
      <start>39</start>
      <end>40</end>
      <status>unmodified</status>
      <modifiedWord/>
      <trackRevisions>false</trackRevisions>
    </reviewItem>
    <reviewItem>
      <errorID>08128a4d-fb5e-44a8-a6a2-a3914cf42dbe</errorID>
      <errorWord>＜</errorWord>
      <group>L1_Format</group>
      <groupName>格式问题</groupName>
      <ability>L2_HalfPunc</ability>
      <abilityName>全半角检查</abilityName>
      <candidateList>
        <item>&lt;</item>
      </candidateList>
      <explain>文本全半角错误。</explain>
      <paraID>51195B68</paraID>
      <start>0</start>
      <end>1</end>
      <status>unmodified</status>
      <modifiedWord/>
      <trackRevisions>false</trackRevisions>
    </reviewItem>
    <reviewItem>
      <errorID>0144c258-bcae-4f32-9e02-a546907ce761</errorID>
      <errorWord>截止</errorWord>
      <group>L1_Word</group>
      <groupName>字词问题</groupName>
      <ability>L2_Typo</ability>
      <abilityName>字词错误</abilityName>
      <candidateList>
        <item>截至</item>
      </candidateList>
      <explain>存在发音相同字词的误用。</explain>
      <paraID> AEFF5B9</paraID>
      <start>34</start>
      <end>36</end>
      <status>modified</status>
      <modifiedWord>截至</modifiedWord>
      <trackRevisions>false</trackRevisions>
    </reviewItem>
    <reviewItem>
      <errorID>8609a628-3c79-4f53-91c4-6582aad8236e</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33E7B148</paraID>
      <start>99</start>
      <end>100</end>
      <status>unmodified</status>
      <modifiedWord/>
      <trackRevisions>false</trackRevisions>
    </reviewItem>
    <reviewItem>
      <errorID>65dcad8f-23ff-41d6-9ca9-33b7b4cb35f3</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33E7B148</paraID>
      <start>111</start>
      <end>112</end>
      <status>unmodified</status>
      <modifiedWord/>
      <trackRevisions>false</trackRevisions>
    </reviewItem>
    <reviewItem>
      <errorID>113045b6-9356-4061-a136-3e74f01a4f9b</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33E7B148</paraID>
      <start>295</start>
      <end>296</end>
      <status>unmodified</status>
      <modifiedWord/>
      <trackRevisions>false</trackRevisions>
    </reviewItem>
    <reviewItem>
      <errorID>4b155988-6783-4c39-8a24-70c989896130</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1984C038</paraID>
      <start>154</start>
      <end>155</end>
      <status>unmodified</status>
      <modifiedWord/>
      <trackRevisions>false</trackRevisions>
    </reviewItem>
    <reviewItem>
      <errorID>4b162f51-7d56-406b-9c92-d44477ef4ea8</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1984C038</paraID>
      <start>182</start>
      <end>183</end>
      <status>unmodified</status>
      <modifiedWord/>
      <trackRevisions>false</trackRevisions>
    </reviewItem>
    <reviewItem>
      <errorID>7fe9e1bf-6463-4a14-bad9-fecd456593f0</errorID>
      <errorWord>部</errorWord>
      <group>L1_Word</group>
      <groupName>字词问题</groupName>
      <ability>L2_Typo</ability>
      <abilityName>字词错误</abilityName>
      <candidateList>
        <item>部地</item>
      </candidateList>
      <explain/>
      <paraID>1984C038</paraID>
      <start>266</start>
      <end>268</end>
      <status>modified</status>
      <modifiedWord>部地</modifiedWord>
      <trackRevisions>false</trackRevisions>
    </reviewItem>
    <reviewItem>
      <errorID>01e3c8ae-3f86-4b59-bd64-09fb14f52537</errorID>
      <errorWord>赋水</errorWord>
      <group>L1_Word</group>
      <groupName>字词问题</groupName>
      <ability>L2_Typo</ability>
      <abilityName>字词错误</abilityName>
      <candidateList>
        <item>富水</item>
      </candidateList>
      <explain>存在发音相同字词的误用。</explain>
      <paraID>1984C038</paraID>
      <start>335</start>
      <end>337</end>
      <status>unmodified</status>
      <modifiedWord/>
      <trackRevisions>false</trackRevisions>
    </reviewItem>
    <reviewItem>
      <errorID>6b96bf05-b683-403a-b89c-9a1122c8a899</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1984C038</paraID>
      <start>604</start>
      <end>605</end>
      <status>unmodified</status>
      <modifiedWord/>
      <trackRevisions>false</trackRevisions>
    </reviewItem>
    <reviewItem>
      <errorID>0214b5c6-7960-43e0-98b0-f38674c928ab</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5C49E2D8</paraID>
      <start>54</start>
      <end>55</end>
      <status>unmodified</status>
      <modifiedWord/>
      <trackRevisions>false</trackRevisions>
    </reviewItem>
    <reviewItem>
      <errorID>5c955fa7-b716-4e02-b30a-5f792e28657b</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5C49E2D8</paraID>
      <start>128</start>
      <end>129</end>
      <status>unmodified</status>
      <modifiedWord/>
      <trackRevisions>false</trackRevisions>
    </reviewItem>
    <reviewItem>
      <errorID>95640f84-36bd-4cca-89d0-9b4ee6da2ffc</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5C49E2D8</paraID>
      <start>408</start>
      <end>409</end>
      <status>unmodified</status>
      <modifiedWord/>
      <trackRevisions>false</trackRevisions>
    </reviewItem>
    <reviewItem>
      <errorID>c18cd47f-1568-4caf-9f60-6779b5ba62d8</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5C49E2D8</paraID>
      <start>431</start>
      <end>432</end>
      <status>unmodified</status>
      <modifiedWord/>
      <trackRevisions>false</trackRevisions>
    </reviewItem>
    <reviewItem>
      <errorID>d04a5f53-fa24-4127-90cc-d5998388318f</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58B9FD60</paraID>
      <start>139</start>
      <end>140</end>
      <status>unmodified</status>
      <modifiedWord/>
      <trackRevisions>false</trackRevisions>
    </reviewItem>
    <reviewItem>
      <errorID>1389c211-cac4-4d85-ba45-1a074a724e0e</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58B9FD60</paraID>
      <start>188</start>
      <end>189</end>
      <status>unmodified</status>
      <modifiedWord/>
      <trackRevisions>false</trackRevisions>
    </reviewItem>
    <reviewItem>
      <errorID>311613c6-6408-41d3-a68d-9c0b5ac035c6</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58B9FD60</paraID>
      <start>211</start>
      <end>212</end>
      <status>unmodified</status>
      <modifiedWord/>
      <trackRevisions>false</trackRevisions>
    </reviewItem>
    <reviewItem>
      <errorID>78358cfa-e7cd-4298-b6bf-7203e0fd861a</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58B9FD60</paraID>
      <start>283</start>
      <end>284</end>
      <status>unmodified</status>
      <modifiedWord/>
      <trackRevisions>false</trackRevisions>
    </reviewItem>
    <reviewItem>
      <errorID>a640d445-df94-4b06-98bf-1a129daade0f</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386DDD19</paraID>
      <start>0</start>
      <end>2</end>
      <status>unmodified</status>
      <modifiedWord/>
      <trackRevisions>false</trackRevisions>
    </reviewItem>
    <reviewItem>
      <errorID>a588ef4c-f346-47a2-b370-adb138f234a8</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38A30A92</paraID>
      <start>0</start>
      <end>2</end>
      <status>unmodified</status>
      <modifiedWord/>
      <trackRevisions>false</trackRevisions>
    </reviewItem>
    <reviewItem>
      <errorID>48acb43e-7ce1-4728-b315-f04dd1338d5b</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5476E2D6</paraID>
      <start>0</start>
      <end>2</end>
      <status>unmodified</status>
      <modifiedWord/>
      <trackRevisions>false</trackRevisions>
    </reviewItem>
    <reviewItem>
      <errorID>e86e2fec-6132-4b7a-b96f-d050e1b96ed6</errorID>
      <errorWord>》</errorWord>
      <group>L1_Word</group>
      <groupName>字词问题</groupName>
      <ability>L2_Typo</ability>
      <abilityName>字词错误</abilityName>
      <candidateList>
        <item>》和</item>
      </candidateList>
      <explain/>
      <paraID>142587BB</paraID>
      <start>33</start>
      <end>34</end>
      <status>unmodified</status>
      <modifiedWord/>
      <trackRevisions>false</trackRevisions>
    </reviewItem>
    <reviewItem>
      <errorID>22b60f10-f935-4cb5-843a-ff094ee0a247</errorID>
      <errorWord>75-100%</errorWord>
      <group>L1_Knowledge</group>
      <groupName>知识性问题</groupName>
      <ability>L2_Knowledge</ability>
      <abilityName>其他知识</abilityName>
      <candidateList>
        <item>75%—100%</item>
      </candidateList>
      <explain>1. “75-100%”中的单位“%”仅出现在后一个数字上，容易引起歧义；根据《现代汉语标点符号数字用法规范手册》，数字表示范围两边需要使用统一的格式。2. 根据标点国标 4.13 中的规则，数字、时间或地域连接符应使用（视觉上更长的）“—”或“～”。</explain>
      <paraID>63A85C21</paraID>
      <start>0</start>
      <end>7</end>
      <status>unmodified</status>
      <modifiedWord/>
      <trackRevisions>false</trackRevisions>
    </reviewItem>
    <reviewItem>
      <errorID>48602454-7ff3-465e-9115-dbed71289c33</errorID>
      <errorWord>50-75%</errorWord>
      <group>L1_Knowledge</group>
      <groupName>知识性问题</groupName>
      <ability>L2_Knowledge</ability>
      <abilityName>其他知识</abilityName>
      <candidateList>
        <item>50%—75%</item>
      </candidateList>
      <explain>1. “50-75%”中的单位“%”仅出现在后一个数字上，容易引起歧义；根据《现代汉语标点符号数字用法规范手册》，数字表示范围两边需要使用统一的格式。2. 根据标点国标 4.13 中的规则，数字、时间或地域连接符应使用（视觉上更长的）“—”或“～”。</explain>
      <paraID>11C78C27</paraID>
      <start>0</start>
      <end>6</end>
      <status>unmodified</status>
      <modifiedWord/>
      <trackRevisions>false</trackRevisions>
    </reviewItem>
    <reviewItem>
      <errorID>e63ca509-47d2-426d-9ae4-342ae1f191c7</errorID>
      <errorWord>25-50%</errorWord>
      <group>L1_Knowledge</group>
      <groupName>知识性问题</groupName>
      <ability>L2_Knowledge</ability>
      <abilityName>其他知识</abilityName>
      <candidateList>
        <item>25%—50%</item>
      </candidateList>
      <explain>1. “25-50%”中的单位“%”仅出现在后一个数字上，容易引起歧义；根据《现代汉语标点符号数字用法规范手册》，数字表示范围两边需要使用统一的格式。2. 根据标点国标 4.13 中的规则，数字、时间或地域连接符应使用（视觉上更长的）“—”或“～”。</explain>
      <paraID>7C01790C</paraID>
      <start>0</start>
      <end>6</end>
      <status>unmodified</status>
      <modifiedWord/>
      <trackRevisions>false</trackRevisions>
    </reviewItem>
    <reviewItem>
      <errorID>12485f2e-1d49-4ed6-b1ee-ca345ffc59bf</errorID>
      <errorWord>0-25%</errorWord>
      <group>L1_Knowledge</group>
      <groupName>知识性问题</groupName>
      <ability>L2_Knowledge</ability>
      <abilityName>其他知识</abilityName>
      <candidateList>
        <item>0—25%</item>
      </candidateList>
      <explain>1. “0-25%”中的单位“%”仅出现在后一个数字上，容易引起歧义；根据《现代汉语标点符号数字用法规范手册》，数字表示范围两边需要使用统一的格式。2. 根据标点国标 4.13 中的规则，数字、时间或地域连接符应使用（视觉上更长的）“—”或“～”。</explain>
      <paraID>4E2B82B3</paraID>
      <start>0</start>
      <end>5</end>
      <status>unmodified</status>
      <modifiedWord/>
      <trackRevisions>false</trackRevisions>
    </reviewItem>
    <reviewItem>
      <errorID>0f0893d6-0392-46e0-9e8d-0c596389c58e</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5648B00B</paraID>
      <start>0</start>
      <end>2</end>
      <status>unmodified</status>
      <modifiedWord/>
      <trackRevisions>false</trackRevisions>
    </reviewItem>
    <reviewItem>
      <errorID>5402164f-2016-43b0-b8a2-bb51dd36cda4</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6B179746</paraID>
      <start>0</start>
      <end>2</end>
      <status>unmodified</status>
      <modifiedWord/>
      <trackRevisions>false</trackRevisions>
    </reviewItem>
    <reviewItem>
      <errorID>9d30f2e8-fb27-4eb6-b04d-0cc0eb96941c</errorID>
      <errorWord>其它</errorWord>
      <group>L1_Word</group>
      <groupName>字词问题</groupName>
      <ability>L2_Alias</ability>
      <abilityName>也作/曾用词</abilityName>
      <candidateList>
        <item>其他</item>
      </candidateList>
      <explain>词汇[其它]为不规范表述或旧称，其规范书面表述为[其他]。</explain>
      <paraID>39DC090B</paraID>
      <start>104</start>
      <end>106</end>
      <status>unmodified</status>
      <modifiedWord/>
      <trackRevisions>false</trackRevisions>
    </reviewItem>
    <reviewItem>
      <errorID>d0b25a7b-83fe-402e-9302-b118e6c9c3d6</errorID>
      <errorWord>矿另</errorWord>
      <group>L1_Word</group>
      <groupName>字词问题</groupName>
      <ability>L2_Typo</ability>
      <abilityName>字词错误</abilityName>
      <candidateList>
        <item>矿区</item>
      </candidateList>
      <explain/>
      <paraID>27534463</paraID>
      <start>37</start>
      <end>39</end>
      <status>unmodified</status>
      <modifiedWord/>
      <trackRevisions>false</trackRevisions>
    </reviewItem>
    <reviewItem>
      <errorID>50895948-9658-4767-bb9e-7f05dfac31e1</errorID>
      <errorWord>复合</errorWord>
      <group>L1_Word</group>
      <groupName>字词问题</groupName>
      <ability>L2_Typo</ability>
      <abilityName>字词错误</abilityName>
      <candidateList>
        <item>符合</item>
      </candidateList>
      <explain>“复合～要求”搭配不当，建议修改为“符合～要求”。</explain>
      <paraID>19311851</paraID>
      <start>198</start>
      <end>200</end>
      <status>modified</status>
      <modifiedWord>符合</modifiedWord>
      <trackRevisions>false</trackRevisions>
    </reviewItem>
    <reviewItem>
      <errorID>41df4f1c-12a5-4ca8-9f3f-4ec51ed4d040</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2829645D</paraID>
      <start>42</start>
      <end>43</end>
      <status>unmodified</status>
      <modifiedWord/>
      <trackRevisions>false</trackRevisions>
    </reviewItem>
    <reviewItem>
      <errorID>fa198601-b4d5-4af2-859b-3b45f27d57dd</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C92A3F2</paraID>
      <start>46</start>
      <end>47</end>
      <status>unmodified</status>
      <modifiedWord/>
      <trackRevisions>false</trackRevisions>
    </reviewItem>
    <reviewItem>
      <errorID>4695d71f-d13f-4aae-ae39-2f3dd0ae395f</errorID>
      <errorWord>即为</errorWord>
      <group>L1_Word</group>
      <groupName>字词问题</groupName>
      <ability>L2_Typo</ability>
      <abilityName>字词错误</abilityName>
      <candidateList>
        <item>即</item>
      </candidateList>
      <explain>〈书〉❶就是：荷花～莲花｜非此～彼。❷〈副〉就；便：一触～发｜招之～来｜闻过～改。❸〈连〉即使：～无他方之支援，也能按期完成任务。参看733页“就2”。</explain>
      <paraID>318E1DFF</paraID>
      <start>72</start>
      <end>74</end>
      <status>unmodified</status>
      <modifiedWord/>
      <trackRevisions>false</trackRevisions>
    </reviewItem>
    <reviewItem>
      <errorID>59654fd2-19d8-4662-94ad-6779b5f56c1c</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4ACE02AA</paraID>
      <start>0</start>
      <end>2</end>
      <status>unmodified</status>
      <modifiedWord/>
      <trackRevisions>false</trackRevisions>
    </reviewItem>
    <reviewItem>
      <errorID>0b7ff908-a516-409e-82cc-daa8b5b2b762</errorID>
      <errorWord>采准</errorWord>
      <group>L1_Word</group>
      <groupName>字词问题</groupName>
      <ability>L2_Typo</ability>
      <abilityName>字词错误</abilityName>
      <candidateList>
        <item>标准</item>
      </candidateList>
      <explain>❶〈名〉衡量事物的准则：技术～｜实践是检验真理的唯一～。❷〈形〉本身合于准则，可供同类事物比较核对的：～音｜～时｜她的发音很～。</explain>
      <paraID>2E85DD29</paraID>
      <start>3</start>
      <end>5</end>
      <status>modified</status>
      <modifiedWord>标准</modifiedWord>
      <trackRevisions>false</trackRevisions>
    </reviewItem>
    <reviewItem>
      <errorID>7b1901f6-446b-46e5-a40c-0937aa441a12</errorID>
      <errorWord>字型</errorWord>
      <group>L1_Word</group>
      <groupName>字词问题</groupName>
      <ability>L2_Typo</ability>
      <abilityName>字词错误</abilityName>
      <candidateList>
        <item>字形</item>
      </candidateList>
      <explain>存在发音相同字词的误用。</explain>
      <paraID>305C16C2</paraID>
      <start>74</start>
      <end>76</end>
      <status>unmodified</status>
      <modifiedWord/>
      <trackRevisions>false</trackRevisions>
    </reviewItem>
    <reviewItem>
      <errorID>210e21c6-0e5e-40c2-83d4-23f771caac0d</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66C56278</paraID>
      <start>0</start>
      <end>2</end>
      <status>unmodified</status>
      <modifiedWord/>
      <trackRevisions>false</trackRevisions>
    </reviewItem>
    <reviewItem>
      <errorID>1f7acb00-7cd8-4dec-8b6b-181bcad56fc8</errorID>
      <errorWord>采准</errorWord>
      <group>L1_Word</group>
      <groupName>字词问题</groupName>
      <ability>L2_Typo</ability>
      <abilityName>字词错误</abilityName>
      <candidateList>
        <item>标准</item>
      </candidateList>
      <explain>❶〈名〉衡量事物的准则：技术～｜实践是检验真理的唯一～。❷〈形〉本身合于准则，可供同类事物比较核对的：～音｜～时｜她的发音很～。</explain>
      <paraID> C4C0906</paraID>
      <start>3</start>
      <end>5</end>
      <status>unmodified</status>
      <modifiedWord/>
      <trackRevisions>false</trackRevisions>
    </reviewItem>
    <reviewItem>
      <errorID>5bedb419-80bd-407d-bca7-a8734db29f8d</errorID>
      <errorWord>回风巷道</errorWord>
      <group>L1_Knowledge</group>
      <groupName>知识性问题</groupName>
      <ability>L2_Term</ability>
      <abilityName>专业术语</abilityName>
      <candidateList>
        <item>回采巷道</item>
      </candidateList>
      <explain/>
      <paraID>1A36A9B5</paraID>
      <start>54</start>
      <end>58</end>
      <status>unmodified</status>
      <modifiedWord/>
      <trackRevisions>false</trackRevisions>
    </reviewItem>
    <reviewItem>
      <errorID>4c1daa2b-1125-4325-a085-1897a5510d30</errorID>
      <errorWord>开拓</errorWord>
      <group>L1_Word</group>
      <groupName>字词问题</groupName>
      <ability>L2_Typo</ability>
      <abilityName>字词错误</abilityName>
      <candidateList>
        <item>开阔</item>
      </candidateList>
      <explain>❶〈形〉（面积或空间范围）宽广：～的广场｜雄鹰在～的天空中翱翔。❷〈形〉（思想、心胸）宽阔：他是一个思路～、性格活泼的人。❸〈动〉使开阔：～眼界｜～路面｜～胸襟。</explain>
      <paraID>3F891CD6</paraID>
      <start>33</start>
      <end>35</end>
      <status>unmodified</status>
      <modifiedWord/>
      <trackRevisions>false</trackRevisions>
    </reviewItem>
    <reviewItem>
      <errorID>100c535c-0dbf-4f1c-a3e8-c2c269f4e6ca</errorID>
      <errorWord>联通</errorWord>
      <group>L1_Word</group>
      <groupName>字词问题</groupName>
      <ability>L2_Typo</ability>
      <abilityName>字词错误</abilityName>
      <candidateList>
        <item>连通</item>
      </candidateList>
      <explain>存在发音相同字词的误用。</explain>
      <paraID>1D172A22</paraID>
      <start>96</start>
      <end>98</end>
      <status>modified</status>
      <modifiedWord>连通</modifiedWord>
      <trackRevisions>false</trackRevisions>
    </reviewItem>
    <reviewItem>
      <errorID>ce60893a-5f12-4281-8a2b-42f88ae5e8f8</errorID>
      <errorWord>两条</errorWord>
      <group>L1_Knowledge</group>
      <groupName>知识性问题</groupName>
      <ability>L2_Knowledge</ability>
      <abilityName>其他知识</abilityName>
      <candidateList>
        <item>两根</item>
      </candidateList>
      <explain/>
      <paraID>2FE9278A</paraID>
      <start>50</start>
      <end>52</end>
      <status>unmodified</status>
      <modifiedWord/>
      <trackRevisions>false</trackRevisions>
    </reviewItem>
    <reviewItem>
      <errorID>dd8f687c-ffaf-4a8a-9053-f642f60543cb</errorID>
      <errorWord>，</errorWord>
      <group>L1_Word</group>
      <groupName>字词问题</groupName>
      <ability>L2_Typo</ability>
      <abilityName>字词错误</abilityName>
      <candidateList>
        <item>，将</item>
      </candidateList>
      <explain/>
      <paraID>2FE9278A</paraID>
      <start>113</start>
      <end>114</end>
      <status>unmodified</status>
      <modifiedWord/>
      <trackRevisions>false</trackRevisions>
    </reviewItem>
    <reviewItem>
      <errorID>a9c1310a-b670-4b76-9c21-00bee530397f</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59A94EE7</paraID>
      <start>0</start>
      <end>2</end>
      <status>unmodified</status>
      <modifiedWord/>
      <trackRevisions>false</trackRevisions>
    </reviewItem>
    <reviewItem>
      <errorID>12d8f825-7266-487c-acfd-e9daaa198c4a</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509699AA</paraID>
      <start>0</start>
      <end>2</end>
      <status>unmodified</status>
      <modifiedWord/>
      <trackRevisions>false</trackRevisions>
    </reviewItem>
    <reviewItem>
      <errorID>fe1ca5da-4aad-4853-bd16-83f5250552aa</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690E9B47</paraID>
      <start>0</start>
      <end>2</end>
      <status>unmodified</status>
      <modifiedWord/>
      <trackRevisions>false</trackRevisions>
    </reviewItem>
    <reviewItem>
      <errorID>2ab6363e-2fa2-4995-8100-988287994ef1</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657B6CC8</paraID>
      <start>0</start>
      <end>2</end>
      <status>unmodified</status>
      <modifiedWord/>
      <trackRevisions>false</trackRevisions>
    </reviewItem>
    <reviewItem>
      <errorID>184e1fe2-dc83-4f13-8bd0-f2f56f8e6240</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251AC943</paraID>
      <start>0</start>
      <end>2</end>
      <status>unmodified</status>
      <modifiedWord/>
      <trackRevisions>false</trackRevisions>
    </reviewItem>
    <reviewItem>
      <errorID>926d1422-8a1d-471c-82cd-1d8e946f0cb2</errorID>
      <errorWord>网路</errorWord>
      <group>L1_Word</group>
      <groupName>字词问题</groupName>
      <ability>L2_Alias</ability>
      <abilityName>也作/曾用词</abilityName>
      <candidateList>
        <item>网络</item>
      </candidateList>
      <explain>词汇[网路]为不规范表述或旧称，其规范书面表述为[网络]。</explain>
      <paraID>32C38871</paraID>
      <start>14</start>
      <end>16</end>
      <status>unmodified</status>
      <modifiedWord/>
      <trackRevisions>false</trackRevisions>
    </reviewItem>
    <reviewItem>
      <errorID>6aec1e17-d951-47d0-b8b7-fea6a4472802</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1F05283B</paraID>
      <start>0</start>
      <end>2</end>
      <status>unmodified</status>
      <modifiedWord/>
      <trackRevisions>false</trackRevisions>
    </reviewItem>
    <reviewItem>
      <errorID>0610c594-cc89-4fc0-9119-42c5bacb73b9</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231668A2</paraID>
      <start>0</start>
      <end>2</end>
      <status>unmodified</status>
      <modifiedWord/>
      <trackRevisions>false</trackRevisions>
    </reviewItem>
    <reviewItem>
      <errorID>bc4565c5-fc96-4a46-bff4-a8da04febb0f</errorID>
      <errorWord>一段</errorWord>
      <group>L1_Knowledge</group>
      <groupName>知识性问题</groupName>
      <ability>L2_Knowledge</ability>
      <abilityName>其他知识</abilityName>
      <candidateList>
        <item>一次</item>
      </candidateList>
      <explain/>
      <paraID>5065F22F</paraID>
      <start>49</start>
      <end>51</end>
      <status>unmodified</status>
      <modifiedWord/>
      <trackRevisions>false</trackRevisions>
    </reviewItem>
    <reviewItem>
      <errorID>1ceda743-cc79-4ef3-9ef2-4f789d940b32</errorID>
      <errorWord>到</errorWord>
      <group>L1_Word</group>
      <groupName>字词问题</groupName>
      <ability>L2_Typo</ability>
      <abilityName>字词错误</abilityName>
      <candidateList>
        <item>至</item>
      </candidateList>
      <explain>存在字形相近字词的误用。</explain>
      <paraID>5065F22F</paraID>
      <start>158</start>
      <end>159</end>
      <status>unmodified</status>
      <modifiedWord/>
      <trackRevisions>false</trackRevisions>
    </reviewItem>
    <reviewItem>
      <errorID>f4a28c16-6e52-40c5-9eb6-ce92b7025580</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4FEA2A1B</paraID>
      <start>0</start>
      <end>2</end>
      <status>unmodified</status>
      <modifiedWord/>
      <trackRevisions>false</trackRevisions>
    </reviewItem>
    <reviewItem>
      <errorID>1d27fb5f-9542-44ea-a533-abf12315001c</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50952A3B</paraID>
      <start>0</start>
      <end>2</end>
      <status>unmodified</status>
      <modifiedWord/>
      <trackRevisions>false</trackRevisions>
    </reviewItem>
    <reviewItem>
      <errorID>43aaed09-8dab-4b6b-bc6b-78ebd6572341</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23C6AA33</paraID>
      <start>0</start>
      <end>2</end>
      <status>unmodified</status>
      <modifiedWord/>
      <trackRevisions>false</trackRevisions>
    </reviewItem>
    <reviewItem>
      <errorID>6acf85a7-e748-4548-8794-3e9831b20fc8</errorID>
      <errorWord>确保可</errorWord>
      <group>L1_Word</group>
      <groupName>字词问题</groupName>
      <ability>L2_Typo</ability>
      <abilityName>字词错误</abilityName>
      <candidateList>
        <item>确保</item>
      </candidateList>
      <explain>〈动〉确实地保持或保证：～交通畅通｜加强田间管理，～粮食丰收。</explain>
      <paraID>2F6F3C87</paraID>
      <start>244</start>
      <end>247</end>
      <status>unmodified</status>
      <modifiedWord/>
      <trackRevisions>false</trackRevisions>
    </reviewItem>
    <reviewItem>
      <errorID>65613e1b-3ebe-43ee-863a-8c97c88c815e</errorID>
      <errorWord>需均</errorWord>
      <group>L1_Word</group>
      <groupName>字词问题</groupName>
      <ability>L2_Typo</ability>
      <abilityName>字词错误</abilityName>
      <candidateList>
        <item>需</item>
      </candidateList>
      <explain>❶〈动〉需要：～求｜按～分配｜完成任务还～五天时间。❷需用的东西：军～。</explain>
      <paraID>3E5BFA6B</paraID>
      <start>10</start>
      <end>11</end>
      <status>modified</status>
      <modifiedWord>需</modifiedWord>
      <trackRevisions>false</trackRevisions>
    </reviewItem>
    <reviewItem>
      <errorID>2669ff7e-ca18-4d3e-8617-c89a38b89c25</errorID>
      <errorWord>厂</errorWord>
      <group>L1_Word</group>
      <groupName>字词问题</groupName>
      <ability>L2_Typo</ability>
      <abilityName>字词错误</abilityName>
      <candidateList>
        <item>场</item>
      </candidateList>
      <explain/>
      <paraID>361BE870</paraID>
      <start>34</start>
      <end>35</end>
      <status>unmodified</status>
      <modifiedWord/>
      <trackRevisions>false</trackRevisions>
    </reviewItem>
    <reviewItem>
      <errorID>9359b7e6-2f36-46cc-831e-adf62ecebacd</errorID>
      <errorWord>[2024]2号</errorWord>
      <group>L1_Knowledge</group>
      <groupName>知识性问题</groupName>
      <ability>L2_Knowledge</ability>
      <abilityName>其他知识</abilityName>
      <candidateList>
        <item>〔2024〕2号</item>
      </candidateList>
      <explain>发文字号格式错误。</explain>
      <paraID>2710B942</paraID>
      <start>102</start>
      <end>110</end>
      <status>modified</status>
      <modifiedWord>〔2024〕2号</modifiedWord>
      <trackRevisions>false</trackRevisions>
    </reviewItem>
    <reviewItem>
      <errorID>38d83b88-b8ac-487f-88fc-b3594e1d552f</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275510D2</paraID>
      <start>0</start>
      <end>2</end>
      <status>unmodified</status>
      <modifiedWord/>
      <trackRevisions>false</trackRevisions>
    </reviewItem>
    <reviewItem>
      <errorID>1b23c45e-64e5-4f67-9639-decbc86f023a</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518D5825</paraID>
      <start>16</start>
      <end>17</end>
      <status>unmodified</status>
      <modifiedWord/>
      <trackRevisions>false</trackRevisions>
    </reviewItem>
    <reviewItem>
      <errorID>e75d7406-db00-4e82-93cc-48650e2cc678</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18003F61</paraID>
      <start>16</start>
      <end>17</end>
      <status>unmodified</status>
      <modifiedWord/>
      <trackRevisions>false</trackRevisions>
    </reviewItem>
    <reviewItem>
      <errorID>3570f6b4-6fb3-4003-869b-8370a4fa6a25</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FFD8A5C</paraID>
      <start>0</start>
      <end>2</end>
      <status>unmodified</status>
      <modifiedWord/>
      <trackRevisions>false</trackRevisions>
    </reviewItem>
    <reviewItem>
      <errorID>f80b3dd0-3e08-4193-8ed5-d9381ae4118c</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737EBE43</paraID>
      <start>16</start>
      <end>17</end>
      <status>unmodified</status>
      <modifiedWord/>
      <trackRevisions>false</trackRevisions>
    </reviewItem>
    <reviewItem>
      <errorID>48bbd925-70d8-4c25-9b7a-5d4774af457e</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4100CCF1</paraID>
      <start>17</start>
      <end>18</end>
      <status>unmodified</status>
      <modifiedWord/>
      <trackRevisions>false</trackRevisions>
    </reviewItem>
    <reviewItem>
      <errorID>081aa67e-3b75-474b-9d5b-6d7473e12886</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1AB0653B</paraID>
      <start>0</start>
      <end>2</end>
      <status>unmodified</status>
      <modifiedWord/>
      <trackRevisions>false</trackRevisions>
    </reviewItem>
    <reviewItem>
      <errorID>1c1bd6db-d2a2-4915-9762-eca91034a056</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2C096A66</paraID>
      <start>16</start>
      <end>17</end>
      <status>unmodified</status>
      <modifiedWord/>
      <trackRevisions>false</trackRevisions>
    </reviewItem>
    <reviewItem>
      <errorID>377ff1a2-fb3c-4900-a139-ea1801ebea3a</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21A96CA8</paraID>
      <start>16</start>
      <end>17</end>
      <status>unmodified</status>
      <modifiedWord/>
      <trackRevisions>false</trackRevisions>
    </reviewItem>
    <reviewItem>
      <errorID>5ee794da-e113-4bc4-980a-d28efaa4e00e</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5BFE491A</paraID>
      <start>16</start>
      <end>17</end>
      <status>unmodified</status>
      <modifiedWord/>
      <trackRevisions>false</trackRevisions>
    </reviewItem>
    <reviewItem>
      <errorID>ea72cdba-1b87-456d-9e47-d69e6ce5b5dc</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2C1E366A</paraID>
      <start>16</start>
      <end>17</end>
      <status>unmodified</status>
      <modifiedWord/>
      <trackRevisions>false</trackRevisions>
    </reviewItem>
    <reviewItem>
      <errorID>5e9940d4-8047-4ae8-b408-c8a8e0b8ae45</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79A8943F</paraID>
      <start>16</start>
      <end>17</end>
      <status>unmodified</status>
      <modifiedWord/>
      <trackRevisions>false</trackRevisions>
    </reviewItem>
    <reviewItem>
      <errorID>3ac04a1b-ed97-45ca-ad41-06f1aee4ad95</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56694B02</paraID>
      <start>17</start>
      <end>18</end>
      <status>unmodified</status>
      <modifiedWord/>
      <trackRevisions>false</trackRevisions>
    </reviewItem>
    <reviewItem>
      <errorID>da03e27a-9b7d-44d7-9bbe-d550e6ee15bc</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ABA7153</paraID>
      <start>0</start>
      <end>2</end>
      <status>unmodified</status>
      <modifiedWord/>
      <trackRevisions>false</trackRevisions>
    </reviewItem>
    <reviewItem>
      <errorID>f87a9c01-e95f-47e3-a3e9-f942bfd16a04</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9B88345</paraID>
      <start>16</start>
      <end>17</end>
      <status>unmodified</status>
      <modifiedWord/>
      <trackRevisions>false</trackRevisions>
    </reviewItem>
    <reviewItem>
      <errorID>d19b301a-a1c1-48a5-bf7b-368bdd32d974</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4327DB9B</paraID>
      <start>16</start>
      <end>17</end>
      <status>unmodified</status>
      <modifiedWord/>
      <trackRevisions>false</trackRevisions>
    </reviewItem>
    <reviewItem>
      <errorID>e6c7a34f-c814-46d3-9b70-6b7ea46cc735</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4D792106</paraID>
      <start>16</start>
      <end>17</end>
      <status>unmodified</status>
      <modifiedWord/>
      <trackRevisions>false</trackRevisions>
    </reviewItem>
    <reviewItem>
      <errorID>0ba01c6e-9b1e-4b29-ba1a-8c7cba76491f</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3700E14E</paraID>
      <start>17</start>
      <end>18</end>
      <status>unmodified</status>
      <modifiedWord/>
      <trackRevisions>false</trackRevisions>
    </reviewItem>
    <reviewItem>
      <errorID>93e64ca9-07a1-4125-8e5f-20afdcc0f26b</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59B960FA</paraID>
      <start>16</start>
      <end>17</end>
      <status>unmodified</status>
      <modifiedWord/>
      <trackRevisions>false</trackRevisions>
    </reviewItem>
    <reviewItem>
      <errorID>bc49a5a8-8f58-4946-9dde-bf92dff2028e</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7DF5E85E</paraID>
      <start>16</start>
      <end>17</end>
      <status>unmodified</status>
      <modifiedWord/>
      <trackRevisions>false</trackRevisions>
    </reviewItem>
    <reviewItem>
      <errorID>0bcbde11-dc34-45df-b4b3-dc8bdb9bc7d7</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6AA07A50</paraID>
      <start>16</start>
      <end>17</end>
      <status>unmodified</status>
      <modifiedWord/>
      <trackRevisions>false</trackRevisions>
    </reviewItem>
    <reviewItem>
      <errorID>d5e2393e-5d9e-4b3b-9d3c-50e159e989f1</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594FDBDD</paraID>
      <start>16</start>
      <end>17</end>
      <status>unmodified</status>
      <modifiedWord/>
      <trackRevisions>false</trackRevisions>
    </reviewItem>
    <reviewItem>
      <errorID>63b9eb52-dd48-441c-8359-f3b473596171</errorID>
      <errorWord>可行性</errorWord>
      <group>L1_Word</group>
      <groupName>字词问题</groupName>
      <ability>L2_Typo</ability>
      <abilityName>字词错误</abilityName>
      <candidateList>
        <item>可行</item>
      </candidateList>
      <explain/>
      <paraID>26F863D9</paraID>
      <start>22</start>
      <end>24</end>
      <status>modified</status>
      <modifiedWord>可行</modifiedWord>
      <trackRevisions>false</trackRevisions>
    </reviewItem>
    <reviewItem>
      <errorID>039882f2-2f38-40d3-bbd7-8f2635de28c4</errorID>
      <errorWord>一座</errorWord>
      <group>L1_Knowledge</group>
      <groupName>知识性问题</groupName>
      <ability>L2_Knowledge</ability>
      <abilityName>其他知识</abilityName>
      <candidateList>
        <item>一处</item>
      </candidateList>
      <explain/>
      <paraID>18096EAE</paraID>
      <start>67</start>
      <end>69</end>
      <status>unmodified</status>
      <modifiedWord/>
      <trackRevisions>false</trackRevisions>
    </reviewItem>
    <reviewItem>
      <errorID>9e7e26e3-5eff-4c27-918a-1d45a86a30de</errorID>
      <errorWord>派班</errorWord>
      <group>L1_Word</group>
      <groupName>字词问题</groupName>
      <ability>L2_Typo</ability>
      <abilityName>字词错误</abilityName>
      <candidateList>
        <item>排班</item>
      </candidateList>
      <explain/>
      <paraID>50CF09EA</paraID>
      <start>10</start>
      <end>12</end>
      <status>unmodified</status>
      <modifiedWord/>
      <trackRevisions>false</trackRevisions>
    </reviewItem>
    <reviewItem>
      <errorID>fa9eae87-5961-4c2c-b307-d4e169479147</errorID>
      <errorWord>深入</errorWord>
      <group>L1_Word</group>
      <groupName>字词问题</groupName>
      <ability>L2_Typo</ability>
      <abilityName>字词错误</abilityName>
      <candidateList>
        <item>渗入</item>
      </candidateList>
      <explain>〈动〉❶液体慢慢地渗到里面去：融化了的雪水～大地。❷比喻某种势力无孔不入地钻进来（多含贬义）。</explain>
      <paraID>48C0459F</paraID>
      <start>159</start>
      <end>161</end>
      <status>modified</status>
      <modifiedWord>渗入</modifiedWord>
      <trackRevisions>false</trackRevisions>
    </reviewItem>
    <reviewItem>
      <errorID>112d6a9e-476a-453e-89a2-7a89f9b7b415</errorID>
      <errorWord>即涌水量</errorWord>
      <group>L1_Knowledge</group>
      <groupName>知识性问题</groupName>
      <ability>L2_Term</ability>
      <abilityName>专业术语</abilityName>
      <candidateList>
        <item>井涌水量</item>
      </candidateList>
      <explain/>
      <paraID>48C0459F</paraID>
      <start>168</start>
      <end>172</end>
      <status>unmodified</status>
      <modifiedWord/>
      <trackRevisions>false</trackRevisions>
    </reviewItem>
    <reviewItem>
      <errorID>e10262ef-edac-4b69-905b-f741391af89b</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5DDB0517</paraID>
      <start>0</start>
      <end>2</end>
      <status>unmodified</status>
      <modifiedWord/>
      <trackRevisions>false</trackRevisions>
    </reviewItem>
    <reviewItem>
      <errorID>6e212696-e6c4-42e0-8522-ac43ae2d44d7</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1226FA1A</paraID>
      <start>0</start>
      <end>2</end>
      <status>unmodified</status>
      <modifiedWord/>
      <trackRevisions>false</trackRevisions>
    </reviewItem>
    <reviewItem>
      <errorID>f7156937-58e5-484a-98ba-5f577855e81b</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6F367BF0</paraID>
      <start>0</start>
      <end>2</end>
      <status>unmodified</status>
      <modifiedWord/>
      <trackRevisions>false</trackRevisions>
    </reviewItem>
    <reviewItem>
      <errorID>83c455e5-1108-4a72-b460-24b761f832a7</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CBBEC94</paraID>
      <start>0</start>
      <end>2</end>
      <status>unmodified</status>
      <modifiedWord/>
      <trackRevisions>false</trackRevisions>
    </reviewItem>
    <reviewItem>
      <errorID>26382d4a-7029-43a5-8f4b-cbc8a699780e</errorID>
      <errorWord>进入到</errorWord>
      <group>L1_Word</group>
      <groupName>字词问题</groupName>
      <ability>L2_Typo</ability>
      <abilityName>字词错误</abilityName>
      <candidateList>
        <item>进入</item>
      </candidateList>
      <explain>〈动〉支进到某个范围或某个时期里：～学校｜～新阶段◇～角色。</explain>
      <paraID>7412605C</paraID>
      <start>32</start>
      <end>34</end>
      <status>modified</status>
      <modifiedWord>进入</modifiedWord>
      <trackRevisions>false</trackRevisions>
    </reviewItem>
    <reviewItem>
      <errorID>46292d93-9c1e-45ad-a509-652ae3147fb5</errorID>
      <errorWord>场用</errorWord>
      <group>L1_Word</group>
      <groupName>字词问题</groupName>
      <ability>L2_Typo</ability>
      <abilityName>字词错误</abilityName>
      <candidateList>
        <item>常用</item>
      </candidateList>
      <explain/>
      <paraID> 792728C</paraID>
      <start>12</start>
      <end>14</end>
      <status>unmodified</status>
      <modifiedWord/>
      <trackRevisions>false</trackRevisions>
    </reviewItem>
    <reviewItem>
      <errorID>42b4f7b4-979c-461b-89b6-01bdeb73c44f</errorID>
      <errorWord>程</errorWord>
      <group>L1_Word</group>
      <groupName>字词问题</groupName>
      <ability>L2_Typo</ability>
      <abilityName>字词错误</abilityName>
      <candidateList>
        <item>程中</item>
      </candidateList>
      <explain/>
      <paraID>7C5E7F05</paraID>
      <start>37</start>
      <end>38</end>
      <status>unmodified</status>
      <modifiedWord/>
      <trackRevisions>false</trackRevisions>
    </reviewItem>
    <reviewItem>
      <errorID>65bb5b13-57a5-40f5-a6b1-cbf52e260a82</errorID>
      <errorWord>程</errorWord>
      <group>L1_Word</group>
      <groupName>字词问题</groupName>
      <ability>L2_Typo</ability>
      <abilityName>字词错误</abilityName>
      <candidateList>
        <item>程中</item>
      </candidateList>
      <explain/>
      <paraID>6504B74A</paraID>
      <start>4</start>
      <end>5</end>
      <status>unmodified</status>
      <modifiedWord/>
      <trackRevisions>false</trackRevisions>
    </reviewItem>
    <reviewItem>
      <errorID>288955ea-030c-451f-a30e-b7590e6cd32a</errorID>
      <errorWord>减小</errorWord>
      <group>L1_Word</group>
      <groupName>字词问题</groupName>
      <ability>L2_Typo</ability>
      <abilityName>字词错误</abilityName>
      <candidateList>
        <item>减少</item>
      </candidateList>
      <explain>存在字形相近字词的误用。</explain>
      <paraID>1751A2C0</paraID>
      <start>164</start>
      <end>166</end>
      <status>unmodified</status>
      <modifiedWord/>
      <trackRevisions>false</trackRevisions>
    </reviewItem>
    <reviewItem>
      <errorID>1def5948-592c-4f17-908e-0aa81b60f0c7</errorID>
      <errorWord>主要以临时占地为主</errorWord>
      <group>L1_Word</group>
      <groupName>字词问题</groupName>
      <ability>L2_Typo</ability>
      <abilityName>字词错误</abilityName>
      <candidateList>
        <item>以临时占地为主</item>
      </candidateList>
      <explain/>
      <paraID>7D7BBBE6</paraID>
      <start>7</start>
      <end>16</end>
      <status>unmodified</status>
      <modifiedWord/>
      <trackRevisions>false</trackRevisions>
    </reviewItem>
    <reviewItem>
      <errorID>7fb17a16-d7cf-4cdd-92b9-fb9691e2bc76</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6C12B6C0</paraID>
      <start>0</start>
      <end>2</end>
      <status>unmodified</status>
      <modifiedWord/>
      <trackRevisions>false</trackRevisions>
    </reviewItem>
    <reviewItem>
      <errorID>0dd78b6e-466f-4644-b7cb-7cfa3b956f8f</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1AF9319D</paraID>
      <start>0</start>
      <end>2</end>
      <status>unmodified</status>
      <modifiedWord/>
      <trackRevisions>false</trackRevisions>
    </reviewItem>
    <reviewItem>
      <errorID>825de983-1a4e-43c0-a81f-6885ca1e4e96</errorID>
      <errorWord>项目选厂</errorWord>
      <group>L1_Word</group>
      <groupName>字词问题</groupName>
      <ability>L2_Typo</ability>
      <abilityName>字词错误</abilityName>
      <candidateList>
        <item>项目选择</item>
      </candidateList>
      <explain/>
      <paraID>447F31FF</paraID>
      <start>2</start>
      <end>6</end>
      <status>unmodified</status>
      <modifiedWord/>
      <trackRevisions>false</trackRevisions>
    </reviewItem>
    <reviewItem>
      <errorID>bac3c989-09b1-4e78-ae1f-4e35d3d09eb8</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1E4570DD</paraID>
      <start>0</start>
      <end>2</end>
      <status>unmodified</status>
      <modifiedWord/>
      <trackRevisions>false</trackRevisions>
    </reviewItem>
    <reviewItem>
      <errorID>af172774-10a3-412d-8055-34d6cfcd8805</errorID>
      <errorWord>本次</errorWord>
      <group>L1_Word</group>
      <groupName>字词问题</groupName>
      <ability>L2_Typo</ability>
      <abilityName>字词错误</abilityName>
      <candidateList>
        <item>本文</item>
      </candidateList>
      <explain/>
      <paraID>4FC9B7C7</paraID>
      <start>185</start>
      <end>187</end>
      <status>unmodified</status>
      <modifiedWord/>
      <trackRevisions>false</trackRevisions>
    </reviewItem>
    <reviewItem>
      <errorID>6fd5eb84-8f51-49c0-b2da-5aae74cce448</errorID>
      <errorWord>其他</errorWord>
      <group>L1_Word</group>
      <groupName>字词问题</groupName>
      <ability>L2_Typo</ability>
      <abilityName>字词错误</abilityName>
      <candidateList>
        <item>气体</item>
      </candidateList>
      <explain>〈名〉没有一定形状，没有一定体积，可以流动的物体。在常温下，空气、氧气、沼气等都是气体。</explain>
      <paraID>6575C155</paraID>
      <start>13</start>
      <end>15</end>
      <status>modified</status>
      <modifiedWord>气体</modifiedWord>
      <trackRevisions>false</trackRevisions>
    </reviewItem>
    <reviewItem>
      <errorID>606052af-746e-4c86-842e-d3e5e488ac55</errorID>
      <errorWord>期</errorWord>
      <group>L1_Word</group>
      <groupName>字词问题</groupName>
      <ability>L2_Typo</ability>
      <abilityName>字词错误</abilityName>
      <candidateList>
        <item>期间</item>
      </candidateList>
      <explain>〈名〉某个时期里面：农忙～｜春节～｜抗战～。</explain>
      <paraID>13D10B22</paraID>
      <start>81</start>
      <end>82</end>
      <status>unmodified</status>
      <modifiedWord/>
      <trackRevisions>false</trackRevisions>
    </reviewItem>
    <reviewItem>
      <errorID>3896ae79-90b2-4d39-aa1e-a921d4d276e3</errorID>
      <errorWord>、</errorWord>
      <group>L1_Punc</group>
      <groupName>标点问题</groupName>
      <ability>L2_Punc</ability>
      <abilityName>标点符号检查</abilityName>
      <candidateList>
        <item>.</item>
      </candidateList>
      <explain/>
      <paraID>576C3998</paraID>
      <start>1</start>
      <end>2</end>
      <status>unmodified</status>
      <modifiedWord/>
      <trackRevisions>false</trackRevisions>
    </reviewItem>
    <reviewItem>
      <errorID>cc6d0d3a-bc8c-48a5-a40d-5f32c2a24492</errorID>
      <errorWord>-</errorWord>
      <group>L1_Format</group>
      <groupName>格式问题</groupName>
      <ability>L2_HalfPunc</ability>
      <abilityName>全半角检查</abilityName>
      <candidateList>
        <item>－</item>
      </candidateList>
      <explain>文本全半角错误。</explain>
      <paraID>4B5C0DB0</paraID>
      <start>8</start>
      <end>9</end>
      <status>unmodified</status>
      <modifiedWord/>
      <trackRevisions>false</trackRevisions>
    </reviewItem>
    <reviewItem>
      <errorID>e7efb429-f837-4506-ab21-ccb1329323a0</errorID>
      <errorWord>-</errorWord>
      <group>L1_Format</group>
      <groupName>格式问题</groupName>
      <ability>L2_HalfPunc</ability>
      <abilityName>全半角检查</abilityName>
      <candidateList>
        <item>－</item>
      </candidateList>
      <explain>文本全半角错误。</explain>
      <paraID>2EA20EB3</paraID>
      <start>4</start>
      <end>5</end>
      <status>unmodified</status>
      <modifiedWord/>
      <trackRevisions>false</trackRevisions>
    </reviewItem>
    <reviewItem>
      <errorID>d6490cbe-4f18-410f-9aed-e42a0b5d6e4f</errorID>
      <errorWord>-</errorWord>
      <group>L1_Format</group>
      <groupName>格式问题</groupName>
      <ability>L2_HalfPunc</ability>
      <abilityName>全半角检查</abilityName>
      <candidateList>
        <item>－</item>
      </candidateList>
      <explain>文本全半角错误。</explain>
      <paraID>3D29C852</paraID>
      <start>4</start>
      <end>5</end>
      <status>unmodified</status>
      <modifiedWord/>
      <trackRevisions>false</trackRevisions>
    </reviewItem>
    <reviewItem>
      <errorID>f6d43d85-ef17-4bc7-acea-36a27f558920</errorID>
      <errorWord>-</errorWord>
      <group>L1_Format</group>
      <groupName>格式问题</groupName>
      <ability>L2_HalfPunc</ability>
      <abilityName>全半角检查</abilityName>
      <candidateList>
        <item>－</item>
      </candidateList>
      <explain>文本全半角错误。</explain>
      <paraID>66CD70CB</paraID>
      <start>3</start>
      <end>4</end>
      <status>unmodified</status>
      <modifiedWord/>
      <trackRevisions>false</trackRevisions>
    </reviewItem>
    <reviewItem>
      <errorID>e73160c4-26c7-4067-a4f8-3c513a411991</errorID>
      <errorWord>-</errorWord>
      <group>L1_Format</group>
      <groupName>格式问题</groupName>
      <ability>L2_HalfPunc</ability>
      <abilityName>全半角检查</abilityName>
      <candidateList>
        <item>－</item>
      </candidateList>
      <explain>文本全半角错误。</explain>
      <paraID>14F912A5</paraID>
      <start>3</start>
      <end>4</end>
      <status>unmodified</status>
      <modifiedWord/>
      <trackRevisions>false</trackRevisions>
    </reviewItem>
    <reviewItem>
      <errorID>c9f3b0cc-3bdd-47af-9d7a-2a2db1304f36</errorID>
      <errorWord>-</errorWord>
      <group>L1_Format</group>
      <groupName>格式问题</groupName>
      <ability>L2_HalfPunc</ability>
      <abilityName>全半角检查</abilityName>
      <candidateList>
        <item>－</item>
      </candidateList>
      <explain>文本全半角错误。</explain>
      <paraID>3491A5B9</paraID>
      <start>2</start>
      <end>3</end>
      <status>unmodified</status>
      <modifiedWord/>
      <trackRevisions>false</trackRevisions>
    </reviewItem>
    <reviewItem>
      <errorID>93a0b0aa-b21a-4ead-8b0d-2ee08c0d5646</errorID>
      <errorWord>、</errorWord>
      <group>L1_Punc</group>
      <groupName>标点问题</groupName>
      <ability>L2_Punc</ability>
      <abilityName>标点符号检查</abilityName>
      <candidateList>
        <item>.</item>
      </candidateList>
      <explain/>
      <paraID> A378704</paraID>
      <start>1</start>
      <end>2</end>
      <status>unmodified</status>
      <modifiedWord/>
      <trackRevisions>false</trackRevisions>
    </reviewItem>
    <reviewItem>
      <errorID>74a9b998-8eb3-461d-8438-9b3dc4095ef5</errorID>
      <errorWord>、</errorWord>
      <group>L1_Punc</group>
      <groupName>标点问题</groupName>
      <ability>L2_Punc</ability>
      <abilityName>标点符号检查</abilityName>
      <candidateList>
        <item>.</item>
      </candidateList>
      <explain/>
      <paraID>72716A70</paraID>
      <start>1</start>
      <end>2</end>
      <status>unmodified</status>
      <modifiedWord/>
      <trackRevisions>false</trackRevisions>
    </reviewItem>
    <reviewItem>
      <errorID>37c63158-e54b-4089-96a6-5cb57d3597e2</errorID>
      <errorWord>、</errorWord>
      <group>L1_Punc</group>
      <groupName>标点问题</groupName>
      <ability>L2_Punc</ability>
      <abilityName>标点符号检查</abilityName>
      <candidateList>
        <item>.</item>
      </candidateList>
      <explain/>
      <paraID> E1E24E4</paraID>
      <start>1</start>
      <end>2</end>
      <status>unmodified</status>
      <modifiedWord/>
      <trackRevisions>false</trackRevisions>
    </reviewItem>
    <reviewItem>
      <errorID>8b25ab66-6f61-448b-979d-0d46b75eca79</errorID>
      <errorWord>-</errorWord>
      <group>L1_Format</group>
      <groupName>格式问题</groupName>
      <ability>L2_HalfPunc</ability>
      <abilityName>全半角检查</abilityName>
      <candidateList>
        <item>－</item>
      </candidateList>
      <explain>文本全半角错误。</explain>
      <paraID>5249D9C0</paraID>
      <start>92</start>
      <end>93</end>
      <status>unmodified</status>
      <modifiedWord/>
      <trackRevisions>false</trackRevisions>
    </reviewItem>
    <reviewItem>
      <errorID>c080e982-5043-4c1e-a742-830e893c8d9c</errorID>
      <errorWord>、</errorWord>
      <group>L1_Punc</group>
      <groupName>标点问题</groupName>
      <ability>L2_Punc</ability>
      <abilityName>标点符号检查</abilityName>
      <candidateList>
        <item>.</item>
      </candidateList>
      <explain/>
      <paraID>523A0DFD</paraID>
      <start>1</start>
      <end>2</end>
      <status>unmodified</status>
      <modifiedWord/>
      <trackRevisions>false</trackRevisions>
    </reviewItem>
    <reviewItem>
      <errorID>22977c46-9d2a-4a3d-991f-f4479e413e13</errorID>
      <errorWord>根据类比调查和有关资料显示</errorWord>
      <group>L1_Word</group>
      <groupName>字词问题</groupName>
      <ability>L2_Typo</ability>
      <abilityName>字词错误</abilityName>
      <candidateList>
        <item>根据类比调查和有关资料</item>
      </candidateList>
      <explain/>
      <paraID>64206AAA</paraID>
      <start>54</start>
      <end>65</end>
      <status>modified</status>
      <modifiedWord>根据类比调查和有关资料</modifiedWord>
      <trackRevisions>false</trackRevisions>
    </reviewItem>
    <reviewItem>
      <errorID>621a5f08-dcff-4a14-906a-ce12fd477c5f</errorID>
      <errorWord>计</errorWord>
      <group>L1_Word</group>
      <groupName>字词问题</groupName>
      <ability>L2_Typo</ability>
      <abilityName>字词错误</abilityName>
      <candidateList>
        <item>计算</item>
      </candidateList>
      <explain/>
      <paraID>64206AAA</paraID>
      <start>169</start>
      <end>170</end>
      <status>unmodified</status>
      <modifiedWord/>
      <trackRevisions>false</trackRevisions>
    </reviewItem>
    <reviewItem>
      <errorID>acc9cd38-ce73-4558-8c44-f2dcc988b66b</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4BE40F49</paraID>
      <start>263</start>
      <end>264</end>
      <status>unmodified</status>
      <modifiedWord/>
      <trackRevisions>false</trackRevisions>
    </reviewItem>
    <reviewItem>
      <errorID>e84ac6b6-3d31-42c2-a032-d13f18b36093</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4BE40F49</paraID>
      <start>275</start>
      <end>276</end>
      <status>unmodified</status>
      <modifiedWord/>
      <trackRevisions>false</trackRevisions>
    </reviewItem>
    <reviewItem>
      <errorID>2e33059f-79ba-414b-ab9f-ef3f6ca6a709</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4BE40F49</paraID>
      <start>293</start>
      <end>294</end>
      <status>unmodified</status>
      <modifiedWord/>
      <trackRevisions>false</trackRevisions>
    </reviewItem>
    <reviewItem>
      <errorID>66338558-b1f0-42b4-8491-0dd3b9ec4d1f</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4BE40F49</paraID>
      <start>307</start>
      <end>308</end>
      <status>unmodified</status>
      <modifiedWord/>
      <trackRevisions>false</trackRevisions>
    </reviewItem>
    <reviewItem>
      <errorID>09145d53-27ad-4241-a6be-0071a1e98949</errorID>
      <errorWord>工序的</errorWord>
      <group>L1_Word</group>
      <groupName>字词问题</groupName>
      <ability>L2_Typo</ability>
      <abilityName>字词错误</abilityName>
      <candidateList>
        <item>工序</item>
      </candidateList>
      <explain/>
      <paraID>1369A36F</paraID>
      <start>152</start>
      <end>154</end>
      <status>modified</status>
      <modifiedWord>工序</modifiedWord>
      <trackRevisions>false</trackRevisions>
    </reviewItem>
    <reviewItem>
      <errorID>5e66d191-108b-47bb-9466-426957902255</errorID>
      <errorWord>深入</errorWord>
      <group>L1_Word</group>
      <groupName>字词问题</groupName>
      <ability>L2_Typo</ability>
      <abilityName>字词错误</abilityName>
      <candidateList>
        <item>渗入</item>
      </candidateList>
      <explain>〈动〉❶液体慢慢地渗到里面去：融化了的雪水～大地。❷比喻某种势力无孔不入地钻进来（多含贬义）。</explain>
      <paraID>26ECAC7E</paraID>
      <start>159</start>
      <end>161</end>
      <status>modified</status>
      <modifiedWord>渗入</modifiedWord>
      <trackRevisions>false</trackRevisions>
    </reviewItem>
    <reviewItem>
      <errorID>a04b42d2-66ca-4358-b439-26af19485c01</errorID>
      <errorWord>即涌水量</errorWord>
      <group>L1_Knowledge</group>
      <groupName>知识性问题</groupName>
      <ability>L2_Term</ability>
      <abilityName>专业术语</abilityName>
      <candidateList>
        <item>井涌水量</item>
      </candidateList>
      <explain/>
      <paraID>26ECAC7E</paraID>
      <start>168</start>
      <end>172</end>
      <status>unmodified</status>
      <modifiedWord/>
      <trackRevisions>false</trackRevisions>
    </reviewItem>
    <reviewItem>
      <errorID>e5f2f495-faaf-4f14-a671-2fdf926807ea</errorID>
      <errorWord>水质检测</errorWord>
      <group>L1_Word</group>
      <groupName>字词问题</groupName>
      <ability>L2_Typo</ability>
      <abilityName>字词错误</abilityName>
      <candidateList>
        <item>水质监测</item>
      </candidateList>
      <explain/>
      <paraID>26ECAC7E</paraID>
      <start>197</start>
      <end>201</end>
      <status>unmodified</status>
      <modifiedWord/>
      <trackRevisions>false</trackRevisions>
    </reviewItem>
    <reviewItem>
      <errorID>44a5329a-2b85-4bf7-bdef-198b2a6f4cc7</errorID>
      <errorWord>-</errorWord>
      <group>L1_Format</group>
      <groupName>格式问题</groupName>
      <ability>L2_HalfPunc</ability>
      <abilityName>全半角检查</abilityName>
      <candidateList>
        <item>－</item>
      </candidateList>
      <explain>文本全半角错误。</explain>
      <paraID>3C83C412</paraID>
      <start>3</start>
      <end>4</end>
      <status>unmodified</status>
      <modifiedWord/>
      <trackRevisions>false</trackRevisions>
    </reviewItem>
    <reviewItem>
      <errorID>3fa47e8d-d7cd-4595-bfb4-b890385f51c8</errorID>
      <errorWord>-</errorWord>
      <group>L1_Format</group>
      <groupName>格式问题</groupName>
      <ability>L2_HalfPunc</ability>
      <abilityName>全半角检查</abilityName>
      <candidateList>
        <item>－</item>
      </candidateList>
      <explain>文本全半角错误。</explain>
      <paraID>43AE47D3</paraID>
      <start>3</start>
      <end>4</end>
      <status>unmodified</status>
      <modifiedWord/>
      <trackRevisions>false</trackRevisions>
    </reviewItem>
    <reviewItem>
      <errorID>12f45b55-c067-4afb-8587-1e588874d047</errorID>
      <errorWord>-</errorWord>
      <group>L1_Format</group>
      <groupName>格式问题</groupName>
      <ability>L2_HalfPunc</ability>
      <abilityName>全半角检查</abilityName>
      <candidateList>
        <item>－</item>
      </candidateList>
      <explain>文本全半角错误。</explain>
      <paraID>1825D268</paraID>
      <start>3</start>
      <end>4</end>
      <status>unmodified</status>
      <modifiedWord/>
      <trackRevisions>false</trackRevisions>
    </reviewItem>
    <reviewItem>
      <errorID>3195b108-4078-45e3-be0b-35b0135012dc</errorID>
      <errorWord>-</errorWord>
      <group>L1_Format</group>
      <groupName>格式问题</groupName>
      <ability>L2_HalfPunc</ability>
      <abilityName>全半角检查</abilityName>
      <candidateList>
        <item>－</item>
      </candidateList>
      <explain>文本全半角错误。</explain>
      <paraID>6F39F24B</paraID>
      <start>3</start>
      <end>4</end>
      <status>unmodified</status>
      <modifiedWord/>
      <trackRevisions>false</trackRevisions>
    </reviewItem>
    <reviewItem>
      <errorID>107113c4-e0e8-48a9-9810-c5b329114baf</errorID>
      <errorWord>-</errorWord>
      <group>L1_Format</group>
      <groupName>格式问题</groupName>
      <ability>L2_HalfPunc</ability>
      <abilityName>全半角检查</abilityName>
      <candidateList>
        <item>－</item>
      </candidateList>
      <explain>文本全半角错误。</explain>
      <paraID>5EA1597E</paraID>
      <start>3</start>
      <end>4</end>
      <status>unmodified</status>
      <modifiedWord/>
      <trackRevisions>false</trackRevisions>
    </reviewItem>
    <reviewItem>
      <errorID>3289167b-06bf-4662-9cc4-903a5192e258</errorID>
      <errorWord>-</errorWord>
      <group>L1_Format</group>
      <groupName>格式问题</groupName>
      <ability>L2_HalfPunc</ability>
      <abilityName>全半角检查</abilityName>
      <candidateList>
        <item>－</item>
      </candidateList>
      <explain>文本全半角错误。</explain>
      <paraID>124D6C24</paraID>
      <start>3</start>
      <end>4</end>
      <status>unmodified</status>
      <modifiedWord/>
      <trackRevisions>false</trackRevisions>
    </reviewItem>
    <reviewItem>
      <errorID>0c09c588-e2e8-4da5-af24-b06332be4bbf</errorID>
      <errorWord>-</errorWord>
      <group>L1_Format</group>
      <groupName>格式问题</groupName>
      <ability>L2_HalfPunc</ability>
      <abilityName>全半角检查</abilityName>
      <candidateList>
        <item>－</item>
      </candidateList>
      <explain>文本全半角错误。</explain>
      <paraID>36DA2592</paraID>
      <start>3</start>
      <end>4</end>
      <status>unmodified</status>
      <modifiedWord/>
      <trackRevisions>false</trackRevisions>
    </reviewItem>
    <reviewItem>
      <errorID>8a35df94-3c76-4e57-8187-1ccdcefdfbfa</errorID>
      <errorWord>锅炉排水</errorWord>
      <group>L1_Knowledge</group>
      <groupName>知识性问题</groupName>
      <ability>L2_Term</ability>
      <abilityName>专业术语</abilityName>
      <candidateList>
        <item>锅炉排污</item>
      </candidateList>
      <explain/>
      <paraID>29765DA9</paraID>
      <start>63</start>
      <end>67</end>
      <status>unmodified</status>
      <modifiedWord/>
      <trackRevisions>false</trackRevisions>
    </reviewItem>
    <reviewItem>
      <errorID>f69f052b-35f1-4fa8-909e-0399a1d425ae</errorID>
      <errorWord>涌水处理站</errorWord>
      <group>L1_Knowledge</group>
      <groupName>知识性问题</groupName>
      <ability>L2_Term</ability>
      <abilityName>专业术语</abilityName>
      <candidateList>
        <item>污水处理站</item>
      </candidateList>
      <explain/>
      <paraID>478096B8</paraID>
      <start>52</start>
      <end>57</end>
      <status>unmodified</status>
      <modifiedWord/>
      <trackRevisions>false</trackRevisions>
    </reviewItem>
    <reviewItem>
      <errorID>e34e27e6-74fe-45f6-bf24-473f830152fd</errorID>
      <errorWord>涌水处理站</errorWord>
      <group>L1_Knowledge</group>
      <groupName>知识性问题</groupName>
      <ability>L2_Term</ability>
      <abilityName>专业术语</abilityName>
      <candidateList>
        <item>污水处理站</item>
      </candidateList>
      <explain/>
      <paraID>132B94A9</paraID>
      <start>52</start>
      <end>57</end>
      <status>unmodified</status>
      <modifiedWord/>
      <trackRevisions>false</trackRevisions>
    </reviewItem>
    <reviewItem>
      <errorID>8149a1de-6858-4ac8-89a8-d75059439d8e</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40C6A326</paraID>
      <start>0</start>
      <end>2</end>
      <status>unmodified</status>
      <modifiedWord/>
      <trackRevisions>false</trackRevisions>
    </reviewItem>
    <reviewItem>
      <errorID>cdcec2d4-0a64-4add-9c83-4832a8632f10</errorID>
      <errorWord>-</errorWord>
      <group>L1_Format</group>
      <groupName>格式问题</groupName>
      <ability>L2_HalfPunc</ability>
      <abilityName>全半角检查</abilityName>
      <candidateList>
        <item>－</item>
      </candidateList>
      <explain>文本全半角错误。</explain>
      <paraID>19ED7985</paraID>
      <start>54</start>
      <end>55</end>
      <status>unmodified</status>
      <modifiedWord/>
      <trackRevisions>false</trackRevisions>
    </reviewItem>
    <reviewItem>
      <errorID>3497462b-4ff0-4d82-af33-e832e014d0c8</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369CA7E3</paraID>
      <start>0</start>
      <end>2</end>
      <status>unmodified</status>
      <modifiedWord/>
      <trackRevisions>false</trackRevisions>
    </reviewItem>
    <reviewItem>
      <errorID>224bea65-cd07-4af7-9178-7f9bbf3d2373</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8BE6686</paraID>
      <start>0</start>
      <end>2</end>
      <status>unmodified</status>
      <modifiedWord/>
      <trackRevisions>false</trackRevisions>
    </reviewItem>
    <reviewItem>
      <errorID>7da92b30-561a-4194-a029-33d8259fe69a</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15D3EC6B</paraID>
      <start>0</start>
      <end>2</end>
      <status>unmodified</status>
      <modifiedWord/>
      <trackRevisions>false</trackRevisions>
    </reviewItem>
    <reviewItem>
      <errorID>a480632f-3a82-450f-90d0-6e95bb785c01</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43236866</paraID>
      <start>0</start>
      <end>2</end>
      <status>unmodified</status>
      <modifiedWord/>
      <trackRevisions>false</trackRevisions>
    </reviewItem>
    <reviewItem>
      <errorID>62cc99e3-5a26-4b37-96f1-1d47a4eac123</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1898FFE7</paraID>
      <start>0</start>
      <end>2</end>
      <status>unmodified</status>
      <modifiedWord/>
      <trackRevisions>false</trackRevisions>
    </reviewItem>
    <reviewItem>
      <errorID>daf5ec12-d787-47a7-8276-30fc5d4fe306</errorID>
      <errorWord>7、</errorWord>
      <group>L1_Format</group>
      <groupName>格式问题</groupName>
      <ability>L2_Ordinal</ability>
      <abilityName>序号格式</abilityName>
      <candidateList>
        <item>7.</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280EDDF3</paraID>
      <start>0</start>
      <end>2</end>
      <status>unmodified</status>
      <modifiedWord/>
      <trackRevisions>false</trackRevisions>
    </reviewItem>
    <reviewItem>
      <errorID>876da636-53f6-4db3-b72c-d60ba841c97d</errorID>
      <errorWord>8、</errorWord>
      <group>L1_Format</group>
      <groupName>格式问题</groupName>
      <ability>L2_Ordinal</ability>
      <abilityName>序号格式</abilityName>
      <candidateList>
        <item>8.</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10CA9B33</paraID>
      <start>0</start>
      <end>2</end>
      <status>unmodified</status>
      <modifiedWord/>
      <trackRevisions>false</trackRevisions>
    </reviewItem>
    <reviewItem>
      <errorID>aa84e6e7-3a0e-47c0-90cc-1c11f7ca3232</errorID>
      <errorWord>，</errorWord>
      <group>L1_Format</group>
      <groupName>格式问题</groupName>
      <ability>L2_HalfPunc</ability>
      <abilityName>全半角检查</abilityName>
      <candidateList>
        <item>, </item>
      </candidateList>
      <explain>文本全半角错误。</explain>
      <paraID> C86781B</paraID>
      <start>1</start>
      <end>2</end>
      <status>unmodified</status>
      <modifiedWord/>
      <trackRevisions>false</trackRevisions>
    </reviewItem>
    <reviewItem>
      <errorID>64ab26bf-e559-407c-8b61-5422287f9dcc</errorID>
      <errorWord>本次</errorWord>
      <group>L1_Word</group>
      <groupName>字词问题</groupName>
      <ability>L2_Typo</ability>
      <abilityName>字词错误</abilityName>
      <candidateList>
        <item>本文</item>
      </candidateList>
      <explain/>
      <paraID>5730E5EB</paraID>
      <start>48</start>
      <end>50</end>
      <status>unmodified</status>
      <modifiedWord/>
      <trackRevisions>false</trackRevisions>
    </reviewItem>
    <reviewItem>
      <errorID>edba426a-a0a1-4db7-bd5b-b956958c5742</errorID>
      <errorWord>废水</errorWord>
      <group>L1_Word</group>
      <groupName>字词问题</groupName>
      <ability>L2_Typo</ability>
      <abilityName>字词错误</abilityName>
      <candidateList>
        <item>水</item>
      </candidateList>
      <explain/>
      <paraID>6040490B</paraID>
      <start>95</start>
      <end>96</end>
      <status>modified</status>
      <modifiedWord>水</modifiedWord>
      <trackRevisions>false</trackRevisions>
    </reviewItem>
    <reviewItem>
      <errorID>4850ed49-3e91-42e2-a8e4-ec181b14f1bc</errorID>
      <errorWord>情况下</errorWord>
      <group>L1_Word</group>
      <groupName>字词问题</groupName>
      <ability>L2_Typo</ability>
      <abilityName>字词错误</abilityName>
      <candidateList>
        <item>情况</item>
      </candidateList>
      <explain>〈名〉❶情形：思想～｜工作～｜～特殊。❷指军事上的变化，泛指事情的变化、动向：这两天前线没有什么～｜他俩的关系最近又有了新的～。</explain>
      <paraID>4C632AAC</paraID>
      <start>22</start>
      <end>25</end>
      <status>unmodified</status>
      <modifiedWord/>
      <trackRevisions>false</trackRevisions>
    </reviewItem>
    <reviewItem>
      <errorID>09cb6f31-f616-4503-97f8-d1ffe97d6ed1</errorID>
      <errorWord>泄露</errorWord>
      <group>L1_Word</group>
      <groupName>字词问题</groupName>
      <ability>L2_Typo</ability>
      <abilityName>字词错误</abilityName>
      <candidateList>
        <item>泄漏</item>
      </candidateList>
      <explain>存在发音相同字词的误用。</explain>
      <paraID> 796494A</paraID>
      <start>178</start>
      <end>180</end>
      <status>unmodified</status>
      <modifiedWord/>
      <trackRevisions>false</trackRevisions>
    </reviewItem>
    <reviewItem>
      <errorID>091e2596-643e-4ab7-8696-ac1aa66bf24e</errorID>
      <errorWord>涌水处理站</errorWord>
      <group>L1_Knowledge</group>
      <groupName>知识性问题</groupName>
      <ability>L2_Term</ability>
      <abilityName>专业术语</abilityName>
      <candidateList>
        <item>污水处理站</item>
      </candidateList>
      <explain/>
      <paraID>2788CC8E</paraID>
      <start>0</start>
      <end>5</end>
      <status>unmodified</status>
      <modifiedWord/>
      <trackRevisions>false</trackRevisions>
    </reviewItem>
    <reviewItem>
      <errorID>d4f5d5b3-d984-4175-a32f-1b5d1aee3d5e</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4558132F</paraID>
      <start>0</start>
      <end>2</end>
      <status>unmodified</status>
      <modifiedWord/>
      <trackRevisions>false</trackRevisions>
    </reviewItem>
    <reviewItem>
      <errorID>d55764aa-0dfb-45e5-acad-41fc749865b0</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427D6E42</paraID>
      <start>0</start>
      <end>2</end>
      <status>unmodified</status>
      <modifiedWord/>
      <trackRevisions>false</trackRevisions>
    </reviewItem>
    <reviewItem>
      <errorID>e3e214af-634a-455d-b0d9-8812769b8379</errorID>
      <errorWord>磨擦等</errorWord>
      <group>L1_Word</group>
      <groupName>字词问题</groupName>
      <ability>L2_Variant</ability>
      <abilityName>异形词</abilityName>
      <candidateList>
        <item>摩擦等</item>
      </candidateList>
      <explain>词汇[磨擦等]的规范词形写作[摩擦等]。</explain>
      <paraID>65FC8618</paraID>
      <start>60</start>
      <end>63</end>
      <status>modified</status>
      <modifiedWord>摩擦等</modifiedWord>
      <trackRevisions>false</trackRevisions>
    </reviewItem>
    <reviewItem>
      <errorID>17ca47ac-ec2b-46e3-abdd-ae7967d81194</errorID>
      <errorWord>拌合</errorWord>
      <group>L1_Word</group>
      <groupName>字词问题</groupName>
      <ability>L2_Typo</ability>
      <abilityName>字词错误</abilityName>
      <candidateList>
        <item>拌和</item>
      </candidateList>
      <explain/>
      <paraID>7362CC38</paraID>
      <start>22</start>
      <end>24</end>
      <status>unmodified</status>
      <modifiedWord/>
      <trackRevisions>false</trackRevisions>
    </reviewItem>
    <reviewItem>
      <errorID>bec14604-5660-468c-b8f7-f4f305d356ae</errorID>
      <errorWord>增加</errorWord>
      <group>L1_Word</group>
      <groupName>字词问题</groupName>
      <ability>L2_Typo</ability>
      <abilityName>字词错误</abilityName>
      <candidateList>
        <item>提高</item>
      </candidateList>
      <explain>“增加～效率”搭配不当，建议修改为“提高～效率”。</explain>
      <paraID>4DEAE8CF</paraID>
      <start>34</start>
      <end>36</end>
      <status>unmodified</status>
      <modifiedWord/>
      <trackRevisions>false</trackRevisions>
    </reviewItem>
    <reviewItem>
      <errorID>b8c6b69b-75ed-49d5-967d-5c77e5cdda9a</errorID>
      <errorWord>法律、法规</errorWord>
      <group>L1_Word</group>
      <groupName>字词问题</groupName>
      <ability>L2_Typo</ability>
      <abilityName>字词错误</abilityName>
      <candidateList>
        <item>法律法规</item>
      </candidateList>
      <explain/>
      <paraID>65CDA3A8</paraID>
      <start>135</start>
      <end>140</end>
      <status>unmodified</status>
      <modifiedWord/>
      <trackRevisions>false</trackRevisions>
    </reviewItem>
    <reviewItem>
      <errorID>ee86197c-7b01-4a10-a0fc-ed1da01109c6</errorID>
      <errorWord>评价指数</errorWord>
      <group>L1_Knowledge</group>
      <groupName>知识性问题</groupName>
      <ability>L2_Term</ability>
      <abilityName>专业术语</abilityName>
      <candidateList>
        <item>物价指数</item>
      </candidateList>
      <explain/>
      <paraID>5A941617</paraID>
      <start>3</start>
      <end>7</end>
      <status>unmodified</status>
      <modifiedWord/>
      <trackRevisions>false</trackRevisions>
    </reviewItem>
    <reviewItem>
      <errorID>149c6d12-4d77-46a0-b049-e721306550d1</errorID>
      <errorWord>清洁生产促进法</errorWord>
      <group>L1_Knowledge</group>
      <groupName>知识性问题</groupName>
      <ability>L2_Knowledge</ability>
      <abilityName>其他知识</abilityName>
      <candidateList>
        <item>中华人民共和国清洁生产促进法</item>
      </candidateList>
      <explain>当前法律法规名称使用简称，请注意是否应当使用全称。</explain>
      <paraID> CFFBFE6</paraID>
      <start>3</start>
      <end>17</end>
      <status>modified</status>
      <modifiedWord>中华人民共和国清洁生产促进法</modifiedWord>
      <trackRevisions>false</trackRevisions>
    </reviewItem>
    <reviewItem>
      <errorID>090da531-b3e6-43d0-81c7-23752e11784f</errorID>
      <errorWord>二次</errorWord>
      <group>L1_Word</group>
      <groupName>字词问题</groupName>
      <ability>L2_Typo</ability>
      <abilityName>字词错误</abilityName>
      <candidateList>
        <item>两次</item>
      </candidateList>
      <explain/>
      <paraID>2F70CFBD</paraID>
      <start>10</start>
      <end>12</end>
      <status>modified</status>
      <modifiedWord>两次</modifiedWord>
      <trackRevisions>false</trackRevisions>
    </reviewItem>
    <reviewItem>
      <errorID>6b517022-83d8-4697-a078-c7bf8d12ce03</errorID>
      <errorWord>随之而</errorWord>
      <group>L1_Word</group>
      <groupName>字词问题</groupName>
      <ability>L2_Typo</ability>
      <abilityName>字词错误</abilityName>
      <candidateList>
        <item>随之</item>
      </candidateList>
      <explain/>
      <paraID> 863B4D5</paraID>
      <start>28</start>
      <end>30</end>
      <status>modified</status>
      <modifiedWord>随之</modifiedWord>
      <trackRevisions>false</trackRevisions>
    </reviewItem>
    <reviewItem>
      <errorID>194390d3-ecac-4794-85d1-d411ed630b17</errorID>
      <errorWord>结构</errorWord>
      <group>L1_Word</group>
      <groupName>字词问题</groupName>
      <ability>L2_Typo</ability>
      <abilityName>字词错误</abilityName>
      <candidateList>
        <item>机构</item>
      </candidateList>
      <explain/>
      <paraID> 863B4D5</paraID>
      <start>43</start>
      <end>45</end>
      <status>modified</status>
      <modifiedWord>机构</modifiedWord>
      <trackRevisions>false</trackRevisions>
    </reviewItem>
    <reviewItem>
      <errorID>f753c023-0ce2-4d9c-868c-61cad51313c8</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2AFF34FE</paraID>
      <start>102</start>
      <end>103</end>
      <status>unmodified</status>
      <modifiedWord/>
      <trackRevisions>false</trackRevisions>
    </reviewItem>
    <reviewItem>
      <errorID>2aefeeee-818c-4f30-a081-f2b6a301befb</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2AFF34FE</paraID>
      <start>158</start>
      <end>159</end>
      <status>unmodified</status>
      <modifiedWord/>
      <trackRevisions>false</trackRevisions>
    </reviewItem>
    <reviewItem>
      <errorID>7305a6e8-d84c-4aae-b992-53dabe625c74</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2AFF34FE</paraID>
      <start>190</start>
      <end>191</end>
      <status>unmodified</status>
      <modifiedWord/>
      <trackRevisions>false</trackRevisions>
    </reviewItem>
    <reviewItem>
      <errorID>1f8ecf17-7af1-4787-a63d-9a8d5f150d2d</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2A7B362C</paraID>
      <start>0</start>
      <end>2</end>
      <status>unmodified</status>
      <modifiedWord/>
      <trackRevisions>false</trackRevisions>
    </reviewItem>
    <reviewItem>
      <errorID>2f41795e-0b4e-49bf-9881-8272617f0b31</errorID>
      <errorWord>-</errorWord>
      <group>L1_Format</group>
      <groupName>格式问题</groupName>
      <ability>L2_HalfPunc</ability>
      <abilityName>全半角检查</abilityName>
      <candidateList>
        <item>－</item>
      </candidateList>
      <explain>文本全半角错误。</explain>
      <paraID>4D642CA7</paraID>
      <start>51</start>
      <end>52</end>
      <status>unmodified</status>
      <modifiedWord/>
      <trackRevisions>false</trackRevisions>
    </reviewItem>
    <reviewItem>
      <errorID>1ec1271c-46a6-4642-8f4a-35da24d734d2</errorID>
      <errorWord>-</errorWord>
      <group>L1_Format</group>
      <groupName>格式问题</groupName>
      <ability>L2_HalfPunc</ability>
      <abilityName>全半角检查</abilityName>
      <candidateList>
        <item>－</item>
      </candidateList>
      <explain>文本全半角错误。</explain>
      <paraID>4D642CA7</paraID>
      <start>67</start>
      <end>68</end>
      <status>unmodified</status>
      <modifiedWord/>
      <trackRevisions>false</trackRevisions>
    </reviewItem>
    <reviewItem>
      <errorID>a2045cc0-00ea-447a-b8a6-db01216a60a3</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223130C8</paraID>
      <start>64</start>
      <end>65</end>
      <status>unmodified</status>
      <modifiedWord/>
      <trackRevisions>false</trackRevisions>
    </reviewItem>
    <reviewItem>
      <errorID>7b879643-ac2f-4577-b531-cceed258d4bf</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33915FAA</paraID>
      <start>0</start>
      <end>2</end>
      <status>unmodified</status>
      <modifiedWord/>
      <trackRevisions>false</trackRevisions>
    </reviewItem>
    <reviewItem>
      <errorID>13cf98c5-26d7-4199-a838-613243a0f25c</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2C6BA137</paraID>
      <start>0</start>
      <end>2</end>
      <status>unmodified</status>
      <modifiedWord/>
      <trackRevisions>false</trackRevisions>
    </reviewItem>
    <reviewItem>
      <errorID>addc33df-af5d-4849-b454-bf362c4263a4</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5A425D05</paraID>
      <start>0</start>
      <end>2</end>
      <status>unmodified</status>
      <modifiedWord/>
      <trackRevisions>false</trackRevisions>
    </reviewItem>
    <reviewItem>
      <errorID>32ae9943-4cfd-4fb0-b2fb-437f1fa8695d</errorID>
      <errorWord>具</errorWord>
      <group>L1_Word</group>
      <groupName>字词问题</groupName>
      <ability>L2_Typo</ability>
      <abilityName>字词错误</abilityName>
      <candidateList>
        <item>具有</item>
      </candidateList>
      <explain>〈动〉有（多用于抽象事物）：～信心｜～伟大的意义。</explain>
      <paraID>61FEBC9C</paraID>
      <start>81</start>
      <end>82</end>
      <status>unmodified</status>
      <modifiedWord/>
      <trackRevisions>false</trackRevisions>
    </reviewItem>
    <reviewItem>
      <errorID>2b0bed9d-c5a6-4d1b-9fa1-0e3c498759d9</errorID>
      <errorWord>型</errorWord>
      <group>L1_Word</group>
      <groupName>字词问题</groupName>
      <ability>L2_Typo</ability>
      <abilityName>字词错误</abilityName>
      <candidateList>
        <item>形</item>
      </candidateList>
      <explain>存在发音相同字词的误用。</explain>
      <paraID>61FEBC9C</paraID>
      <start>118</start>
      <end>119</end>
      <status>unmodified</status>
      <modifiedWord/>
      <trackRevisions>false</trackRevisions>
    </reviewItem>
    <reviewItem>
      <errorID>e4cf55bf-1b81-4bd6-a938-66fd9b80dbf7</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18149304</paraID>
      <start>0</start>
      <end>2</end>
      <status>unmodified</status>
      <modifiedWord/>
      <trackRevisions>false</trackRevisions>
    </reviewItem>
    <reviewItem>
      <errorID>ed6189f5-bcf3-4ead-af84-a884ee4527e0</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23132A8D</paraID>
      <start>56</start>
      <end>57</end>
      <status>unmodified</status>
      <modifiedWord/>
      <trackRevisions>false</trackRevisions>
    </reviewItem>
    <reviewItem>
      <errorID>8a61ecc1-b68e-4eb1-929a-e0d4923773ab</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23132A8D</paraID>
      <start>72</start>
      <end>73</end>
      <status>unmodified</status>
      <modifiedWord/>
      <trackRevisions>false</trackRevisions>
    </reviewItem>
    <reviewItem>
      <errorID>57a89d8a-0b42-47cb-b161-71e702d8e1d5</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23132A8D</paraID>
      <start>175</start>
      <end>176</end>
      <status>unmodified</status>
      <modifiedWord/>
      <trackRevisions>false</trackRevisions>
    </reviewItem>
    <reviewItem>
      <errorID>6cf78ae1-4a65-493b-a2ee-a677ab934d21</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23132A8D</paraID>
      <start>185</start>
      <end>186</end>
      <status>unmodified</status>
      <modifiedWord/>
      <trackRevisions>false</trackRevisions>
    </reviewItem>
    <reviewItem>
      <errorID>0d593c2b-3cff-4211-a4cc-74d5530aebbf</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47581623</paraID>
      <start>91</start>
      <end>92</end>
      <status>unmodified</status>
      <modifiedWord/>
      <trackRevisions>false</trackRevisions>
    </reviewItem>
    <reviewItem>
      <errorID>f2a89137-fcad-42f8-9e7b-80ec3466e554</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47581623</paraID>
      <start>131</start>
      <end>132</end>
      <status>unmodified</status>
      <modifiedWord/>
      <trackRevisions>false</trackRevisions>
    </reviewItem>
    <reviewItem>
      <errorID>1639a36d-5493-4382-b6ed-6ac4b33bdc34</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47581623</paraID>
      <start>144</start>
      <end>145</end>
      <status>unmodified</status>
      <modifiedWord/>
      <trackRevisions>false</trackRevisions>
    </reviewItem>
    <reviewItem>
      <errorID>a579cd82-77e0-4fde-9868-a5a3d6e5e0fa</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47581623</paraID>
      <start>204</start>
      <end>205</end>
      <status>unmodified</status>
      <modifiedWord/>
      <trackRevisions>false</trackRevisions>
    </reviewItem>
    <reviewItem>
      <errorID>a0ceb95a-a8ea-4eb9-b403-0fccdf288d59</errorID>
      <errorWord>993.2百</errorWord>
      <group>L1_Knowledge</group>
      <groupName>知识性问题</groupName>
      <ability>L2_Knowledge</ability>
      <abilityName>其他知识</abilityName>
      <candidateList>
        <item>99320</item>
      </candidateList>
      <explain/>
      <paraID>163D2894</paraID>
      <start>58</start>
      <end>64</end>
      <status>unmodified</status>
      <modifiedWord/>
      <trackRevisions>false</trackRevisions>
    </reviewItem>
    <reviewItem>
      <errorID>97fd9770-dc5b-4397-a466-b86292cff281</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289D7DE</paraID>
      <start>209</start>
      <end>210</end>
      <status>unmodified</status>
      <modifiedWord/>
      <trackRevisions>false</trackRevisions>
    </reviewItem>
    <reviewItem>
      <errorID>2f542264-3a09-4689-9d08-3cf9c9a1d478</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31DC98FA</paraID>
      <start>64</start>
      <end>65</end>
      <status>unmodified</status>
      <modifiedWord/>
      <trackRevisions>false</trackRevisions>
    </reviewItem>
    <reviewItem>
      <errorID>e0746e2c-a985-49b3-ac70-e0898dd78325</errorID>
      <errorWord>马鞍型</errorWord>
      <group>L1_Word</group>
      <groupName>字词问题</groupName>
      <ability>L2_Typo</ability>
      <abilityName>字词错误</abilityName>
      <candidateList>
        <item>马鞍形</item>
      </candidateList>
      <explain/>
      <paraID>31DC98FA</paraID>
      <start>100</start>
      <end>103</end>
      <status>unmodified</status>
      <modifiedWord/>
      <trackRevisions>false</trackRevisions>
    </reviewItem>
    <reviewItem>
      <errorID>c92f2e08-e640-4663-a877-525757b661fb</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69BB4F86</paraID>
      <start>0</start>
      <end>2</end>
      <status>unmodified</status>
      <modifiedWord/>
      <trackRevisions>false</trackRevisions>
    </reviewItem>
    <reviewItem>
      <errorID>5b22fd59-ed02-469a-920a-427e5074e223</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DE5B34E</paraID>
      <start>0</start>
      <end>2</end>
      <status>unmodified</status>
      <modifiedWord/>
      <trackRevisions>false</trackRevisions>
    </reviewItem>
    <reviewItem>
      <errorID>3c14465a-8999-4390-9d08-df2453ef1692</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7926C88</paraID>
      <start>81</start>
      <end>82</end>
      <status>unmodified</status>
      <modifiedWord/>
      <trackRevisions>false</trackRevisions>
    </reviewItem>
    <reviewItem>
      <errorID>fcd2fa35-3678-4c97-a543-d5ddcdf967f4</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7926C88</paraID>
      <start>112</start>
      <end>113</end>
      <status>unmodified</status>
      <modifiedWord/>
      <trackRevisions>false</trackRevisions>
    </reviewItem>
    <reviewItem>
      <errorID>f900b87f-fc7e-404e-b4d6-62aee51784aa</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3F6AA27A</paraID>
      <start>0</start>
      <end>2</end>
      <status>unmodified</status>
      <modifiedWord/>
      <trackRevisions>false</trackRevisions>
    </reviewItem>
    <reviewItem>
      <errorID>05b8acf4-429e-4a28-8b61-bd939a2b4733</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2B32CACE</paraID>
      <start>0</start>
      <end>2</end>
      <status>unmodified</status>
      <modifiedWord/>
      <trackRevisions>false</trackRevisions>
    </reviewItem>
    <reviewItem>
      <errorID>db42142d-3766-4933-8fa4-d588d1cb189b</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7A01A8A3</paraID>
      <start>0</start>
      <end>2</end>
      <status>unmodified</status>
      <modifiedWord/>
      <trackRevisions>false</trackRevisions>
    </reviewItem>
    <reviewItem>
      <errorID>d5d65c02-05f0-4584-b312-bc402ea32c0f</errorID>
      <errorWord>叫做</errorWord>
      <group>L1_Word</group>
      <groupName>字词问题</groupName>
      <ability>L2_Alias</ability>
      <abilityName>也作/曾用词</abilityName>
      <candidateList>
        <item>叫作</item>
      </candidateList>
      <explain>词汇[叫做]为不规范表述或旧称，其规范书面表述为[叫作]。</explain>
      <paraID>7443CA3C</paraID>
      <start>170</start>
      <end>172</end>
      <status>unmodified</status>
      <modifiedWord/>
      <trackRevisions>false</trackRevisions>
    </reviewItem>
    <reviewItem>
      <errorID>2676b86a-2f14-4770-b1a6-0cecaf224eda</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4149E496</paraID>
      <start>0</start>
      <end>2</end>
      <status>unmodified</status>
      <modifiedWord/>
      <trackRevisions>false</trackRevisions>
    </reviewItem>
    <reviewItem>
      <errorID>f31e58cf-fc15-41e9-9629-bc71dbd37f8b</errorID>
      <errorWord>农业部</errorWord>
      <group>L1_Knowledge</group>
      <groupName>知识性问题</groupName>
      <ability>L2_Knowledge</ability>
      <abilityName>其他知识</abilityName>
      <candidateList>
        <item>农业农村部</item>
      </candidateList>
      <explain/>
      <paraID>17C7BF02</paraID>
      <start>38</start>
      <end>41</end>
      <status>unmodified</status>
      <modifiedWord/>
      <trackRevisions>false</trackRevisions>
    </reviewItem>
    <reviewItem>
      <errorID>779be8e3-9f70-46d6-a501-5bf603510ea7</errorID>
      <errorWord>-</errorWord>
      <group>L1_Format</group>
      <groupName>格式问题</groupName>
      <ability>L2_HalfPunc</ability>
      <abilityName>全半角检查</abilityName>
      <candidateList>
        <item>－</item>
      </candidateList>
      <explain>文本全半角错误。</explain>
      <paraID>17C7BF02</paraID>
      <start>491</start>
      <end>492</end>
      <status>unmodified</status>
      <modifiedWord/>
      <trackRevisions>false</trackRevisions>
    </reviewItem>
    <reviewItem>
      <errorID>f58ffa0a-e31f-4796-9071-7114af008685</errorID>
      <errorWord>其它保护</errorWord>
      <group>L1_Word</group>
      <groupName>字词问题</groupName>
      <ability>L2_Alias</ability>
      <abilityName>也作/曾用词</abilityName>
      <candidateList>
        <item>其他保护</item>
      </candidateList>
      <explain>词汇[其它保护]为不规范表述或旧称，其规范书面表述为[其他保护]。</explain>
      <paraID>17C7BF02</paraID>
      <start>634</start>
      <end>638</end>
      <status>unmodified</status>
      <modifiedWord/>
      <trackRevisions>false</trackRevisions>
    </reviewItem>
    <reviewItem>
      <errorID>be3a0aa8-50c9-4e90-824c-a07758fbcdbe</errorID>
      <errorWord>鱗</errorWord>
      <group>L1_Word</group>
      <groupName>字词问题</groupName>
      <ability>L2_Fanti</ability>
      <abilityName>繁转简</abilityName>
      <candidateList>
        <item>鳞</item>
      </candidateList>
      <explain/>
      <paraID>17C7BF02</paraID>
      <start>643</start>
      <end>644</end>
      <status>unmodified</status>
      <modifiedWord/>
      <trackRevisions>false</trackRevisions>
    </reviewItem>
    <reviewItem>
      <errorID>4c64566c-ab72-4030-b606-5e9329f4a822</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E03935E</paraID>
      <start>44</start>
      <end>45</end>
      <status>unmodified</status>
      <modifiedWord/>
      <trackRevisions>false</trackRevisions>
    </reviewItem>
    <reviewItem>
      <errorID>dbc7249b-5fd6-4b95-8990-e89777699b09</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E03935E</paraID>
      <start>69</start>
      <end>70</end>
      <status>unmodified</status>
      <modifiedWord/>
      <trackRevisions>false</trackRevisions>
    </reviewItem>
    <reviewItem>
      <errorID>2452b2eb-c431-4eb5-aebd-ca6092020324</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41E7B01E</paraID>
      <start>0</start>
      <end>2</end>
      <status>unmodified</status>
      <modifiedWord/>
      <trackRevisions>false</trackRevisions>
    </reviewItem>
    <reviewItem>
      <errorID>7c52606d-e97e-40ee-824b-5dd2012259ae</errorID>
      <errorWord>作如下</errorWord>
      <group>L1_Word</group>
      <groupName>字词问题</groupName>
      <ability>L2_Typo</ability>
      <abilityName>字词错误</abilityName>
      <candidateList>
        <item>做如下</item>
      </candidateList>
      <explain/>
      <paraID>4E929D3A</paraID>
      <start>64</start>
      <end>67</end>
      <status>modified</status>
      <modifiedWord>做如下</modifiedWord>
      <trackRevisions>false</trackRevisions>
    </reviewItem>
    <reviewItem>
      <errorID>4b2f2fd7-497a-4e5b-bcfe-5867c66fc399</errorID>
      <errorWord>；</errorWord>
      <group>L1_Word</group>
      <groupName>字词问题</groupName>
      <ability>L2_Typo</ability>
      <abilityName>字词错误</abilityName>
      <candidateList>
        <item>；在</item>
      </candidateList>
      <explain/>
      <paraID>62FA2FC8</paraID>
      <start>28</start>
      <end>29</end>
      <status>unmodified</status>
      <modifiedWord/>
      <trackRevisions>false</trackRevisions>
    </reviewItem>
    <reviewItem>
      <errorID>ce2fab6e-8796-4289-984e-75c99008176a</errorID>
      <errorWord>爱珲区</errorWord>
      <group>L1_Knowledge</group>
      <groupName>知识性问题</groupName>
      <ability>L2_Location</ability>
      <abilityName>地名检查</abilityName>
      <candidateList>
        <item>爱辉区</item>
      </candidateList>
      <explain>地名表述错误</explain>
      <paraID>3B6D9E24</paraID>
      <start>27</start>
      <end>30</end>
      <status>modified</status>
      <modifiedWord>爱辉区</modifiedWord>
      <trackRevisions>false</trackRevisions>
    </reviewItem>
    <reviewItem>
      <errorID>49bd00c7-1106-4031-a73b-6049dee19703</errorID>
      <errorWord>-</errorWord>
      <group>L1_Format</group>
      <groupName>格式问题</groupName>
      <ability>L2_HalfPunc</ability>
      <abilityName>全半角检查</abilityName>
      <candidateList>
        <item>－</item>
      </candidateList>
      <explain>文本全半角错误。</explain>
      <paraID>2D679DA5</paraID>
      <start>24</start>
      <end>25</end>
      <status>unmodified</status>
      <modifiedWord/>
      <trackRevisions>false</trackRevisions>
    </reviewItem>
    <reviewItem>
      <errorID>37367fa8-00af-40ea-b90b-5f630bafd1d6</errorID>
      <errorWord>'</errorWord>
      <group>L1_Format</group>
      <groupName>格式问题</groupName>
      <ability>L2_HalfPunc</ability>
      <abilityName>全半角检查</abilityName>
      <candidateList/>
      <explain>文本全半角错误。</explain>
      <paraID>271A316C</paraID>
      <start>45</start>
      <end>46</end>
      <status>unmodified</status>
      <modifiedWord/>
      <trackRevisions>false</trackRevisions>
    </reviewItem>
    <reviewItem>
      <errorID>68021700-a3b4-44a4-ad7f-cc9ba2245cb0</errorID>
      <errorWord>'</errorWord>
      <group>L1_Format</group>
      <groupName>格式问题</groupName>
      <ability>L2_HalfPunc</ability>
      <abilityName>全半角检查</abilityName>
      <candidateList/>
      <explain>文本全半角错误。</explain>
      <paraID>271A316C</paraID>
      <start>73</start>
      <end>74</end>
      <status>unmodified</status>
      <modifiedWord/>
      <trackRevisions>false</trackRevisions>
    </reviewItem>
    <reviewItem>
      <errorID>2179ec73-4f8e-4036-9ce7-0be6c8138a8a</errorID>
      <errorWord>具</errorWord>
      <group>L1_Word</group>
      <groupName>字词问题</groupName>
      <ability>L2_Typo</ability>
      <abilityName>字词错误</abilityName>
      <candidateList>
        <item>具有</item>
      </candidateList>
      <explain>〈动〉有（多用于抽象事物）：～信心｜～伟大的意义。</explain>
      <paraID>271A316C</paraID>
      <start>350</start>
      <end>351</end>
      <status>unmodified</status>
      <modifiedWord/>
      <trackRevisions>false</trackRevisions>
    </reviewItem>
    <reviewItem>
      <errorID>60a65f57-510d-48c1-942e-1c742cfc772a</errorID>
      <errorWord>标</errorWord>
      <group>L1_Word</group>
      <groupName>字词问题</groupName>
      <ability>L2_Typo</ability>
      <abilityName>字词错误</abilityName>
      <candidateList>
        <item>栎</item>
      </candidateList>
      <explain>存在字形相近字词的误用。</explain>
      <paraID>271A316C</paraID>
      <start>363</start>
      <end>364</end>
      <status>modified</status>
      <modifiedWord>栎</modifiedWord>
      <trackRevisions>false</trackRevisions>
    </reviewItem>
    <reviewItem>
      <errorID>11e46fc6-052b-470e-8571-b88e39c79c62</errorID>
      <errorWord>,</errorWord>
      <group>L1_Format</group>
      <groupName>格式问题</groupName>
      <ability>L2_HalfPunc</ability>
      <abilityName>全半角检查</abilityName>
      <candidateList>
        <item>，</item>
      </candidateList>
      <explain>文本全半角错误。</explain>
      <paraID>271A316C</paraID>
      <start>488</start>
      <end>489</end>
      <status>unmodified</status>
      <modifiedWord/>
      <trackRevisions>false</trackRevisions>
    </reviewItem>
    <reviewItem>
      <errorID>d6e48a14-246d-40ba-bbf3-d4daf30ce0f7</errorID>
      <errorWord>1、</errorWord>
      <group>L1_Format</group>
      <groupName>格式问题</groupName>
      <ability>L2_Ordinal</ability>
      <abilityName>序号格式</abilityName>
      <candidateList>
        <item>1.</item>
      </candidateList>
      <explain>当前序号格式不规范，建议修改为规范格式[1.]。</explain>
      <paraID>1AF3F277</paraID>
      <start>0</start>
      <end>2</end>
      <status>unmodified</status>
      <modifiedWord/>
      <trackRevisions>false</trackRevisions>
    </reviewItem>
    <reviewItem>
      <errorID>c5619be7-be75-4576-9332-e6993ac5f34a</errorID>
      <errorWord>2、</errorWord>
      <group>L1_Format</group>
      <groupName>格式问题</groupName>
      <ability>L2_Ordinal</ability>
      <abilityName>序号格式</abilityName>
      <candidateList>
        <item>2.</item>
      </candidateList>
      <explain>当前序号格式不规范，建议修改为规范格式[2.]。</explain>
      <paraID>4F0702CD</paraID>
      <start>0</start>
      <end>2</end>
      <status>unmodified</status>
      <modifiedWord/>
      <trackRevisions>false</trackRevisions>
    </reviewItem>
    <reviewItem>
      <errorID>dbbfc1ff-24e9-44ab-ac49-13cc56e4b584</errorID>
      <errorWord>3、</errorWord>
      <group>L1_Format</group>
      <groupName>格式问题</groupName>
      <ability>L2_Ordinal</ability>
      <abilityName>序号格式</abilityName>
      <candidateList>
        <item>3.</item>
      </candidateList>
      <explain>当前序号格式不规范，建议修改为规范格式[3.]。</explain>
      <paraID>4738F28F</paraID>
      <start>0</start>
      <end>2</end>
      <status>unmodified</status>
      <modifiedWord/>
      <trackRevisions>false</trackRevisions>
    </reviewItem>
    <reviewItem>
      <errorID>8414c8fd-357d-4ded-be29-7962cb5fa4cb</errorID>
      <errorWord>4、</errorWord>
      <group>L1_Format</group>
      <groupName>格式问题</groupName>
      <ability>L2_Ordinal</ability>
      <abilityName>序号格式</abilityName>
      <candidateList>
        <item>4.</item>
      </candidateList>
      <explain>当前序号格式不规范，建议修改为规范格式[4.]。</explain>
      <paraID>6B8ED341</paraID>
      <start>0</start>
      <end>2</end>
      <status>unmodified</status>
      <modifiedWord/>
      <trackRevisions>false</trackRevisions>
    </reviewItem>
    <reviewItem>
      <errorID>1ad3849e-148c-4117-9a33-fd9a9a14e5ce</errorID>
      <errorWord>5、</errorWord>
      <group>L1_Format</group>
      <groupName>格式问题</groupName>
      <ability>L2_Ordinal</ability>
      <abilityName>序号格式</abilityName>
      <candidateList>
        <item>5.</item>
      </candidateList>
      <explain>当前序号格式不规范，建议修改为规范格式[5.]。</explain>
      <paraID>2CBC2A90</paraID>
      <start>0</start>
      <end>2</end>
      <status>unmodified</status>
      <modifiedWord/>
      <trackRevisions>false</trackRevisions>
    </reviewItem>
    <reviewItem>
      <errorID>414832cb-e755-4a19-9f51-dace76117b09</errorID>
      <errorWord>6、</errorWord>
      <group>L1_Format</group>
      <groupName>格式问题</groupName>
      <ability>L2_Ordinal</ability>
      <abilityName>序号格式</abilityName>
      <candidateList>
        <item>6.</item>
      </candidateList>
      <explain>当前序号格式不规范，建议修改为规范格式[6.]。</explain>
      <paraID>639D57C1</paraID>
      <start>0</start>
      <end>2</end>
      <status>unmodified</status>
      <modifiedWord/>
      <trackRevisions>false</trackRevisions>
    </reviewItem>
    <reviewItem>
      <errorID>302208da-b4de-460c-a425-7af6df218756</errorID>
      <errorWord>7、</errorWord>
      <group>L1_Format</group>
      <groupName>格式问题</groupName>
      <ability>L2_Ordinal</ability>
      <abilityName>序号格式</abilityName>
      <candidateList>
        <item>7.</item>
      </candidateList>
      <explain>当前序号格式不规范，建议修改为规范格式[7.]。</explain>
      <paraID>276DD18B</paraID>
      <start>0</start>
      <end>2</end>
      <status>unmodified</status>
      <modifiedWord/>
      <trackRevisions>false</trackRevisions>
    </reviewItem>
    <reviewItem>
      <errorID>6d91c745-c6f0-41bc-a207-fede010902d4</errorID>
      <errorWord>8、</errorWord>
      <group>L1_Format</group>
      <groupName>格式问题</groupName>
      <ability>L2_Ordinal</ability>
      <abilityName>序号格式</abilityName>
      <candidateList>
        <item>8.</item>
      </candidateList>
      <explain>当前序号格式不规范，建议修改为规范格式[8.]。</explain>
      <paraID>1CA8A021</paraID>
      <start>0</start>
      <end>2</end>
      <status>unmodified</status>
      <modifiedWord/>
      <trackRevisions>false</trackRevisions>
    </reviewItem>
    <reviewItem>
      <errorID>6c20f0c1-7754-421c-9e72-f8ca1ed98b73</errorID>
      <errorWord>9、</errorWord>
      <group>L1_Format</group>
      <groupName>格式问题</groupName>
      <ability>L2_Ordinal</ability>
      <abilityName>序号格式</abilityName>
      <candidateList>
        <item>9.</item>
      </candidateList>
      <explain>当前序号格式不规范，建议修改为规范格式[9.]。</explain>
      <paraID>2528F20D</paraID>
      <start>0</start>
      <end>2</end>
      <status>unmodified</status>
      <modifiedWord/>
      <trackRevisions>false</trackRevisions>
    </reviewItem>
    <reviewItem>
      <errorID>d35a033c-4c63-4368-acb3-6369fac4e252</errorID>
      <errorWord>10、</errorWord>
      <group>L1_Format</group>
      <groupName>格式问题</groupName>
      <ability>L2_Ordinal</ability>
      <abilityName>序号格式</abilityName>
      <candidateList>
        <item>10.</item>
      </candidateList>
      <explain>当前序号格式不规范，建议修改为规范格式[10.]。</explain>
      <paraID>792BABCA</paraID>
      <start>0</start>
      <end>3</end>
      <status>unmodified</status>
      <modifiedWord/>
      <trackRevisions>false</trackRevisions>
    </reviewItem>
    <reviewItem>
      <errorID>1e5d9f97-db65-494e-9d01-be364822cf99</errorID>
      <errorWord>11、</errorWord>
      <group>L1_Format</group>
      <groupName>格式问题</groupName>
      <ability>L2_Ordinal</ability>
      <abilityName>序号格式</abilityName>
      <candidateList>
        <item>11.</item>
      </candidateList>
      <explain>当前序号格式不规范，建议修改为规范格式[11.]。</explain>
      <paraID>3FC4CFB0</paraID>
      <start>0</start>
      <end>3</end>
      <status>unmodified</status>
      <modifiedWord/>
      <trackRevisions>false</trackRevisions>
    </reviewItem>
    <reviewItem>
      <errorID>ccb67878-c21a-43b7-8c2b-c8a2591b630b</errorID>
      <errorWord>12、</errorWord>
      <group>L1_Format</group>
      <groupName>格式问题</groupName>
      <ability>L2_Ordinal</ability>
      <abilityName>序号格式</abilityName>
      <candidateList>
        <item>12.</item>
      </candidateList>
      <explain>当前序号格式不规范，建议修改为规范格式[12.]。</explain>
      <paraID>1CAB5955</paraID>
      <start>0</start>
      <end>3</end>
      <status>unmodified</status>
      <modifiedWord/>
      <trackRevisions>false</trackRevisions>
    </reviewItem>
    <reviewItem>
      <errorID>dbab5fc6-0a55-40dc-9ef3-c01ad47cbfa0</errorID>
      <errorWord>1、</errorWord>
      <group>L1_Format</group>
      <groupName>格式问题</groupName>
      <ability>L2_Ordinal</ability>
      <abilityName>序号格式</abilityName>
      <candidateList>
        <item>1.</item>
      </candidateList>
      <explain>当前序号格式不规范，建议修改为规范格式[1.]。</explain>
      <paraID>2314E08D</paraID>
      <start>0</start>
      <end>2</end>
      <status>unmodified</status>
      <modifiedWord/>
      <trackRevisions>false</trackRevisions>
    </reviewItem>
    <reviewItem>
      <errorID>b5973bcc-1911-4b0b-bd68-f8edd86331f5</errorID>
      <errorWord>2、</errorWord>
      <group>L1_Format</group>
      <groupName>格式问题</groupName>
      <ability>L2_Ordinal</ability>
      <abilityName>序号格式</abilityName>
      <candidateList>
        <item>2.</item>
      </candidateList>
      <explain>当前序号格式不规范，建议修改为规范格式[2.]。</explain>
      <paraID>71EC8D39</paraID>
      <start>0</start>
      <end>2</end>
      <status>unmodified</status>
      <modifiedWord/>
      <trackRevisions>false</trackRevisions>
    </reviewItem>
    <reviewItem>
      <errorID>5611a11b-5f65-49fc-afb7-4b16220612a7</errorID>
      <errorWord>-</errorWord>
      <group>L1_Format</group>
      <groupName>格式问题</groupName>
      <ability>L2_HalfPunc</ability>
      <abilityName>全半角检查</abilityName>
      <candidateList>
        <item>－</item>
      </candidateList>
      <explain>文本全半角错误。</explain>
      <paraID>68C6F266</paraID>
      <start>88</start>
      <end>89</end>
      <status>unmodified</status>
      <modifiedWord/>
      <trackRevisions>false</trackRevisions>
    </reviewItem>
    <reviewItem>
      <errorID>4787c14e-0e3e-48bc-bc48-aae43ba85dea</errorID>
      <errorWord>：&gt;</errorWord>
      <group>L1_Punc</group>
      <groupName>标点问题</groupName>
      <ability>L2_Punc</ability>
      <abilityName>标点符号检查</abilityName>
      <candidateList>
        <item>：</item>
      </candidateList>
      <explain/>
      <paraID>65CCA3C8</paraID>
      <start>3</start>
      <end>5</end>
      <status>unmodified</status>
      <modifiedWord/>
      <trackRevisions>false</trackRevisions>
    </reviewItem>
    <reviewItem>
      <errorID>cfec78d7-55ab-4498-867e-8fda8c20ce23</errorID>
      <errorWord>60-80%</errorWord>
      <group>L1_Knowledge</group>
      <groupName>知识性问题</groupName>
      <ability>L2_Knowledge</ability>
      <abilityName>其他知识</abilityName>
      <candidateList>
        <item>60%—80%</item>
      </candidateList>
      <explain>1. “60-80%”中的单位“%”仅出现在后一个数字上，容易引起歧义；根据《现代汉语标点符号数字用法规范手册》，数字表示范围两边需要使用统一的格式。2. 根据标点国标 4.13 中的规则，数字、时间或地域连接符应使用（视觉上更长的）“—”或“～”。</explain>
      <paraID>463F29D2</paraID>
      <start>5</start>
      <end>11</end>
      <status>unmodified</status>
      <modifiedWord/>
      <trackRevisions>false</trackRevisions>
    </reviewItem>
    <reviewItem>
      <errorID>ceb33580-e4f7-4baf-a481-6b6e953e45f4</errorID>
      <errorWord>40-60%</errorWord>
      <group>L1_Knowledge</group>
      <groupName>知识性问题</groupName>
      <ability>L2_Knowledge</ability>
      <abilityName>其他知识</abilityName>
      <candidateList>
        <item>40%—60%</item>
      </candidateList>
      <explain>1. “40-60%”中的单位“%”仅出现在后一个数字上，容易引起歧义；根据《现代汉语标点符号数字用法规范手册》，数字表示范围两边需要使用统一的格式。2. 根据标点国标 4.13 中的规则，数字、时间或地域连接符应使用（视觉上更长的）“—”或“～”。</explain>
      <paraID>746C7B85</paraID>
      <start>4</start>
      <end>10</end>
      <status>unmodified</status>
      <modifiedWord/>
      <trackRevisions>false</trackRevisions>
    </reviewItem>
    <reviewItem>
      <errorID>17f5b101-a788-41c9-a17a-f98630760375</errorID>
      <errorWord>20-40%</errorWord>
      <group>L1_Knowledge</group>
      <groupName>知识性问题</groupName>
      <ability>L2_Knowledge</ability>
      <abilityName>其他知识</abilityName>
      <candidateList>
        <item>20%—40%</item>
      </candidateList>
      <explain>1. “20-40%”中的单位“%”仅出现在后一个数字上，容易引起歧义；根据《现代汉语标点符号数字用法规范手册》，数字表示范围两边需要使用统一的格式。2. 根据标点国标 4.13 中的规则，数字、时间或地域连接符应使用（视觉上更长的）“—”或“～”。</explain>
      <paraID>15212E3B</paraID>
      <start>5</start>
      <end>11</end>
      <status>unmodified</status>
      <modifiedWord/>
      <trackRevisions>false</trackRevisions>
    </reviewItem>
    <reviewItem>
      <errorID>f0114188-8907-4c6e-a017-be75fae35720</errorID>
      <errorWord>0-20%</errorWord>
      <group>L1_Knowledge</group>
      <groupName>知识性问题</groupName>
      <ability>L2_Knowledge</ability>
      <abilityName>其他知识</abilityName>
      <candidateList>
        <item>0—20%</item>
      </candidateList>
      <explain>1. “0-20%”中的单位“%”仅出现在后一个数字上，容易引起歧义；根据《现代汉语标点符号数字用法规范手册》，数字表示范围两边需要使用统一的格式。2. 根据标点国标 4.13 中的规则，数字、时间或地域连接符应使用（视觉上更长的）“—”或“～”。</explain>
      <paraID>1A6DE91D</paraID>
      <start>4</start>
      <end>9</end>
      <status>unmodified</status>
      <modifiedWord/>
      <trackRevisions>false</trackRevisions>
    </reviewItem>
    <reviewItem>
      <errorID>cab6617c-2895-4a48-af99-f3e67a4c89a4</errorID>
      <errorWord>兽类</errorWord>
      <group>L1_Word</group>
      <groupName>字词问题</groupName>
      <ability>L2_Typo</ability>
      <abilityName>字词错误</abilityName>
      <candidateList>
        <item>鸟类</item>
      </candidateList>
      <explain/>
      <paraID> D00619E</paraID>
      <start>145</start>
      <end>147</end>
      <status>modified</status>
      <modifiedWord>鸟类</modifiedWord>
      <trackRevisions>false</trackRevisions>
    </reviewItem>
    <reviewItem>
      <errorID>88126cfa-644a-4a82-82af-ae3d579ffceb</errorID>
      <errorWord>或者</errorWord>
      <group>L1_Word</group>
      <groupName>字词问题</groupName>
      <ability>L2_Typo</ability>
      <abilityName>字词错误</abilityName>
      <candidateList>
        <item>或</item>
      </candidateList>
      <explain>❶〈副〉或许；也许：慰问团已经起程，明日上午～可到达。❷〈连〉或者v▲：～多～少｜不解决桥～船的问题，过河就是一句空话｜他生怕我没听清～不注意，所以又嘱咐了一遍。❸〈书〉〈代〉指示代词。某人；有的人：～告之曰。❹〈书〉副稍微：不可～缺｜不可～忽。</explain>
      <paraID> D00619E</paraID>
      <start>147</start>
      <end>149</end>
      <status>unmodified</status>
      <modifiedWord/>
      <trackRevisions>false</trackRevisions>
    </reviewItem>
    <reviewItem>
      <errorID>0f25275e-b359-4c1c-a2c7-369a806bf7fb</errorID>
      <errorWord>海拔高度</errorWord>
      <group>L1_Word</group>
      <groupName>字词问题</groupName>
      <ability>L2_Typo</ability>
      <abilityName>字词错误</abilityName>
      <candidateList>
        <item>海拔</item>
      </candidateList>
      <explain>〈名〉从平均海平面起算的高度。</explain>
      <paraID> D00619E</paraID>
      <start>255</start>
      <end>259</end>
      <status>unmodified</status>
      <modifiedWord/>
      <trackRevisions>false</trackRevisions>
    </reviewItem>
    <reviewItem>
      <errorID>be27204d-479d-4bed-bd70-dc77d52643c6</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2764FD8D</paraID>
      <start>0</start>
      <end>2</end>
      <status>unmodified</status>
      <modifiedWord/>
      <trackRevisions>false</trackRevisions>
    </reviewItem>
    <reviewItem>
      <errorID>ba02bb2f-3de3-456f-9c84-0555cd4900fb</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7DF5C6E1</paraID>
      <start>0</start>
      <end>2</end>
      <status>unmodified</status>
      <modifiedWord/>
      <trackRevisions>false</trackRevisions>
    </reviewItem>
    <reviewItem>
      <errorID>0c82eb48-109d-41a4-ad94-9bafe66a563f</errorID>
      <errorWord>（一）、</errorWord>
      <group>L1_Format</group>
      <groupName>格式问题</groupName>
      <ability>L2_Ordinal</ability>
      <abilityName>序号格式</abilityName>
      <candidateList>
        <item>（一）</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6916BEC9</paraID>
      <start>0</start>
      <end>4</end>
      <status>unmodified</status>
      <modifiedWord/>
      <trackRevisions>false</trackRevisions>
    </reviewItem>
    <reviewItem>
      <errorID>7fc0ce07-45aa-42f6-8411-2c7d1b0560fc</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1D8A2F49</paraID>
      <start>0</start>
      <end>2</end>
      <status>unmodified</status>
      <modifiedWord/>
      <trackRevisions>false</trackRevisions>
    </reviewItem>
    <reviewItem>
      <errorID>2dd722cf-8120-43b5-b8d0-3c2e3a83381c</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69188887</paraID>
      <start>0</start>
      <end>2</end>
      <status>unmodified</status>
      <modifiedWord/>
      <trackRevisions>false</trackRevisions>
    </reviewItem>
    <reviewItem>
      <errorID>c4954769-d53d-4aa9-b665-5c6adf916011</errorID>
      <errorWord>（二）、</errorWord>
      <group>L1_Format</group>
      <groupName>格式问题</groupName>
      <ability>L2_Ordinal</ability>
      <abilityName>序号格式</abilityName>
      <candidateList>
        <item>（二）</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C629E19</paraID>
      <start>0</start>
      <end>4</end>
      <status>unmodified</status>
      <modifiedWord/>
      <trackRevisions>false</trackRevisions>
    </reviewItem>
    <reviewItem>
      <errorID>e8e98b7e-1768-4d60-967d-80c5bd1b44a0</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7990E73C</paraID>
      <start>0</start>
      <end>2</end>
      <status>unmodified</status>
      <modifiedWord/>
      <trackRevisions>false</trackRevisions>
    </reviewItem>
    <reviewItem>
      <errorID>c6b514a0-423e-4ff1-9d93-44d8d1094406</errorID>
      <errorWord>（三）、</errorWord>
      <group>L1_Punc</group>
      <groupName>标点问题</groupName>
      <ability>L2_Punc</ability>
      <abilityName>标点符号检查</abilityName>
      <candidateList>
        <item>（三）</item>
      </candidateList>
      <explain>根据国标GB/T 15834-2011《标点符号用法》中的4.5.3.3节，带括号的汉字数字或阿拉伯数字表次序时，后面通常不加顿号。如“（一）指导思想”“（二）行动指南”。</explain>
      <paraID>2FC6A638</paraID>
      <start>0</start>
      <end>4</end>
      <status>unmodified</status>
      <modifiedWord/>
      <trackRevisions>false</trackRevisions>
    </reviewItem>
    <reviewItem>
      <errorID>0dffe70b-b536-4dff-a897-74e688a2a19b</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3F6792D2</paraID>
      <start>0</start>
      <end>2</end>
      <status>unmodified</status>
      <modifiedWord/>
      <trackRevisions>false</trackRevisions>
    </reviewItem>
    <reviewItem>
      <errorID>b1ad02c5-92e9-41aa-8020-8744a5e5cd59</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A02461B</paraID>
      <start>0</start>
      <end>2</end>
      <status>unmodified</status>
      <modifiedWord/>
      <trackRevisions>false</trackRevisions>
    </reviewItem>
    <reviewItem>
      <errorID>46f891e5-d439-47e6-b36d-f782bb5b00ed</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7803A956</paraID>
      <start>0</start>
      <end>2</end>
      <status>unmodified</status>
      <modifiedWord/>
      <trackRevisions>false</trackRevisions>
    </reviewItem>
    <reviewItem>
      <errorID>ecd855eb-3fa3-4a89-8b8b-dcd62430e9d2</errorID>
      <errorWord>（</errorWord>
      <group>L1_Punc</group>
      <groupName>标点问题</groupName>
      <ability>L2_Punc</ability>
      <abilityName>标点符号检查</abilityName>
      <candidateList/>
      <explain/>
      <paraID>6378342E</paraID>
      <start>116</start>
      <end>117</end>
      <status>unmodified</status>
      <modifiedWord/>
      <trackRevisions>false</trackRevisions>
    </reviewItem>
    <reviewItem>
      <errorID>6ee3517b-20b6-48d6-b5fa-255fe8489ec6</errorID>
      <errorWord>（一）、</errorWord>
      <group>L1_Format</group>
      <groupName>格式问题</groupName>
      <ability>L2_Ordinal</ability>
      <abilityName>序号格式</abilityName>
      <candidateList>
        <item>（一）</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733E69C5</paraID>
      <start>0</start>
      <end>4</end>
      <status>unmodified</status>
      <modifiedWord/>
      <trackRevisions>false</trackRevisions>
    </reviewItem>
    <reviewItem>
      <errorID>1b3a7c21-767d-45bc-ab0a-d7573382b1e2</errorID>
      <errorWord>1、</errorWord>
      <group>L1_Format</group>
      <groupName>格式问题</groupName>
      <ability>L2_Ordinal</ability>
      <abilityName>序号格式</abilityName>
      <candidateList>
        <item>1.</item>
      </candidateList>
      <explain>当前序号格式不规范，建议修改为规范格式[1.]。</explain>
      <paraID>1CB82E42</paraID>
      <start>0</start>
      <end>2</end>
      <status>unmodified</status>
      <modifiedWord/>
      <trackRevisions>false</trackRevisions>
    </reviewItem>
    <reviewItem>
      <errorID>cd6785c5-c62d-4c2b-b79d-518e87d28524</errorID>
      <errorWord>2、</errorWord>
      <group>L1_Format</group>
      <groupName>格式问题</groupName>
      <ability>L2_Ordinal</ability>
      <abilityName>序号格式</abilityName>
      <candidateList>
        <item>2.</item>
      </candidateList>
      <explain>当前序号格式不规范，建议修改为规范格式[2.]。</explain>
      <paraID>7EFF4094</paraID>
      <start>0</start>
      <end>2</end>
      <status>unmodified</status>
      <modifiedWord/>
      <trackRevisions>false</trackRevisions>
    </reviewItem>
    <reviewItem>
      <errorID>d2f1a59f-0a9a-42bd-9e26-19911c33027a</errorID>
      <errorWord>（二）、</errorWord>
      <group>L1_Punc</group>
      <groupName>标点问题</groupName>
      <ability>L2_Punc</ability>
      <abilityName>标点符号检查</abilityName>
      <candidateList>
        <item>（二）</item>
      </candidateList>
      <explain>根据国标GB/T 15834-2011《标点符号用法》中的4.5.3.3节，带括号的汉字数字或阿拉伯数字表次序时，后面通常不加顿号。如“（一）指导思想”“（二）行动指南”。</explain>
      <paraID> 64234D9</paraID>
      <start>0</start>
      <end>4</end>
      <status>unmodified</status>
      <modifiedWord/>
      <trackRevisions>false</trackRevisions>
    </reviewItem>
    <reviewItem>
      <errorID>db77084b-f795-4625-ad40-89f286ac180d</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384AB831</paraID>
      <start>0</start>
      <end>2</end>
      <status>unmodified</status>
      <modifiedWord/>
      <trackRevisions>false</trackRevisions>
    </reviewItem>
    <reviewItem>
      <errorID>6ada4952-9050-4ecb-ade9-a69eaf40f520</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62A695C3</paraID>
      <start>0</start>
      <end>2</end>
      <status>unmodified</status>
      <modifiedWord/>
      <trackRevisions>false</trackRevisions>
    </reviewItem>
    <reviewItem>
      <errorID>5a374cfe-ec3e-4967-900e-d1a29c66135d</errorID>
      <errorWord>（三）、</errorWord>
      <group>L1_Punc</group>
      <groupName>标点问题</groupName>
      <ability>L2_Punc</ability>
      <abilityName>标点符号检查</abilityName>
      <candidateList>
        <item>（三）</item>
      </candidateList>
      <explain>根据国标GB/T 15834-2011《标点符号用法》中的4.5.3.3节，带括号的汉字数字或阿拉伯数字表次序时，后面通常不加顿号。如“（一）指导思想”“（二）行动指南”。</explain>
      <paraID> 5FD3F13</paraID>
      <start>0</start>
      <end>4</end>
      <status>unmodified</status>
      <modifiedWord/>
      <trackRevisions>false</trackRevisions>
    </reviewItem>
    <reviewItem>
      <errorID>7e8538ee-0f2f-46b0-bbc4-8bd6826f2929</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2E7B7FC</paraID>
      <start>0</start>
      <end>2</end>
      <status>unmodified</status>
      <modifiedWord/>
      <trackRevisions>false</trackRevisions>
    </reviewItem>
    <reviewItem>
      <errorID>b44bc513-19b7-44b3-87ab-41a02b80daa3</errorID>
      <errorWord>-</errorWord>
      <group>L1_Format</group>
      <groupName>格式问题</groupName>
      <ability>L2_HalfPunc</ability>
      <abilityName>全半角检查</abilityName>
      <candidateList>
        <item>－</item>
      </candidateList>
      <explain>文本全半角错误。</explain>
      <paraID> 3B7503C</paraID>
      <start>83</start>
      <end>84</end>
      <status>unmodified</status>
      <modifiedWord/>
      <trackRevisions>false</trackRevisions>
    </reviewItem>
    <reviewItem>
      <errorID>f3625aaf-9bf7-4db2-b021-76fe9ff27ed5</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157271E</paraID>
      <start>0</start>
      <end>2</end>
      <status>unmodified</status>
      <modifiedWord/>
      <trackRevisions>false</trackRevisions>
    </reviewItem>
    <reviewItem>
      <errorID>2194c3a6-2e1a-4936-a2c4-c0eea281520b</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19D57C6</paraID>
      <start>0</start>
      <end>2</end>
      <status>unmodified</status>
      <modifiedWord/>
      <trackRevisions>false</trackRevisions>
    </reviewItem>
    <reviewItem>
      <errorID>edf43641-935c-4843-9ea8-d4cd0c53656d</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6CC93733</paraID>
      <start>0</start>
      <end>2</end>
      <status>unmodified</status>
      <modifiedWord/>
      <trackRevisions>false</trackRevisions>
    </reviewItem>
    <reviewItem>
      <errorID>e7a87aa2-4f17-481e-8057-3dcd6b5661a9</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31BD13AD</paraID>
      <start>0</start>
      <end>2</end>
      <status>unmodified</status>
      <modifiedWord/>
      <trackRevisions>false</trackRevisions>
    </reviewItem>
    <reviewItem>
      <errorID>a75bad24-fe37-4d20-9f86-51b2c323a425</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31FE40B7</paraID>
      <start>0</start>
      <end>2</end>
      <status>unmodified</status>
      <modifiedWord/>
      <trackRevisions>false</trackRevisions>
    </reviewItem>
    <reviewItem>
      <errorID>606e49e8-3339-4162-a384-9517b35099ee</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5288D9EB</paraID>
      <start>0</start>
      <end>2</end>
      <status>unmodified</status>
      <modifiedWord/>
      <trackRevisions>false</trackRevisions>
    </reviewItem>
    <reviewItem>
      <errorID>ba9e43e2-b5a1-4785-91e6-72bba19f2231</errorID>
      <errorWord>7、</errorWord>
      <group>L1_Format</group>
      <groupName>格式问题</groupName>
      <ability>L2_Ordinal</ability>
      <abilityName>序号格式</abilityName>
      <candidateList>
        <item>7.</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300CC46B</paraID>
      <start>0</start>
      <end>2</end>
      <status>unmodified</status>
      <modifiedWord/>
      <trackRevisions>false</trackRevisions>
    </reviewItem>
    <reviewItem>
      <errorID>0d53a2bd-e8f4-4103-9185-69899ee73ae4</errorID>
      <errorWord>8、</errorWord>
      <group>L1_Format</group>
      <groupName>格式问题</groupName>
      <ability>L2_Ordinal</ability>
      <abilityName>序号格式</abilityName>
      <candidateList>
        <item>8.</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20D9FF11</paraID>
      <start>0</start>
      <end>2</end>
      <status>unmodified</status>
      <modifiedWord/>
      <trackRevisions>false</trackRevisions>
    </reviewItem>
    <reviewItem>
      <errorID>920dadd2-3267-4d33-a5f5-d0daec107f78</errorID>
      <errorWord>9、</errorWord>
      <group>L1_Format</group>
      <groupName>格式问题</groupName>
      <ability>L2_Ordinal</ability>
      <abilityName>序号格式</abilityName>
      <candidateList>
        <item>9.</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913D0AE</paraID>
      <start>0</start>
      <end>2</end>
      <status>unmodified</status>
      <modifiedWord/>
      <trackRevisions>false</trackRevisions>
    </reviewItem>
    <reviewItem>
      <errorID>176f616a-a3a6-4f75-969c-8507eacbaa66</errorID>
      <errorWord>10、</errorWord>
      <group>L1_Format</group>
      <groupName>格式问题</groupName>
      <ability>L2_Ordinal</ability>
      <abilityName>序号格式</abilityName>
      <candidateList>
        <item>10.</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32573842</paraID>
      <start>0</start>
      <end>3</end>
      <status>unmodified</status>
      <modifiedWord/>
      <trackRevisions>false</trackRevisions>
    </reviewItem>
    <reviewItem>
      <errorID>770d2a11-fa72-4fc7-9828-25844ebbce3d</errorID>
      <errorWord>11、</errorWord>
      <group>L1_Format</group>
      <groupName>格式问题</groupName>
      <ability>L2_Ordinal</ability>
      <abilityName>序号格式</abilityName>
      <candidateList>
        <item>11.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2D6F20EC</paraID>
      <start>0</start>
      <end>3</end>
      <status>unmodified</status>
      <modifiedWord/>
      <trackRevisions>false</trackRevisions>
    </reviewItem>
    <reviewItem>
      <errorID>b614b3fe-6ede-4e7f-a755-04d4ebd20c8a</errorID>
      <errorWord>12、</errorWord>
      <group>L1_Format</group>
      <groupName>格式问题</groupName>
      <ability>L2_Ordinal</ability>
      <abilityName>序号格式</abilityName>
      <candidateList>
        <item>12.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2A1FC76F</paraID>
      <start>0</start>
      <end>3</end>
      <status>unmodified</status>
      <modifiedWord/>
      <trackRevisions>false</trackRevisions>
    </reviewItem>
    <reviewItem>
      <errorID>d547fea8-72d8-4336-802b-77888b23faaa</errorID>
      <errorWord>13、</errorWord>
      <group>L1_Format</group>
      <groupName>格式问题</groupName>
      <ability>L2_Ordinal</ability>
      <abilityName>序号格式</abilityName>
      <candidateList>
        <item>13.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4A0EDE7C</paraID>
      <start>0</start>
      <end>3</end>
      <status>unmodified</status>
      <modifiedWord/>
      <trackRevisions>false</trackRevisions>
    </reviewItem>
    <reviewItem>
      <errorID>0c9fc905-5ce1-4efd-ae26-5b7992817b1b</errorID>
      <errorWord>14、</errorWord>
      <group>L1_Format</group>
      <groupName>格式问题</groupName>
      <ability>L2_Ordinal</ability>
      <abilityName>序号格式</abilityName>
      <candidateList>
        <item>14.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49B0A4CE</paraID>
      <start>0</start>
      <end>3</end>
      <status>unmodified</status>
      <modifiedWord/>
      <trackRevisions>false</trackRevisions>
    </reviewItem>
    <reviewItem>
      <errorID>feef21dd-8d7a-4a09-8cc1-56e0708b001f</errorID>
      <errorWord>15、</errorWord>
      <group>L1_Format</group>
      <groupName>格式问题</groupName>
      <ability>L2_Ordinal</ability>
      <abilityName>序号格式</abilityName>
      <candidateList>
        <item>15.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1F30853A</paraID>
      <start>0</start>
      <end>3</end>
      <status>unmodified</status>
      <modifiedWord/>
      <trackRevisions>false</trackRevisions>
    </reviewItem>
    <reviewItem>
      <errorID>a67d1085-44b3-41e8-a5d6-60bf6c0792b5</errorID>
      <errorWord>16、</errorWord>
      <group>L1_Format</group>
      <groupName>格式问题</groupName>
      <ability>L2_Ordinal</ability>
      <abilityName>序号格式</abilityName>
      <candidateList>
        <item>16.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525F2232</paraID>
      <start>0</start>
      <end>3</end>
      <status>unmodified</status>
      <modifiedWord/>
      <trackRevisions>false</trackRevisions>
    </reviewItem>
    <reviewItem>
      <errorID>6cbc3264-01b9-4c14-9177-89e2f0579ddf</errorID>
      <errorWord>17、</errorWord>
      <group>L1_Format</group>
      <groupName>格式问题</groupName>
      <ability>L2_Ordinal</ability>
      <abilityName>序号格式</abilityName>
      <candidateList>
        <item>17.</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591ABFBA</paraID>
      <start>0</start>
      <end>3</end>
      <status>unmodified</status>
      <modifiedWord/>
      <trackRevisions>false</trackRevisions>
    </reviewItem>
    <reviewItem>
      <errorID>95bc09be-ed17-4065-bbc0-f1ee778c4923</errorID>
      <errorWord>18、</errorWord>
      <group>L1_Format</group>
      <groupName>格式问题</groupName>
      <ability>L2_Ordinal</ability>
      <abilityName>序号格式</abilityName>
      <candidateList>
        <item>18.</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11B1C5B2</paraID>
      <start>0</start>
      <end>3</end>
      <status>unmodified</status>
      <modifiedWord/>
      <trackRevisions>false</trackRevisions>
    </reviewItem>
    <reviewItem>
      <errorID>48cbdc7b-5e47-40c2-8c6a-9040a3c1490c</errorID>
      <errorWord>19、</errorWord>
      <group>L1_Format</group>
      <groupName>格式问题</groupName>
      <ability>L2_Ordinal</ability>
      <abilityName>序号格式</abilityName>
      <candidateList>
        <item>19.</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424C44C7</paraID>
      <start>0</start>
      <end>3</end>
      <status>unmodified</status>
      <modifiedWord/>
      <trackRevisions>false</trackRevisions>
    </reviewItem>
    <reviewItem>
      <errorID>26ca78b0-c8f3-40e0-b366-906c1c160d65</errorID>
      <errorWord>鴷</errorWord>
      <group>L1_Word</group>
      <groupName>字词问题</groupName>
      <ability>L2_Fanti</ability>
      <abilityName>繁转简</abilityName>
      <candidateList>
        <item>䴕</item>
      </candidateList>
      <explain/>
      <paraID>2563B032</paraID>
      <start>2</start>
      <end>3</end>
      <status>unmodified</status>
      <modifiedWord/>
      <trackRevisions>false</trackRevisions>
    </reviewItem>
    <reviewItem>
      <errorID>880ada33-0d86-4b46-8e86-fcbee7780067</errorID>
      <errorWord>20、</errorWord>
      <group>L1_Format</group>
      <groupName>格式问题</groupName>
      <ability>L2_Ordinal</ability>
      <abilityName>序号格式</abilityName>
      <candidateList>
        <item>20.</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2E1D5FAA</paraID>
      <start>0</start>
      <end>3</end>
      <status>unmodified</status>
      <modifiedWord/>
      <trackRevisions>false</trackRevisions>
    </reviewItem>
    <reviewItem>
      <errorID>a427dc9b-e2ee-4d7e-b943-c3818b155471</errorID>
      <errorWord>22、</errorWord>
      <group>L1_Format</group>
      <groupName>格式问题</groupName>
      <ability>L2_Ordinal</ability>
      <abilityName>序号格式</abilityName>
      <candidateList>
        <item>22.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2633870</paraID>
      <start>0</start>
      <end>3</end>
      <status>unmodified</status>
      <modifiedWord/>
      <trackRevisions>false</trackRevisions>
    </reviewItem>
    <reviewItem>
      <errorID>b9990a0e-17c7-4191-a639-c37281dc1a81</errorID>
      <errorWord>23、</errorWord>
      <group>L1_Format</group>
      <groupName>格式问题</groupName>
      <ability>L2_Ordinal</ability>
      <abilityName>序号格式</abilityName>
      <candidateList>
        <item>23.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351BDA97</paraID>
      <start>0</start>
      <end>3</end>
      <status>unmodified</status>
      <modifiedWord/>
      <trackRevisions>false</trackRevisions>
    </reviewItem>
    <reviewItem>
      <errorID>b5e3d2c6-1c45-4278-ab79-2f5e449efd51</errorID>
      <errorWord>24、</errorWord>
      <group>L1_Format</group>
      <groupName>格式问题</groupName>
      <ability>L2_Ordinal</ability>
      <abilityName>序号格式</abilityName>
      <candidateList>
        <item>24.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43ECA663</paraID>
      <start>0</start>
      <end>3</end>
      <status>unmodified</status>
      <modifiedWord/>
      <trackRevisions>false</trackRevisions>
    </reviewItem>
    <reviewItem>
      <errorID>a29b0ed9-0476-4037-8d01-ddde6a4fbd72</errorID>
      <errorWord>25、</errorWord>
      <group>L1_Format</group>
      <groupName>格式问题</groupName>
      <ability>L2_Ordinal</ability>
      <abilityName>序号格式</abilityName>
      <candidateList>
        <item>25.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113EAA60</paraID>
      <start>0</start>
      <end>3</end>
      <status>unmodified</status>
      <modifiedWord/>
      <trackRevisions>false</trackRevisions>
    </reviewItem>
    <reviewItem>
      <errorID>0b9e5fa7-24c0-4411-803a-20647a9eb077</errorID>
      <errorWord>26、</errorWord>
      <group>L1_Format</group>
      <groupName>格式问题</groupName>
      <ability>L2_Ordinal</ability>
      <abilityName>序号格式</abilityName>
      <candidateList>
        <item>26.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283D964</paraID>
      <start>0</start>
      <end>3</end>
      <status>unmodified</status>
      <modifiedWord/>
      <trackRevisions>false</trackRevisions>
    </reviewItem>
    <reviewItem>
      <errorID>150f5e10-e0de-414e-b3a4-60c67b22209f</errorID>
      <errorWord>27、</errorWord>
      <group>L1_Format</group>
      <groupName>格式问题</groupName>
      <ability>L2_Ordinal</ability>
      <abilityName>序号格式</abilityName>
      <candidateList>
        <item>27.</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536AA537</paraID>
      <start>0</start>
      <end>3</end>
      <status>unmodified</status>
      <modifiedWord/>
      <trackRevisions>false</trackRevisions>
    </reviewItem>
    <reviewItem>
      <errorID>783085b4-72ff-4e8b-8874-08765ff27aed</errorID>
      <errorWord>28、</errorWord>
      <group>L1_Format</group>
      <groupName>格式问题</groupName>
      <ability>L2_Ordinal</ability>
      <abilityName>序号格式</abilityName>
      <candidateList>
        <item>28.</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3FBF4107</paraID>
      <start>0</start>
      <end>3</end>
      <status>unmodified</status>
      <modifiedWord/>
      <trackRevisions>false</trackRevisions>
    </reviewItem>
    <reviewItem>
      <errorID>1fde82d8-9325-4865-93c1-eebd37407b84</errorID>
      <errorWord>29、</errorWord>
      <group>L1_Format</group>
      <groupName>格式问题</groupName>
      <ability>L2_Ordinal</ability>
      <abilityName>序号格式</abilityName>
      <candidateList>
        <item>29.</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668FFBFC</paraID>
      <start>0</start>
      <end>3</end>
      <status>unmodified</status>
      <modifiedWord/>
      <trackRevisions>false</trackRevisions>
    </reviewItem>
    <reviewItem>
      <errorID>ea868dbe-4800-4c50-9446-b502ac7bd41a</errorID>
      <errorWord>30、</errorWord>
      <group>L1_Format</group>
      <groupName>格式问题</groupName>
      <ability>L2_Ordinal</ability>
      <abilityName>序号格式</abilityName>
      <candidateList>
        <item>30.</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697ABB5C</paraID>
      <start>0</start>
      <end>3</end>
      <status>unmodified</status>
      <modifiedWord/>
      <trackRevisions>false</trackRevisions>
    </reviewItem>
    <reviewItem>
      <errorID>45144167-1c7e-414c-b026-dd66d7140609</errorID>
      <errorWord>31、</errorWord>
      <group>L1_Format</group>
      <groupName>格式问题</groupName>
      <ability>L2_Ordinal</ability>
      <abilityName>序号格式</abilityName>
      <candidateList>
        <item>31.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22727F90</paraID>
      <start>0</start>
      <end>3</end>
      <status>unmodified</status>
      <modifiedWord/>
      <trackRevisions>false</trackRevisions>
    </reviewItem>
    <reviewItem>
      <errorID>cae57010-68c2-4809-873e-dd27f6d07d15</errorID>
      <errorWord>32、</errorWord>
      <group>L1_Format</group>
      <groupName>格式问题</groupName>
      <ability>L2_Ordinal</ability>
      <abilityName>序号格式</abilityName>
      <candidateList>
        <item>32.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FE25FE3</paraID>
      <start>0</start>
      <end>3</end>
      <status>unmodified</status>
      <modifiedWord/>
      <trackRevisions>false</trackRevisions>
    </reviewItem>
    <reviewItem>
      <errorID>a816abc2-03f2-4041-8ad5-796bbb49cb96</errorID>
      <errorWord>33、</errorWord>
      <group>L1_Format</group>
      <groupName>格式问题</groupName>
      <ability>L2_Ordinal</ability>
      <abilityName>序号格式</abilityName>
      <candidateList>
        <item>33.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F466276</paraID>
      <start>0</start>
      <end>3</end>
      <status>unmodified</status>
      <modifiedWord/>
      <trackRevisions>false</trackRevisions>
    </reviewItem>
    <reviewItem>
      <errorID>85998497-87ba-4fd1-8098-a9f018f035a1</errorID>
      <errorWord>34、</errorWord>
      <group>L1_Format</group>
      <groupName>格式问题</groupName>
      <ability>L2_Ordinal</ability>
      <abilityName>序号格式</abilityName>
      <candidateList>
        <item>34.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22B4BE10</paraID>
      <start>0</start>
      <end>3</end>
      <status>unmodified</status>
      <modifiedWord/>
      <trackRevisions>false</trackRevisions>
    </reviewItem>
    <reviewItem>
      <errorID>75be1c20-7805-4ea5-9c61-a9b744d2b114</errorID>
      <errorWord>35、</errorWord>
      <group>L1_Format</group>
      <groupName>格式问题</groupName>
      <ability>L2_Ordinal</ability>
      <abilityName>序号格式</abilityName>
      <candidateList>
        <item>35.</item>
      </candidateList>
      <explain>当前序号格式不规范，建议修改为规范格式[35.]。</explain>
      <paraID>28EFEF79</paraID>
      <start>0</start>
      <end>3</end>
      <status>unmodified</status>
      <modifiedWord/>
      <trackRevisions>false</trackRevisions>
    </reviewItem>
    <reviewItem>
      <errorID>e7cd4c14-e86e-48cd-96ff-7cf451081e57</errorID>
      <errorWord>36、</errorWord>
      <group>L1_Format</group>
      <groupName>格式问题</groupName>
      <ability>L2_Ordinal</ability>
      <abilityName>序号格式</abilityName>
      <candidateList>
        <item>36.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5979BB0</paraID>
      <start>0</start>
      <end>3</end>
      <status>unmodified</status>
      <modifiedWord/>
      <trackRevisions>false</trackRevisions>
    </reviewItem>
    <reviewItem>
      <errorID>b800f960-d427-47b8-9bbe-67c2c2f00e7c</errorID>
      <errorWord>37、</errorWord>
      <group>L1_Format</group>
      <groupName>格式问题</groupName>
      <ability>L2_Ordinal</ability>
      <abilityName>序号格式</abilityName>
      <candidateList>
        <item>37.</item>
      </candidateList>
      <explain>当前序号格式不规范，建议修改为规范格式[37.]。</explain>
      <paraID>3491215E</paraID>
      <start>0</start>
      <end>3</end>
      <status>unmodified</status>
      <modifiedWord/>
      <trackRevisions>false</trackRevisions>
    </reviewItem>
    <reviewItem>
      <errorID>5fbc55c7-9ccf-4c2d-88b2-9dd551593e41</errorID>
      <errorWord>38、</errorWord>
      <group>L1_Format</group>
      <groupName>格式问题</groupName>
      <ability>L2_Ordinal</ability>
      <abilityName>序号格式</abilityName>
      <candidateList>
        <item>38.</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3B1313FB</paraID>
      <start>0</start>
      <end>3</end>
      <status>unmodified</status>
      <modifiedWord/>
      <trackRevisions>false</trackRevisions>
    </reviewItem>
    <reviewItem>
      <errorID>b1c01829-e67d-4099-8990-ed2b56cce11d</errorID>
      <errorWord>39、</errorWord>
      <group>L1_Format</group>
      <groupName>格式问题</groupName>
      <ability>L2_Ordinal</ability>
      <abilityName>序号格式</abilityName>
      <candidateList>
        <item>39.</item>
      </candidateList>
      <explain>当前序号格式不规范，建议修改为规范格式[39.]。</explain>
      <paraID>764AE9ED</paraID>
      <start>0</start>
      <end>3</end>
      <status>unmodified</status>
      <modifiedWord/>
      <trackRevisions>false</trackRevisions>
    </reviewItem>
    <reviewItem>
      <errorID>0b883914-a2a5-4b2d-a0c9-f8889c9d5f7c</errorID>
      <errorWord>40、</errorWord>
      <group>L1_Format</group>
      <groupName>格式问题</groupName>
      <ability>L2_Ordinal</ability>
      <abilityName>序号格式</abilityName>
      <candidateList>
        <item>40.</item>
      </candidateList>
      <explain>当前序号格式不规范，建议修改为规范格式[40.]。</explain>
      <paraID>6A769A66</paraID>
      <start>0</start>
      <end>3</end>
      <status>unmodified</status>
      <modifiedWord/>
      <trackRevisions>false</trackRevisions>
    </reviewItem>
    <reviewItem>
      <errorID>e918fadb-7530-430f-8e28-ec089ae43197</errorID>
      <errorWord>41、</errorWord>
      <group>L1_Format</group>
      <groupName>格式问题</groupName>
      <ability>L2_Ordinal</ability>
      <abilityName>序号格式</abilityName>
      <candidateList>
        <item>41.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618EC9E3</paraID>
      <start>0</start>
      <end>3</end>
      <status>unmodified</status>
      <modifiedWord/>
      <trackRevisions>false</trackRevisions>
    </reviewItem>
    <reviewItem>
      <errorID>4da6eba7-9abc-4428-a139-24c1e5141ed0</errorID>
      <errorWord>42、</errorWord>
      <group>L1_Format</group>
      <groupName>格式问题</groupName>
      <ability>L2_Ordinal</ability>
      <abilityName>序号格式</abilityName>
      <candidateList>
        <item>42.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3663AC6D</paraID>
      <start>0</start>
      <end>3</end>
      <status>unmodified</status>
      <modifiedWord/>
      <trackRevisions>false</trackRevisions>
    </reviewItem>
    <reviewItem>
      <errorID>1f06ad81-90b6-4514-96e7-3235392a038a</errorID>
      <errorWord>43、</errorWord>
      <group>L1_Format</group>
      <groupName>格式问题</groupName>
      <ability>L2_Ordinal</ability>
      <abilityName>序号格式</abilityName>
      <candidateList>
        <item>43.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D3A0FB0</paraID>
      <start>0</start>
      <end>3</end>
      <status>unmodified</status>
      <modifiedWord/>
      <trackRevisions>false</trackRevisions>
    </reviewItem>
    <reviewItem>
      <errorID>ed351897-682f-46f4-a701-af2cf3b1abaa</errorID>
      <errorWord>44、</errorWord>
      <group>L1_Format</group>
      <groupName>格式问题</groupName>
      <ability>L2_Ordinal</ability>
      <abilityName>序号格式</abilityName>
      <candidateList>
        <item>44.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2B113F3A</paraID>
      <start>0</start>
      <end>3</end>
      <status>unmodified</status>
      <modifiedWord/>
      <trackRevisions>false</trackRevisions>
    </reviewItem>
    <reviewItem>
      <errorID>180d4c00-881b-4ab0-be46-221255e6cddf</errorID>
      <errorWord>45、</errorWord>
      <group>L1_Format</group>
      <groupName>格式问题</groupName>
      <ability>L2_Ordinal</ability>
      <abilityName>序号格式</abilityName>
      <candidateList>
        <item>45.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6C9E6568</paraID>
      <start>0</start>
      <end>3</end>
      <status>unmodified</status>
      <modifiedWord/>
      <trackRevisions>false</trackRevisions>
    </reviewItem>
    <reviewItem>
      <errorID>c406daa5-4183-4e81-ab04-fe547d28f47e</errorID>
      <errorWord>46、</errorWord>
      <group>L1_Format</group>
      <groupName>格式问题</groupName>
      <ability>L2_Ordinal</ability>
      <abilityName>序号格式</abilityName>
      <candidateList>
        <item>46.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1B4B9A3D</paraID>
      <start>0</start>
      <end>3</end>
      <status>unmodified</status>
      <modifiedWord/>
      <trackRevisions>false</trackRevisions>
    </reviewItem>
    <reviewItem>
      <errorID>7f6ecc28-6e4a-4ee5-b621-1f940e83d7ee</errorID>
      <errorWord>47、</errorWord>
      <group>L1_Format</group>
      <groupName>格式问题</groupName>
      <ability>L2_Ordinal</ability>
      <abilityName>序号格式</abilityName>
      <candidateList>
        <item>47.</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5B4044C1</paraID>
      <start>0</start>
      <end>3</end>
      <status>unmodified</status>
      <modifiedWord/>
      <trackRevisions>false</trackRevisions>
    </reviewItem>
    <reviewItem>
      <errorID>50487582-1680-4be1-848f-d2ab9eccae4e</errorID>
      <errorWord>（二十四）、</errorWord>
      <group>L1_Format</group>
      <groupName>格式问题</groupName>
      <ability>L2_Ordinal</ability>
      <abilityName>序号格式</abilityName>
      <candidateList>
        <item>（二十四）</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3908EAB</paraID>
      <start>0</start>
      <end>6</end>
      <status>unmodified</status>
      <modifiedWord/>
      <trackRevisions>false</trackRevisions>
    </reviewItem>
    <reviewItem>
      <errorID>32b3f5ab-3594-4772-940c-c38544e92425</errorID>
      <errorWord>48、</errorWord>
      <group>L1_Format</group>
      <groupName>格式问题</groupName>
      <ability>L2_Ordinal</ability>
      <abilityName>序号格式</abilityName>
      <candidateList>
        <item>48.</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4F5901CD</paraID>
      <start>0</start>
      <end>3</end>
      <status>unmodified</status>
      <modifiedWord/>
      <trackRevisions>false</trackRevisions>
    </reviewItem>
    <reviewItem>
      <errorID>ff9f255c-2ecf-4792-a6d8-d6bb1ce3f69d</errorID>
      <errorWord>49、</errorWord>
      <group>L1_Format</group>
      <groupName>格式问题</groupName>
      <ability>L2_Ordinal</ability>
      <abilityName>序号格式</abilityName>
      <candidateList>
        <item>49.</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5FA4FD7D</paraID>
      <start>0</start>
      <end>3</end>
      <status>unmodified</status>
      <modifiedWord/>
      <trackRevisions>false</trackRevisions>
    </reviewItem>
    <reviewItem>
      <errorID>c2990ff1-9223-4bb2-a13f-3eedd9575ae4</errorID>
      <errorWord>50、</errorWord>
      <group>L1_Format</group>
      <groupName>格式问题</groupName>
      <ability>L2_Ordinal</ability>
      <abilityName>序号格式</abilityName>
      <candidateList>
        <item>50.</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44F0E37</paraID>
      <start>0</start>
      <end>3</end>
      <status>unmodified</status>
      <modifiedWord/>
      <trackRevisions>false</trackRevisions>
    </reviewItem>
    <reviewItem>
      <errorID>0767e19c-9371-4115-a6ec-3723f6069da8</errorID>
      <errorWord>51、</errorWord>
      <group>L1_Format</group>
      <groupName>格式问题</groupName>
      <ability>L2_Ordinal</ability>
      <abilityName>序号格式</abilityName>
      <candidateList>
        <item>51.</item>
      </candidateList>
      <explain>当前序号格式不规范，建议修改为规范格式[51.]。</explain>
      <paraID>251846CD</paraID>
      <start>0</start>
      <end>3</end>
      <status>unmodified</status>
      <modifiedWord/>
      <trackRevisions>false</trackRevisions>
    </reviewItem>
    <reviewItem>
      <errorID>05b13204-dd1a-4889-b6e4-60b6727e5e6c</errorID>
      <errorWord>52、</errorWord>
      <group>L1_Format</group>
      <groupName>格式问题</groupName>
      <ability>L2_Ordinal</ability>
      <abilityName>序号格式</abilityName>
      <candidateList>
        <item>52.</item>
      </candidateList>
      <explain>当前序号格式不规范，建议修改为规范格式[52.]。</explain>
      <paraID>42A3B578</paraID>
      <start>0</start>
      <end>3</end>
      <status>unmodified</status>
      <modifiedWord/>
      <trackRevisions>false</trackRevisions>
    </reviewItem>
    <reviewItem>
      <errorID>9ee0c018-79d0-40ca-b4f6-73be43c4243d</errorID>
      <errorWord>53、</errorWord>
      <group>L1_Format</group>
      <groupName>格式问题</groupName>
      <ability>L2_Ordinal</ability>
      <abilityName>序号格式</abilityName>
      <candidateList>
        <item>53.</item>
      </candidateList>
      <explain>当前序号格式不规范，建议修改为规范格式[53.]。</explain>
      <paraID>2DCE434D</paraID>
      <start>0</start>
      <end>3</end>
      <status>unmodified</status>
      <modifiedWord/>
      <trackRevisions>false</trackRevisions>
    </reviewItem>
    <reviewItem>
      <errorID>4997cb1a-0765-4de6-a3dc-036b79a2c158</errorID>
      <errorWord>（一）、</errorWord>
      <group>L1_Format</group>
      <groupName>格式问题</groupName>
      <ability>L2_Ordinal</ability>
      <abilityName>序号格式</abilityName>
      <candidateList>
        <item>（一）</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2E4B71C</paraID>
      <start>0</start>
      <end>4</end>
      <status>unmodified</status>
      <modifiedWord/>
      <trackRevisions>false</trackRevisions>
    </reviewItem>
    <reviewItem>
      <errorID>a9026297-cd4c-4418-8eb9-2deb5d930e27</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7AF11C4D</paraID>
      <start>0</start>
      <end>2</end>
      <status>unmodified</status>
      <modifiedWord/>
      <trackRevisions>false</trackRevisions>
    </reviewItem>
    <reviewItem>
      <errorID>d29399c0-a9c1-4df8-a770-2d79f46e6743</errorID>
      <errorWord>（二）、</errorWord>
      <group>L1_Punc</group>
      <groupName>标点问题</groupName>
      <ability>L2_Punc</ability>
      <abilityName>标点符号检查</abilityName>
      <candidateList>
        <item>（二）</item>
      </candidateList>
      <explain>根据国标GB/T 15834-2011《标点符号用法》中的4.5.3.3节，带括号的汉字数字或阿拉伯数字表次序时，后面通常不加顿号。如“（一）指导思想”“（二）行动指南”。</explain>
      <paraID>5F11577C</paraID>
      <start>0</start>
      <end>4</end>
      <status>unmodified</status>
      <modifiedWord/>
      <trackRevisions>false</trackRevisions>
    </reviewItem>
    <reviewItem>
      <errorID>41299e0f-7cb5-46af-813c-087f42f4fd89</errorID>
      <errorWord>2、</errorWord>
      <group>L1_Format</group>
      <groupName>格式问题</groupName>
      <ability>L2_Ordinal</ability>
      <abilityName>序号格式</abilityName>
      <candidateList>
        <item>2.</item>
      </candidateList>
      <explain>当前序号格式不规范，建议修改为规范格式[2.]。</explain>
      <paraID> 1A62D9E</paraID>
      <start>0</start>
      <end>2</end>
      <status>unmodified</status>
      <modifiedWord/>
      <trackRevisions>false</trackRevisions>
    </reviewItem>
    <reviewItem>
      <errorID>98567497-d076-4033-9e75-a91e24377b0e</errorID>
      <errorWord>（三）、</errorWord>
      <group>L1_Punc</group>
      <groupName>标点问题</groupName>
      <ability>L2_Punc</ability>
      <abilityName>标点符号检查</abilityName>
      <candidateList>
        <item>（三）</item>
      </candidateList>
      <explain>根据国标GB/T 15834-2011《标点符号用法》中的4.5.3.3节，带括号的汉字数字或阿拉伯数字表次序时，后面通常不加顿号。如“（一）指导思想”“（二）行动指南”。</explain>
      <paraID>36A7EFA4</paraID>
      <start>0</start>
      <end>4</end>
      <status>unmodified</status>
      <modifiedWord/>
      <trackRevisions>false</trackRevisions>
    </reviewItem>
    <reviewItem>
      <errorID>01c4daf4-2076-4320-ab72-3829ec6225e7</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37E5B267</paraID>
      <start>0</start>
      <end>2</end>
      <status>unmodified</status>
      <modifiedWord/>
      <trackRevisions>false</trackRevisions>
    </reviewItem>
    <reviewItem>
      <errorID>a6d13e28-f21f-4439-9db3-0b422cceeaff</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6362DCC5</paraID>
      <start>0</start>
      <end>2</end>
      <status>unmodified</status>
      <modifiedWord/>
      <trackRevisions>false</trackRevisions>
    </reviewItem>
    <reviewItem>
      <errorID>4b7d9a53-2bb0-4645-af67-ff1efcfec7ce</errorID>
      <errorWord>（四）、</errorWord>
      <group>L1_Punc</group>
      <groupName>标点问题</groupName>
      <ability>L2_Punc</ability>
      <abilityName>标点符号检查</abilityName>
      <candidateList>
        <item>（四）</item>
      </candidateList>
      <explain>根据国标GB/T 15834-2011《标点符号用法》中的4.5.3.3节，带括号的汉字数字或阿拉伯数字表次序时，后面通常不加顿号。如“（一）指导思想”“（二）行动指南”。</explain>
      <paraID>1CB4F75E</paraID>
      <start>0</start>
      <end>4</end>
      <status>unmodified</status>
      <modifiedWord/>
      <trackRevisions>false</trackRevisions>
    </reviewItem>
    <reviewItem>
      <errorID>fa95cf49-5a00-41c8-80a2-5345f06d7ad2</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55F4A46B</paraID>
      <start>0</start>
      <end>2</end>
      <status>unmodified</status>
      <modifiedWord/>
      <trackRevisions>false</trackRevisions>
    </reviewItem>
    <reviewItem>
      <errorID>ff75342f-c223-48e8-92ba-bdc50d3484e1</errorID>
      <errorWord>海拔高度</errorWord>
      <group>L1_Word</group>
      <groupName>字词问题</groupName>
      <ability>L2_Typo</ability>
      <abilityName>字词错误</abilityName>
      <candidateList>
        <item>海拔</item>
      </candidateList>
      <explain>〈名〉从平均海平面起算的高度。</explain>
      <paraID>6B8A780F</paraID>
      <start>5</start>
      <end>9</end>
      <status>unmodified</status>
      <modifiedWord/>
      <trackRevisions>false</trackRevisions>
    </reviewItem>
    <reviewItem>
      <errorID>13fac5fc-ea46-47f0-af55-c4d25eea2748</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6B8A780F</paraID>
      <start>12</start>
      <end>13</end>
      <status>unmodified</status>
      <modifiedWord/>
      <trackRevisions>false</trackRevisions>
    </reviewItem>
    <reviewItem>
      <errorID>b1fb72f0-ca70-45f0-9f45-235e9ec1e586</errorID>
      <errorWord>6、</errorWord>
      <group>L1_Format</group>
      <groupName>格式问题</groupName>
      <ability>L2_Ordinal</ability>
      <abilityName>序号格式</abilityName>
      <candidateList>
        <item>6.</item>
      </candidateList>
      <explain>当前序号格式不规范，建议修改为规范格式[6.]。</explain>
      <paraID> A46E971</paraID>
      <start>0</start>
      <end>2</end>
      <status>unmodified</status>
      <modifiedWord/>
      <trackRevisions>false</trackRevisions>
    </reviewItem>
    <reviewItem>
      <errorID>3bfe63b7-0ef8-4b7d-960c-01392d68a906</errorID>
      <errorWord>（五）、</errorWord>
      <group>L1_Format</group>
      <groupName>格式问题</groupName>
      <ability>L2_Ordinal</ability>
      <abilityName>序号格式</abilityName>
      <candidateList>
        <item>（五）</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17E0AEBD</paraID>
      <start>0</start>
      <end>4</end>
      <status>unmodified</status>
      <modifiedWord/>
      <trackRevisions>false</trackRevisions>
    </reviewItem>
    <reviewItem>
      <errorID>02a0f484-ff8e-4063-a3fe-414c4b3ccc04</errorID>
      <errorWord>7、</errorWord>
      <group>L1_Format</group>
      <groupName>格式问题</groupName>
      <ability>L2_Ordinal</ability>
      <abilityName>序号格式</abilityName>
      <candidateList>
        <item>7.</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1809F2A3</paraID>
      <start>0</start>
      <end>2</end>
      <status>unmodified</status>
      <modifiedWord/>
      <trackRevisions>false</trackRevisions>
    </reviewItem>
    <reviewItem>
      <errorID>9a4ccdaa-15e2-468c-873e-dd0aac735b9c</errorID>
      <errorWord>8、</errorWord>
      <group>L1_Format</group>
      <groupName>格式问题</groupName>
      <ability>L2_Ordinal</ability>
      <abilityName>序号格式</abilityName>
      <candidateList>
        <item>8.</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48EDE4EE</paraID>
      <start>0</start>
      <end>2</end>
      <status>unmodified</status>
      <modifiedWord/>
      <trackRevisions>false</trackRevisions>
    </reviewItem>
    <reviewItem>
      <errorID>19fd0c47-cbf9-40a2-b030-364490ef1269</errorID>
      <errorWord>（六）、</errorWord>
      <group>L1_Format</group>
      <groupName>格式问题</groupName>
      <ability>L2_Ordinal</ability>
      <abilityName>序号格式</abilityName>
      <candidateList>
        <item>（六）</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134EDB42</paraID>
      <start>0</start>
      <end>4</end>
      <status>unmodified</status>
      <modifiedWord/>
      <trackRevisions>false</trackRevisions>
    </reviewItem>
    <reviewItem>
      <errorID>0e670eb5-5293-4c92-ae97-be4619c220e8</errorID>
      <errorWord>9、</errorWord>
      <group>L1_Format</group>
      <groupName>格式问题</groupName>
      <ability>L2_Ordinal</ability>
      <abilityName>序号格式</abilityName>
      <candidateList>
        <item>9.</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62447C21</paraID>
      <start>0</start>
      <end>2</end>
      <status>unmodified</status>
      <modifiedWord/>
      <trackRevisions>false</trackRevisions>
    </reviewItem>
    <reviewItem>
      <errorID>ae43b8bc-94a9-4ee1-996d-421480a67f9f</errorID>
      <errorWord>10、</errorWord>
      <group>L1_Format</group>
      <groupName>格式问题</groupName>
      <ability>L2_Ordinal</ability>
      <abilityName>序号格式</abilityName>
      <candidateList>
        <item>10.</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713BD799</paraID>
      <start>0</start>
      <end>3</end>
      <status>unmodified</status>
      <modifiedWord/>
      <trackRevisions>false</trackRevisions>
    </reviewItem>
    <reviewItem>
      <errorID>e3063dfe-95bc-4ae7-a093-1b374a0e8c7b</errorID>
      <errorWord>11、</errorWord>
      <group>L1_Format</group>
      <groupName>格式问题</groupName>
      <ability>L2_Ordinal</ability>
      <abilityName>序号格式</abilityName>
      <candidateList>
        <item>11.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68E034BD</paraID>
      <start>0</start>
      <end>3</end>
      <status>unmodified</status>
      <modifiedWord/>
      <trackRevisions>false</trackRevisions>
    </reviewItem>
    <reviewItem>
      <errorID>18897051-ad4f-4159-8422-20ce8d35c116</errorID>
      <errorWord>（七）、</errorWord>
      <group>L1_Punc</group>
      <groupName>标点问题</groupName>
      <ability>L2_Punc</ability>
      <abilityName>标点符号检查</abilityName>
      <candidateList>
        <item>（七）</item>
      </candidateList>
      <explain>根据国标GB/T 15834-2011《标点符号用法》中的4.5.3.3节，带括号的汉字数字或阿拉伯数字表次序时，后面通常不加顿号。如“（一）指导思想”“（二）行动指南”。</explain>
      <paraID> 82CCA92</paraID>
      <start>0</start>
      <end>4</end>
      <status>unmodified</status>
      <modifiedWord/>
      <trackRevisions>false</trackRevisions>
    </reviewItem>
    <reviewItem>
      <errorID>34712904-7777-4bf1-93e0-7b11c35bddaa</errorID>
      <errorWord>12、</errorWord>
      <group>L1_Format</group>
      <groupName>格式问题</groupName>
      <ability>L2_Ordinal</ability>
      <abilityName>序号格式</abilityName>
      <candidateList>
        <item>12.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54D1CD9C</paraID>
      <start>0</start>
      <end>3</end>
      <status>unmodified</status>
      <modifiedWord/>
      <trackRevisions>false</trackRevisions>
    </reviewItem>
    <reviewItem>
      <errorID>8800cb53-1f41-48d4-a530-4ca578525efd</errorID>
      <errorWord>13、</errorWord>
      <group>L1_Format</group>
      <groupName>格式问题</groupName>
      <ability>L2_Ordinal</ability>
      <abilityName>序号格式</abilityName>
      <candidateList>
        <item>13.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8A9D9C</paraID>
      <start>0</start>
      <end>3</end>
      <status>unmodified</status>
      <modifiedWord/>
      <trackRevisions>false</trackRevisions>
    </reviewItem>
    <reviewItem>
      <errorID>feea3446-fcbb-4b31-bafd-74f6f6e3b526</errorID>
      <errorWord>14、</errorWord>
      <group>L1_Format</group>
      <groupName>格式问题</groupName>
      <ability>L2_Ordinal</ability>
      <abilityName>序号格式</abilityName>
      <candidateList>
        <item>14.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1ADD06B0</paraID>
      <start>0</start>
      <end>3</end>
      <status>unmodified</status>
      <modifiedWord/>
      <trackRevisions>false</trackRevisions>
    </reviewItem>
    <reviewItem>
      <errorID>b055363e-0ed1-4c7e-90a2-09c278ec499a</errorID>
      <errorWord>巣</errorWord>
      <group>L1_Word</group>
      <groupName>字词问题</groupName>
      <ability>L2_Typo</ability>
      <abilityName>字词错误</abilityName>
      <candidateList>
        <item>巢</item>
      </candidateList>
      <explain/>
      <paraID>1ADD06B0</paraID>
      <start>3</start>
      <end>4</end>
      <status>modified</status>
      <modifiedWord>巢</modifiedWord>
      <trackRevisions>false</trackRevisions>
    </reviewItem>
    <reviewItem>
      <errorID>a13eeb95-817d-4896-a06c-b77353631391</errorID>
      <errorWord>（八）、</errorWord>
      <group>L1_Punc</group>
      <groupName>标点问题</groupName>
      <ability>L2_Punc</ability>
      <abilityName>标点符号检查</abilityName>
      <candidateList>
        <item>（八）</item>
      </candidateList>
      <explain>根据国标GB/T 15834-2011《标点符号用法》中的4.5.3.3节，带括号的汉字数字或阿拉伯数字表次序时，后面通常不加顿号。如“（一）指导思想”“（二）行动指南”。</explain>
      <paraID> 28D935A</paraID>
      <start>0</start>
      <end>4</end>
      <status>unmodified</status>
      <modifiedWord/>
      <trackRevisions>false</trackRevisions>
    </reviewItem>
    <reviewItem>
      <errorID>f75cbfdf-cf50-482c-822d-15f07cb4d297</errorID>
      <errorWord>反应</errorWord>
      <group>L1_Word</group>
      <groupName>字词问题</groupName>
      <ability>L2_Typo</ability>
      <abilityName>字词错误</abilityName>
      <candidateList>
        <item>反映</item>
      </candidateList>
      <explain>〈动〉❶反照，比喻把客观事物的实质表现出来：这部小说～了现实的生活和斗争。❷把情况、意见等告诉上级或有关部门：把情况～到县里｜他～的意见值得重视。❸通常指机体接受和回答客观事物影响的活动过程。</explain>
      <paraID>1F69F37A</paraID>
      <start>36</start>
      <end>38</end>
      <status>modified</status>
      <modifiedWord>反映</modifiedWord>
      <trackRevisions>false</trackRevisions>
    </reviewItem>
    <reviewItem>
      <errorID>664f5b42-36a7-4a80-8728-62c53d1ed0a2</errorID>
      <errorWord>范围域</errorWord>
      <group>L1_Word</group>
      <groupName>字词问题</groupName>
      <ability>L2_Typo</ability>
      <abilityName>字词错误</abilityName>
      <candidateList>
        <item>范围</item>
      </candidateList>
      <explain>❶〈名〉周围界限：地区～｜工作～｜活动～｜他们谈话的～很广，涉及政治、科学、文学等各方面。❷〈书〉〈动〉限制；概括：纵横四溢，不可～。</explain>
      <paraID>1F69F37A</paraID>
      <start>77</start>
      <end>79</end>
      <status>modified</status>
      <modifiedWord>范围</modifiedWord>
      <trackRevisions>false</trackRevisions>
    </reviewItem>
    <reviewItem>
      <errorID>262291a3-6ba4-4383-bba7-346610eae569</errorID>
      <errorWord>）</errorWord>
      <group>L1_Format</group>
      <groupName>格式问题</groupName>
      <ability>L2_HalfPunc</ability>
      <abilityName>全半角检查</abilityName>
      <candidateList>
        <item>)</item>
      </candidateList>
      <explain>文本全半角错误。</explain>
      <paraID>5203225B</paraID>
      <start>49</start>
      <end>50</end>
      <status>unmodified</status>
      <modifiedWord/>
      <trackRevisions>false</trackRevisions>
    </reviewItem>
    <reviewItem>
      <errorID>f8091343-f062-4cf0-a4f6-1b80c264a9d6</errorID>
      <errorWord>(</errorWord>
      <group>L1_Format</group>
      <groupName>格式问题</groupName>
      <ability>L2_HalfPunc</ability>
      <abilityName>全半角检查</abilityName>
      <candidateList>
        <item>（</item>
      </candidateList>
      <explain>文本全半角错误。</explain>
      <paraID>5203225B</paraID>
      <start>147</start>
      <end>148</end>
      <status>unmodified</status>
      <modifiedWord/>
      <trackRevisions>false</trackRevisions>
    </reviewItem>
    <reviewItem>
      <errorID>a3de9e37-1a3a-437d-944b-af8835e493e2</errorID>
      <errorWord>中</errorWord>
      <group>L1_Word</group>
      <groupName>字词问题</groupName>
      <ability>L2_Typo</ability>
      <abilityName>字词错误</abilityName>
      <candidateList>
        <item>中在</item>
      </candidateList>
      <explain/>
      <paraID> B3F7581</paraID>
      <start>34</start>
      <end>35</end>
      <status>unmodified</status>
      <modifiedWord/>
      <trackRevisions>false</trackRevisions>
    </reviewItem>
    <reviewItem>
      <errorID>111d0382-ee29-40e4-acc3-bfe929d95b71</errorID>
      <errorWord>布</errorWord>
      <group>L1_Word</group>
      <groupName>字词问题</groupName>
      <ability>L2_Typo</ability>
      <abilityName>字词错误</abilityName>
      <candidateList>
        <item>布在</item>
      </candidateList>
      <explain/>
      <paraID> B3F7581</paraID>
      <start>53</start>
      <end>54</end>
      <status>unmodified</status>
      <modifiedWord/>
      <trackRevisions>false</trackRevisions>
    </reviewItem>
    <reviewItem>
      <errorID>f09d8829-01b5-451a-9bb0-55d3bba96174</errorID>
      <errorWord>偵</errorWord>
      <group>L1_Word</group>
      <groupName>字词问题</groupName>
      <ability>L2_Fanti</ability>
      <abilityName>繁转简</abilityName>
      <candidateList>
        <item>侦</item>
      </candidateList>
      <explain/>
      <paraID>5E40D7F3</paraID>
      <start>4</start>
      <end>5</end>
      <status>unmodified</status>
      <modifiedWord/>
      <trackRevisions>false</trackRevisions>
    </reviewItem>
    <reviewItem>
      <errorID>34ccf922-1f2a-4aef-8d3a-a29058d3642a</errorID>
      <errorWord>＜</errorWord>
      <group>L1_Format</group>
      <groupName>格式问题</groupName>
      <ability>L2_HalfPunc</ability>
      <abilityName>全半角检查</abilityName>
      <candidateList>
        <item>&lt;</item>
      </candidateList>
      <explain>文本全半角错误。</explain>
      <paraID>28960139</paraID>
      <start>5</start>
      <end>6</end>
      <status>unmodified</status>
      <modifiedWord/>
      <trackRevisions>false</trackRevisions>
    </reviewItem>
    <reviewItem>
      <errorID>18522be5-f243-4c62-be00-97b13eb88a78</errorID>
      <errorWord>＜</errorWord>
      <group>L1_Format</group>
      <groupName>格式问题</groupName>
      <ability>L2_HalfPunc</ability>
      <abilityName>全半角检查</abilityName>
      <candidateList>
        <item>&lt;</item>
      </candidateList>
      <explain>文本全半角错误。</explain>
      <paraID>72891E14</paraID>
      <start>5</start>
      <end>6</end>
      <status>unmodified</status>
      <modifiedWord/>
      <trackRevisions>false</trackRevisions>
    </reviewItem>
    <reviewItem>
      <errorID>034c1c55-70b1-4d05-a568-3d0181800e8b</errorID>
      <errorWord>＜</errorWord>
      <group>L1_Format</group>
      <groupName>格式问题</groupName>
      <ability>L2_HalfPunc</ability>
      <abilityName>全半角检查</abilityName>
      <candidateList>
        <item>&lt;</item>
      </candidateList>
      <explain>文本全半角错误。</explain>
      <paraID>7E317C8F</paraID>
      <start>2</start>
      <end>3</end>
      <status>unmodified</status>
      <modifiedWord/>
      <trackRevisions>false</trackRevisions>
    </reviewItem>
    <reviewItem>
      <errorID>1eedcb19-6a70-428d-9563-7f1c3677eed2</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5E1E3DE0</paraID>
      <start>0</start>
      <end>2</end>
      <status>unmodified</status>
      <modifiedWord/>
      <trackRevisions>false</trackRevisions>
    </reviewItem>
    <reviewItem>
      <errorID>6629faf7-91e3-4d9a-87a9-f7007e1a54fc</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6765F5AA</paraID>
      <start>0</start>
      <end>2</end>
      <status>unmodified</status>
      <modifiedWord/>
      <trackRevisions>false</trackRevisions>
    </reviewItem>
    <reviewItem>
      <errorID>30aa7714-b20e-4aea-bd47-8b19ff0f9a97</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744823C4</paraID>
      <start>0</start>
      <end>2</end>
      <status>unmodified</status>
      <modifiedWord/>
      <trackRevisions>false</trackRevisions>
    </reviewItem>
    <reviewItem>
      <errorID>eaa33e05-b950-4e5a-ac17-a5a49a55244c</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6808D5D3</paraID>
      <start>0</start>
      <end>2</end>
      <status>unmodified</status>
      <modifiedWord/>
      <trackRevisions>false</trackRevisions>
    </reviewItem>
    <reviewItem>
      <errorID>95d0f284-9c38-4468-a8f7-b45c63082ab3</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7DA81AA2</paraID>
      <start>0</start>
      <end>2</end>
      <status>unmodified</status>
      <modifiedWord/>
      <trackRevisions>false</trackRevisions>
    </reviewItem>
    <reviewItem>
      <errorID>b2dd207a-db63-480e-9b7a-6b75d734b9ac</errorID>
      <errorWord>鰟</errorWord>
      <group>L1_Word</group>
      <groupName>字词问题</groupName>
      <ability>L2_Fanti</ability>
      <abilityName>繁转简</abilityName>
      <candidateList>
        <item>鳑</item>
      </candidateList>
      <explain/>
      <paraID> C3DAA0A</paraID>
      <start>3</start>
      <end>4</end>
      <status>unmodified</status>
      <modifiedWord/>
      <trackRevisions>false</trackRevisions>
    </reviewItem>
    <reviewItem>
      <errorID>2e661585-cc9c-4030-ae9a-62f681a13547</errorID>
      <errorWord>鮍</errorWord>
      <group>L1_Word</group>
      <groupName>字词问题</groupName>
      <ability>L2_Fanti</ability>
      <abilityName>繁转简</abilityName>
      <candidateList>
        <item>鲏</item>
      </candidateList>
      <explain/>
      <paraID> C3DAA0A</paraID>
      <start>4</start>
      <end>5</end>
      <status>unmodified</status>
      <modifiedWord/>
      <trackRevisions>false</trackRevisions>
    </reviewItem>
    <reviewItem>
      <errorID>1dbf851c-6b30-44e7-9504-d731b820383b</errorID>
      <errorWord>黄黝鱼</errorWord>
      <group>L1_Word</group>
      <groupName>字词问题</groupName>
      <ability>L2_Typo</ability>
      <abilityName>字词错误</abilityName>
      <candidateList>
        <item>黄颡鱼</item>
      </candidateList>
      <explain/>
      <paraID>5499D5E5</paraID>
      <start>0</start>
      <end>3</end>
      <status>unmodified</status>
      <modifiedWord/>
      <trackRevisions>false</trackRevisions>
    </reviewItem>
    <reviewItem>
      <errorID>4f0c3c97-fac3-44fc-9e5d-4013fa257d07</errorID>
      <errorWord>鮋</errorWord>
      <group>L1_Word</group>
      <groupName>字词问题</groupName>
      <ability>L2_Fanti</ability>
      <abilityName>繁转简</abilityName>
      <candidateList>
        <item>鲉</item>
      </candidateList>
      <explain/>
      <paraID>221DB6A8</paraID>
      <start>0</start>
      <end>1</end>
      <status>unmodified</status>
      <modifiedWord/>
      <trackRevisions>false</trackRevisions>
    </reviewItem>
    <reviewItem>
      <errorID>077b8041-0d7c-42bb-ba9c-cbcab9a12b45</errorID>
      <errorWord>“</errorWord>
      <group>L1_Punc</group>
      <groupName>标点问题</groupName>
      <ability>L2_Punc</ability>
      <abilityName>标点符号检查</abilityName>
      <candidateList/>
      <explain/>
      <paraID>2E6585D8</paraID>
      <start>2</start>
      <end>3</end>
      <status>unmodified</status>
      <modifiedWord/>
      <trackRevisions>false</trackRevisions>
    </reviewItem>
    <reviewItem>
      <errorID>1f564807-40c4-4d05-9b29-e2a2e1e03f50</errorID>
      <errorWord>(</errorWord>
      <group>L1_Format</group>
      <groupName>格式问题</groupName>
      <ability>L2_HalfPunc</ability>
      <abilityName>全半角检查</abilityName>
      <candidateList>
        <item>（</item>
      </candidateList>
      <explain>文本全半角错误。</explain>
      <paraID>2E6585D8</paraID>
      <start>74</start>
      <end>75</end>
      <status>unmodified</status>
      <modifiedWord/>
      <trackRevisions>false</trackRevisions>
    </reviewItem>
    <reviewItem>
      <errorID>4aa7fc4d-2aad-4a7b-afeb-6f68f256192b</errorID>
      <errorWord>，</errorWord>
      <group>L1_Word</group>
      <groupName>字词问题</groupName>
      <ability>L2_Typo</ability>
      <abilityName>字词错误</abilityName>
      <candidateList>
        <item>，在</item>
      </candidateList>
      <explain/>
      <paraID>1D1DD341</paraID>
      <start>42</start>
      <end>43</end>
      <status>unmodified</status>
      <modifiedWord/>
      <trackRevisions>false</trackRevisions>
    </reviewItem>
    <reviewItem>
      <errorID>2844d86e-5bf1-42ec-aabc-119e7f701bce</errorID>
      <errorWord>粘附</errorWord>
      <group>L1_Word</group>
      <groupName>字词问题</groupName>
      <ability>L2_Alias</ability>
      <abilityName>也作/曾用词</abilityName>
      <candidateList>
        <item>黏附</item>
      </candidateList>
      <explain>词汇[粘附]为不规范表述或旧称，其规范书面表述为[黏附]。</explain>
      <paraID>1D1DD341</paraID>
      <start>222</start>
      <end>224</end>
      <status>unmodified</status>
      <modifiedWord/>
      <trackRevisions>false</trackRevisions>
    </reviewItem>
    <reviewItem>
      <errorID>e333cf83-9859-4c17-a52d-1a3c1813326a</errorID>
      <errorWord>鮋</errorWord>
      <group>L1_Word</group>
      <groupName>字词问题</groupName>
      <ability>L2_Fanti</ability>
      <abilityName>繁转简</abilityName>
      <candidateList>
        <item>鲉</item>
      </candidateList>
      <explain/>
      <paraID>258F9485</paraID>
      <start>0</start>
      <end>1</end>
      <status>unmodified</status>
      <modifiedWord/>
      <trackRevisions>false</trackRevisions>
    </reviewItem>
    <reviewItem>
      <errorID>083b9b70-6acd-4453-947a-a536a34d2e48</errorID>
      <errorWord>粘附</errorWord>
      <group>L1_Word</group>
      <groupName>字词问题</groupName>
      <ability>L2_Alias</ability>
      <abilityName>也作/曾用词</abilityName>
      <candidateList>
        <item>黏附</item>
      </candidateList>
      <explain>词汇[粘附]为不规范表述或旧称，其规范书面表述为[黏附]。</explain>
      <paraID> E36C42E</paraID>
      <start>57</start>
      <end>59</end>
      <status>unmodified</status>
      <modifiedWord/>
      <trackRevisions>false</trackRevisions>
    </reviewItem>
    <reviewItem>
      <errorID>c502c87c-da91-4080-b8d2-cabe07108b6e</errorID>
      <errorWord>粘附</errorWord>
      <group>L1_Word</group>
      <groupName>字词问题</groupName>
      <ability>L2_Alias</ability>
      <abilityName>也作/曾用词</abilityName>
      <candidateList>
        <item>黏附</item>
      </candidateList>
      <explain>词汇[粘附]为不规范表述或旧称，其规范书面表述为[黏附]。</explain>
      <paraID>238BC4D4</paraID>
      <start>65</start>
      <end>67</end>
      <status>unmodified</status>
      <modifiedWord/>
      <trackRevisions>false</trackRevisions>
    </reviewItem>
    <reviewItem>
      <errorID>20fa943e-f4d0-4337-a5f1-50d309ab40ca</errorID>
      <errorWord>评价</errorWord>
      <group>L1_Word</group>
      <groupName>字词问题</groupName>
      <ability>L2_Typo</ability>
      <abilityName>字词错误</abilityName>
      <candidateList>
        <item>平价</item>
      </candidateList>
      <explain/>
      <paraID>4EA257B8</paraID>
      <start>34</start>
      <end>36</end>
      <status>unmodified</status>
      <modifiedWord/>
      <trackRevisions>false</trackRevisions>
    </reviewItem>
    <reviewItem>
      <errorID>8cbc7a17-55b0-43cc-9d03-38513b68b710</errorID>
      <errorWord>鰓</errorWord>
      <group>L1_Word</group>
      <groupName>字词问题</groupName>
      <ability>L2_Fanti</ability>
      <abilityName>繁转简</abilityName>
      <candidateList>
        <item>鳃</item>
      </candidateList>
      <explain/>
      <paraID>497A2EDA</paraID>
      <start>3</start>
      <end>4</end>
      <status>unmodified</status>
      <modifiedWord/>
      <trackRevisions>false</trackRevisions>
    </reviewItem>
    <reviewItem>
      <errorID>72feef58-fe53-47ca-baa9-d4c553157f1b</errorID>
      <errorWord>鰓</errorWord>
      <group>L1_Word</group>
      <groupName>字词问题</groupName>
      <ability>L2_Fanti</ability>
      <abilityName>繁转简</abilityName>
      <candidateList>
        <item>鳃</item>
      </candidateList>
      <explain/>
      <paraID>497A2EDA</paraID>
      <start>31</start>
      <end>32</end>
      <status>unmodified</status>
      <modifiedWord/>
      <trackRevisions>false</trackRevisions>
    </reviewItem>
    <reviewItem>
      <errorID>1df78084-b0aa-4183-b33d-6c0d9fddce83</errorID>
      <errorWord>产粘</errorWord>
      <group>L1_Word</group>
      <groupName>字词问题</groupName>
      <ability>L2_Typo</ability>
      <abilityName>字词错误</abilityName>
      <candidateList>
        <item>产卵</item>
      </candidateList>
      <explain/>
      <paraID>180182A0</paraID>
      <start>75</start>
      <end>77</end>
      <status>unmodified</status>
      <modifiedWord/>
      <trackRevisions>false</trackRevisions>
    </reviewItem>
    <reviewItem>
      <errorID>903ce07c-41ec-4660-840f-b03052c18f58</errorID>
      <errorWord>鰓</errorWord>
      <group>L1_Word</group>
      <groupName>字词问题</groupName>
      <ability>L2_Fanti</ability>
      <abilityName>繁转简</abilityName>
      <candidateList>
        <item>鳃</item>
      </candidateList>
      <explain/>
      <paraID>20E2F94C</paraID>
      <start>54</start>
      <end>55</end>
      <status>unmodified</status>
      <modifiedWord/>
      <trackRevisions>false</trackRevisions>
    </reviewItem>
    <reviewItem>
      <errorID>3c32cc7c-5e31-417b-8d2b-d6141d35a1bf</errorID>
      <errorWord>物中</errorWord>
      <group>L1_Word</group>
      <groupName>字词问题</groupName>
      <ability>L2_Typo</ability>
      <abilityName>字词错误</abilityName>
      <candidateList>
        <item>物种</item>
      </candidateList>
      <explain/>
      <paraID>7F4D4732</paraID>
      <start>62</start>
      <end>64</end>
      <status>unmodified</status>
      <modifiedWord/>
      <trackRevisions>false</trackRevisions>
    </reviewItem>
    <reviewItem>
      <errorID>9bafdba4-f4f0-43f9-8961-183bd8dc768d</errorID>
      <errorWord>物中</errorWord>
      <group>L1_Word</group>
      <groupName>字词问题</groupName>
      <ability>L2_Typo</ability>
      <abilityName>字词错误</abilityName>
      <candidateList>
        <item>物种</item>
      </candidateList>
      <explain/>
      <paraID>7F4D4732</paraID>
      <start>152</start>
      <end>154</end>
      <status>unmodified</status>
      <modifiedWord/>
      <trackRevisions>false</trackRevisions>
    </reviewItem>
    <reviewItem>
      <errorID>0fe39574-56f1-464a-a42d-fa27ec58abb9</errorID>
      <errorWord>鰟</errorWord>
      <group>L1_Word</group>
      <groupName>字词问题</groupName>
      <ability>L2_Fanti</ability>
      <abilityName>繁转简</abilityName>
      <candidateList>
        <item>鳑</item>
      </candidateList>
      <explain/>
      <paraID>57E57391</paraID>
      <start>3</start>
      <end>4</end>
      <status>unmodified</status>
      <modifiedWord/>
      <trackRevisions>false</trackRevisions>
    </reviewItem>
    <reviewItem>
      <errorID>5844e583-b2c8-4dd4-bdc7-18fb5c30faea</errorID>
      <errorWord>鰁</errorWord>
      <group>L1_Word</group>
      <groupName>字词问题</groupName>
      <ability>L2_Fanti</ability>
      <abilityName>繁转简</abilityName>
      <candidateList>
        <item>鳈</item>
      </candidateList>
      <explain/>
      <paraID>7C54FE67</paraID>
      <start>2</start>
      <end>3</end>
      <status>unmodified</status>
      <modifiedWord/>
      <trackRevisions>false</trackRevisions>
    </reviewItem>
    <reviewItem>
      <errorID>2ec09acf-68f4-4d68-b518-4ee1905f42a9</errorID>
      <errorWord>./</errorWord>
      <group>L1_Punc</group>
      <groupName>标点问题</groupName>
      <ability>L2_Punc</ability>
      <abilityName>标点符号检查</abilityName>
      <candidateList>
        <item>.</item>
      </candidateList>
      <explain/>
      <paraID>4FFB150C</paraID>
      <start>37</start>
      <end>39</end>
      <status>unmodified</status>
      <modifiedWord/>
      <trackRevisions>false</trackRevisions>
    </reviewItem>
    <reviewItem>
      <errorID>4b4c3c57-8baa-4f5c-8328-22b1fc96bcd2</errorID>
      <errorWord>./</errorWord>
      <group>L1_Punc</group>
      <groupName>标点问题</groupName>
      <ability>L2_Punc</ability>
      <abilityName>标点符号检查</abilityName>
      <candidateList>
        <item>.</item>
      </candidateList>
      <explain/>
      <paraID>4FFB150C</paraID>
      <start>62</start>
      <end>64</end>
      <status>unmodified</status>
      <modifiedWord/>
      <trackRevisions>false</trackRevisions>
    </reviewItem>
    <reviewItem>
      <errorID>bb210718-2185-4964-87e0-51cc75305d7e</errorID>
      <errorWord>./</errorWord>
      <group>L1_Punc</group>
      <groupName>标点问题</groupName>
      <ability>L2_Punc</ability>
      <abilityName>标点符号检查</abilityName>
      <candidateList>
        <item>.</item>
      </candidateList>
      <explain/>
      <paraID>4FFB150C</paraID>
      <start>84</start>
      <end>86</end>
      <status>unmodified</status>
      <modifiedWord/>
      <trackRevisions>false</trackRevisions>
    </reviewItem>
    <reviewItem>
      <errorID>1f8654e9-4f95-410d-9e5a-c06ec1a6f57e</errorID>
      <errorWord>./</errorWord>
      <group>L1_Punc</group>
      <groupName>标点问题</groupName>
      <ability>L2_Punc</ability>
      <abilityName>标点符号检查</abilityName>
      <candidateList>
        <item>.</item>
      </candidateList>
      <explain/>
      <paraID>4FFB150C</paraID>
      <start>104</start>
      <end>106</end>
      <status>unmodified</status>
      <modifiedWord/>
      <trackRevisions>false</trackRevisions>
    </reviewItem>
    <reviewItem>
      <errorID>fdb7f2a0-8d37-4185-b0e4-3f8b594d8aa0</errorID>
      <errorWord>./</errorWord>
      <group>L1_Punc</group>
      <groupName>标点问题</groupName>
      <ability>L2_Punc</ability>
      <abilityName>标点符号检查</abilityName>
      <candidateList>
        <item>.</item>
      </candidateList>
      <explain/>
      <paraID>4FFB150C</paraID>
      <start>123</start>
      <end>125</end>
      <status>unmodified</status>
      <modifiedWord/>
      <trackRevisions>false</trackRevisions>
    </reviewItem>
    <reviewItem>
      <errorID>e530e398-1d6b-44d6-ac4a-525e56dea32c</errorID>
      <errorWord>./</errorWord>
      <group>L1_Punc</group>
      <groupName>标点问题</groupName>
      <ability>L2_Punc</ability>
      <abilityName>标点符号检查</abilityName>
      <candidateList>
        <item>.</item>
      </candidateList>
      <explain/>
      <paraID>4FFB150C</paraID>
      <start>142</start>
      <end>144</end>
      <status>unmodified</status>
      <modifiedWord/>
      <trackRevisions>false</trackRevisions>
    </reviewItem>
    <reviewItem>
      <errorID>56ffdaf9-1d9c-4299-87f1-73dc853a2fe0</errorID>
      <errorWord>./</errorWord>
      <group>L1_Punc</group>
      <groupName>标点问题</groupName>
      <ability>L2_Punc</ability>
      <abilityName>标点符号检查</abilityName>
      <candidateList>
        <item>.</item>
      </candidateList>
      <explain/>
      <paraID>4FFB150C</paraID>
      <start>160</start>
      <end>162</end>
      <status>unmodified</status>
      <modifiedWord/>
      <trackRevisions>false</trackRevisions>
    </reviewItem>
    <reviewItem>
      <errorID>c01fe7ef-8da8-4a91-aa50-5ead7f5af4d7</errorID>
      <errorWord>./</errorWord>
      <group>L1_Punc</group>
      <groupName>标点问题</groupName>
      <ability>L2_Punc</ability>
      <abilityName>标点符号检查</abilityName>
      <candidateList>
        <item>.</item>
      </candidateList>
      <explain/>
      <paraID>4FFB150C</paraID>
      <start>178</start>
      <end>180</end>
      <status>unmodified</status>
      <modifiedWord/>
      <trackRevisions>false</trackRevisions>
    </reviewItem>
    <reviewItem>
      <errorID>2cc7aaa2-c53f-488a-85ec-6ed90ca50aa3</errorID>
      <errorWord>./</errorWord>
      <group>L1_Punc</group>
      <groupName>标点问题</groupName>
      <ability>L2_Punc</ability>
      <abilityName>标点符号检查</abilityName>
      <candidateList>
        <item>.</item>
      </candidateList>
      <explain/>
      <paraID>4FFB150C</paraID>
      <start>219</start>
      <end>221</end>
      <status>unmodified</status>
      <modifiedWord/>
      <trackRevisions>false</trackRevisions>
    </reviewItem>
    <reviewItem>
      <errorID>afdc2809-8fd1-4a3b-b7c0-77d832723709</errorID>
      <errorWord>./</errorWord>
      <group>L1_Punc</group>
      <groupName>标点问题</groupName>
      <ability>L2_Punc</ability>
      <abilityName>标点符号检查</abilityName>
      <candidateList>
        <item>.</item>
      </candidateList>
      <explain/>
      <paraID>4FFB150C</paraID>
      <start>244</start>
      <end>246</end>
      <status>unmodified</status>
      <modifiedWord/>
      <trackRevisions>false</trackRevisions>
    </reviewItem>
    <reviewItem>
      <errorID>67399845-482b-4169-926a-ff4a063b3662</errorID>
      <errorWord>./</errorWord>
      <group>L1_Punc</group>
      <groupName>标点问题</groupName>
      <ability>L2_Punc</ability>
      <abilityName>标点符号检查</abilityName>
      <candidateList>
        <item>.</item>
      </candidateList>
      <explain/>
      <paraID>4FFB150C</paraID>
      <start>265</start>
      <end>267</end>
      <status>unmodified</status>
      <modifiedWord/>
      <trackRevisions>false</trackRevisions>
    </reviewItem>
    <reviewItem>
      <errorID>23af333c-f881-4cc1-a256-436d8ca3124c</errorID>
      <errorWord>./</errorWord>
      <group>L1_Punc</group>
      <groupName>标点问题</groupName>
      <ability>L2_Punc</ability>
      <abilityName>标点符号检查</abilityName>
      <candidateList>
        <item>.</item>
      </candidateList>
      <explain/>
      <paraID>4FFB150C</paraID>
      <start>285</start>
      <end>287</end>
      <status>unmodified</status>
      <modifiedWord/>
      <trackRevisions>false</trackRevisions>
    </reviewItem>
    <reviewItem>
      <errorID>fa13e1ca-d23b-4ea3-ac08-5d0fbe9b6e85</errorID>
      <errorWord>./</errorWord>
      <group>L1_Punc</group>
      <groupName>标点问题</groupName>
      <ability>L2_Punc</ability>
      <abilityName>标点符号检查</abilityName>
      <candidateList>
        <item>.</item>
      </candidateList>
      <explain/>
      <paraID>4FFB150C</paraID>
      <start>304</start>
      <end>306</end>
      <status>unmodified</status>
      <modifiedWord/>
      <trackRevisions>false</trackRevisions>
    </reviewItem>
    <reviewItem>
      <errorID>3c21ea2b-e667-4a25-b541-21417662772a</errorID>
      <errorWord>./</errorWord>
      <group>L1_Punc</group>
      <groupName>标点问题</groupName>
      <ability>L2_Punc</ability>
      <abilityName>标点符号检查</abilityName>
      <candidateList>
        <item>.</item>
      </candidateList>
      <explain/>
      <paraID>4FFB150C</paraID>
      <start>323</start>
      <end>325</end>
      <status>unmodified</status>
      <modifiedWord/>
      <trackRevisions>false</trackRevisions>
    </reviewItem>
    <reviewItem>
      <errorID>11154fd2-a078-46cc-af83-780cfa547319</errorID>
      <errorWord>./</errorWord>
      <group>L1_Punc</group>
      <groupName>标点问题</groupName>
      <ability>L2_Punc</ability>
      <abilityName>标点符号检查</abilityName>
      <candidateList>
        <item>.</item>
      </candidateList>
      <explain/>
      <paraID>4FFB150C</paraID>
      <start>342</start>
      <end>344</end>
      <status>unmodified</status>
      <modifiedWord/>
      <trackRevisions>false</trackRevisions>
    </reviewItem>
    <reviewItem>
      <errorID>69f420b4-6e9a-4ba2-9ec9-91433dde5d92</errorID>
      <errorWord>./</errorWord>
      <group>L1_Punc</group>
      <groupName>标点问题</groupName>
      <ability>L2_Punc</ability>
      <abilityName>标点符号检查</abilityName>
      <candidateList>
        <item>.</item>
      </candidateList>
      <explain/>
      <paraID>4FFB150C</paraID>
      <start>360</start>
      <end>362</end>
      <status>unmodified</status>
      <modifiedWord/>
      <trackRevisions>false</trackRevisions>
    </reviewItem>
    <reviewItem>
      <errorID>3fef12c7-093c-47df-9d76-99e980a38b0b</errorID>
      <errorWord>'</errorWord>
      <group>L1_Format</group>
      <groupName>格式问题</groupName>
      <ability>L2_HalfPunc</ability>
      <abilityName>全半角检查</abilityName>
      <candidateList/>
      <explain>文本全半角错误。</explain>
      <paraID>7BED5972</paraID>
      <start>38</start>
      <end>39</end>
      <status>unmodified</status>
      <modifiedWord/>
      <trackRevisions>false</trackRevisions>
    </reviewItem>
    <reviewItem>
      <errorID>a9f454bc-7c7d-4d7a-8962-110c4035afab</errorID>
      <errorWord>.。</errorWord>
      <group>L1_Punc</group>
      <groupName>标点问题</groupName>
      <ability>L2_Punc</ability>
      <abilityName>标点符号检查</abilityName>
      <candidateList>
        <item>.</item>
      </candidateList>
      <explain/>
      <paraID>636ED915</paraID>
      <start>106</start>
      <end>108</end>
      <status>unmodified</status>
      <modifiedWord/>
      <trackRevisions>false</trackRevisions>
    </reviewItem>
    <reviewItem>
      <errorID>2abb20e9-b4c0-483c-a517-5a5355164235</errorID>
      <errorWord>./</errorWord>
      <group>L1_Punc</group>
      <groupName>标点问题</groupName>
      <ability>L2_Punc</ability>
      <abilityName>标点符号检查</abilityName>
      <candidateList>
        <item>.</item>
      </candidateList>
      <explain/>
      <paraID>7E95408D</paraID>
      <start>30</start>
      <end>32</end>
      <status>unmodified</status>
      <modifiedWord/>
      <trackRevisions>false</trackRevisions>
    </reviewItem>
    <reviewItem>
      <errorID>01d02135-5ae2-40f3-a2c2-344c54ec0c10</errorID>
      <errorWord>./</errorWord>
      <group>L1_Punc</group>
      <groupName>标点问题</groupName>
      <ability>L2_Punc</ability>
      <abilityName>标点符号检查</abilityName>
      <candidateList>
        <item>.</item>
      </candidateList>
      <explain/>
      <paraID>7E95408D</paraID>
      <start>52</start>
      <end>54</end>
      <status>unmodified</status>
      <modifiedWord/>
      <trackRevisions>false</trackRevisions>
    </reviewItem>
    <reviewItem>
      <errorID>d31572b4-8fa9-4036-aa00-d63dcf18bca7</errorID>
      <errorWord>./</errorWord>
      <group>L1_Punc</group>
      <groupName>标点问题</groupName>
      <ability>L2_Punc</ability>
      <abilityName>标点符号检查</abilityName>
      <candidateList>
        <item>.</item>
      </candidateList>
      <explain/>
      <paraID>7E95408D</paraID>
      <start>65</start>
      <end>67</end>
      <status>unmodified</status>
      <modifiedWord/>
      <trackRevisions>false</trackRevisions>
    </reviewItem>
    <reviewItem>
      <errorID>c8525692-98fa-4edb-adba-f708cc900fd9</errorID>
      <errorWord>./</errorWord>
      <group>L1_Punc</group>
      <groupName>标点问题</groupName>
      <ability>L2_Punc</ability>
      <abilityName>标点符号检查</abilityName>
      <candidateList>
        <item>.</item>
      </candidateList>
      <explain/>
      <paraID>7E95408D</paraID>
      <start>79</start>
      <end>81</end>
      <status>unmodified</status>
      <modifiedWord/>
      <trackRevisions>false</trackRevisions>
    </reviewItem>
    <reviewItem>
      <errorID>312498b7-8ede-4f88-80a7-3d0ab9d402a1</errorID>
      <errorWord>./</errorWord>
      <group>L1_Punc</group>
      <groupName>标点问题</groupName>
      <ability>L2_Punc</ability>
      <abilityName>标点符号检查</abilityName>
      <candidateList>
        <item>.</item>
      </candidateList>
      <explain/>
      <paraID>7E95408D</paraID>
      <start>93</start>
      <end>95</end>
      <status>unmodified</status>
      <modifiedWord/>
      <trackRevisions>false</trackRevisions>
    </reviewItem>
    <reviewItem>
      <errorID>f864e9f3-e637-4bcb-8ce6-8128247bd3e2</errorID>
      <errorWord>./</errorWord>
      <group>L1_Punc</group>
      <groupName>标点问题</groupName>
      <ability>L2_Punc</ability>
      <abilityName>标点符号检查</abilityName>
      <candidateList>
        <item>.</item>
      </candidateList>
      <explain/>
      <paraID>7E95408D</paraID>
      <start>130</start>
      <end>132</end>
      <status>unmodified</status>
      <modifiedWord/>
      <trackRevisions>false</trackRevisions>
    </reviewItem>
    <reviewItem>
      <errorID>86b35092-b700-473e-9c43-fcdd642fdde8</errorID>
      <errorWord>./</errorWord>
      <group>L1_Punc</group>
      <groupName>标点问题</groupName>
      <ability>L2_Punc</ability>
      <abilityName>标点符号检查</abilityName>
      <candidateList>
        <item>.</item>
      </candidateList>
      <explain/>
      <paraID>7E95408D</paraID>
      <start>152</start>
      <end>154</end>
      <status>unmodified</status>
      <modifiedWord/>
      <trackRevisions>false</trackRevisions>
    </reviewItem>
    <reviewItem>
      <errorID>941b5da5-bf99-4bdd-8e21-f0626daffc1d</errorID>
      <errorWord>./</errorWord>
      <group>L1_Punc</group>
      <groupName>标点问题</groupName>
      <ability>L2_Punc</ability>
      <abilityName>标点符号检查</abilityName>
      <candidateList>
        <item>.</item>
      </candidateList>
      <explain/>
      <paraID>7E95408D</paraID>
      <start>165</start>
      <end>167</end>
      <status>unmodified</status>
      <modifiedWord/>
      <trackRevisions>false</trackRevisions>
    </reviewItem>
    <reviewItem>
      <errorID>d7afa2fc-8fab-4f9c-823b-0269e0f6709f</errorID>
      <errorWord>./</errorWord>
      <group>L1_Punc</group>
      <groupName>标点问题</groupName>
      <ability>L2_Punc</ability>
      <abilityName>标点符号检查</abilityName>
      <candidateList>
        <item>.</item>
      </candidateList>
      <explain/>
      <paraID>7E95408D</paraID>
      <start>179</start>
      <end>181</end>
      <status>unmodified</status>
      <modifiedWord/>
      <trackRevisions>false</trackRevisions>
    </reviewItem>
    <reviewItem>
      <errorID>d308291d-3bc8-4786-9873-758b13f98603</errorID>
      <errorWord>./</errorWord>
      <group>L1_Punc</group>
      <groupName>标点问题</groupName>
      <ability>L2_Punc</ability>
      <abilityName>标点符号检查</abilityName>
      <candidateList>
        <item>.</item>
      </candidateList>
      <explain/>
      <paraID>7E95408D</paraID>
      <start>193</start>
      <end>195</end>
      <status>unmodified</status>
      <modifiedWord/>
      <trackRevisions>false</trackRevisions>
    </reviewItem>
    <reviewItem>
      <errorID>66816162-3994-4ed4-9ef3-0fea4fdebecf</errorID>
      <errorWord>(</errorWord>
      <group>L1_Format</group>
      <groupName>格式问题</groupName>
      <ability>L2_HalfPunc</ability>
      <abilityName>全半角检查</abilityName>
      <candidateList>
        <item>（</item>
      </candidateList>
      <explain>文本全半角错误。</explain>
      <paraID>34A957BD</paraID>
      <start>36</start>
      <end>37</end>
      <status>unmodified</status>
      <modifiedWord/>
      <trackRevisions>false</trackRevisions>
    </reviewItem>
    <reviewItem>
      <errorID>99f0f05d-6a67-464f-ac05-08766e48c40f</errorID>
      <errorWord>)</errorWord>
      <group>L1_Format</group>
      <groupName>格式问题</groupName>
      <ability>L2_HalfPunc</ability>
      <abilityName>全半角检查</abilityName>
      <candidateList>
        <item>）</item>
      </candidateList>
      <explain>文本全半角错误。</explain>
      <paraID>34A957BD</paraID>
      <start>39</start>
      <end>40</end>
      <status>unmodified</status>
      <modifiedWord/>
      <trackRevisions>false</trackRevisions>
    </reviewItem>
    <reviewItem>
      <errorID>ac593df0-8311-4e3c-a43d-726861aed189</errorID>
      <errorWord>(</errorWord>
      <group>L1_Format</group>
      <groupName>格式问题</groupName>
      <ability>L2_HalfPunc</ability>
      <abilityName>全半角检查</abilityName>
      <candidateList>
        <item>（</item>
      </candidateList>
      <explain>文本全半角错误。</explain>
      <paraID>34A957BD</paraID>
      <start>64</start>
      <end>65</end>
      <status>unmodified</status>
      <modifiedWord/>
      <trackRevisions>false</trackRevisions>
    </reviewItem>
    <reviewItem>
      <errorID>3f10a3c1-b238-4a7a-ae94-d70860c691b9</errorID>
      <errorWord>)</errorWord>
      <group>L1_Format</group>
      <groupName>格式问题</groupName>
      <ability>L2_HalfPunc</ability>
      <abilityName>全半角检查</abilityName>
      <candidateList>
        <item>）</item>
      </candidateList>
      <explain>文本全半角错误。</explain>
      <paraID>34A957BD</paraID>
      <start>66</start>
      <end>67</end>
      <status>unmodified</status>
      <modifiedWord/>
      <trackRevisions>false</trackRevisions>
    </reviewItem>
    <reviewItem>
      <errorID>4f16fb5a-cafd-4129-96f0-71fa6e5210a6</errorID>
      <errorWord>.、</errorWord>
      <group>L1_Punc</group>
      <groupName>标点问题</groupName>
      <ability>L2_Punc</ability>
      <abilityName>标点符号检查</abilityName>
      <candidateList>
        <item>.</item>
      </candidateList>
      <explain/>
      <paraID>29239178</paraID>
      <start>65</start>
      <end>67</end>
      <status>unmodified</status>
      <modifiedWord/>
      <trackRevisions>false</trackRevisions>
    </reviewItem>
    <reviewItem>
      <errorID>a4ede2ef-7e36-4a8c-880d-15ca155e89f2</errorID>
      <errorWord>.。</errorWord>
      <group>L1_Punc</group>
      <groupName>标点问题</groupName>
      <ability>L2_Punc</ability>
      <abilityName>标点符号检查</abilityName>
      <candidateList>
        <item>.</item>
      </candidateList>
      <explain/>
      <paraID>29239178</paraID>
      <start>105</start>
      <end>107</end>
      <status>unmodified</status>
      <modifiedWord/>
      <trackRevisions>false</trackRevisions>
    </reviewItem>
    <reviewItem>
      <errorID>db5e2b70-a9b7-4e0d-9788-4cfcff0c2247</errorID>
      <errorWord>.。</errorWord>
      <group>L1_Punc</group>
      <groupName>标点问题</groupName>
      <ability>L2_Punc</ability>
      <abilityName>标点符号检查</abilityName>
      <candidateList>
        <item>.</item>
      </candidateList>
      <explain/>
      <paraID>42FF5692</paraID>
      <start>90</start>
      <end>92</end>
      <status>unmodified</status>
      <modifiedWord/>
      <trackRevisions>false</trackRevisions>
    </reviewItem>
    <reviewItem>
      <errorID>572112c3-e964-4d02-8b0c-9900fef1fe1d</errorID>
      <errorWord>./</errorWord>
      <group>L1_Punc</group>
      <groupName>标点问题</groupName>
      <ability>L2_Punc</ability>
      <abilityName>标点符号检查</abilityName>
      <candidateList>
        <item>.</item>
      </candidateList>
      <explain/>
      <paraID>55651B29</paraID>
      <start>29</start>
      <end>31</end>
      <status>unmodified</status>
      <modifiedWord/>
      <trackRevisions>false</trackRevisions>
    </reviewItem>
    <reviewItem>
      <errorID>42f0a37e-95b9-4243-af08-4c029c4a6ab6</errorID>
      <errorWord>./</errorWord>
      <group>L1_Punc</group>
      <groupName>标点问题</groupName>
      <ability>L2_Punc</ability>
      <abilityName>标点符号检查</abilityName>
      <candidateList>
        <item>.</item>
      </candidateList>
      <explain/>
      <paraID>55651B29</paraID>
      <start>53</start>
      <end>55</end>
      <status>unmodified</status>
      <modifiedWord/>
      <trackRevisions>false</trackRevisions>
    </reviewItem>
    <reviewItem>
      <errorID>aa3f4c7c-d793-4ddf-ba23-e42370a67ec4</errorID>
      <errorWord>./</errorWord>
      <group>L1_Punc</group>
      <groupName>标点问题</groupName>
      <ability>L2_Punc</ability>
      <abilityName>标点符号检查</abilityName>
      <candidateList>
        <item>.</item>
      </candidateList>
      <explain/>
      <paraID>55651B29</paraID>
      <start>70</start>
      <end>72</end>
      <status>unmodified</status>
      <modifiedWord/>
      <trackRevisions>false</trackRevisions>
    </reviewItem>
    <reviewItem>
      <errorID>d92f164b-b1ce-4b64-851e-04c17dd22c1d</errorID>
      <errorWord>./</errorWord>
      <group>L1_Punc</group>
      <groupName>标点问题</groupName>
      <ability>L2_Punc</ability>
      <abilityName>标点符号检查</abilityName>
      <candidateList>
        <item>.</item>
      </candidateList>
      <explain/>
      <paraID>55651B29</paraID>
      <start>89</start>
      <end>91</end>
      <status>unmodified</status>
      <modifiedWord/>
      <trackRevisions>false</trackRevisions>
    </reviewItem>
    <reviewItem>
      <errorID>abfac550-0bf0-4ec0-b802-fa47922d1ad3</errorID>
      <errorWord>./</errorWord>
      <group>L1_Punc</group>
      <groupName>标点问题</groupName>
      <ability>L2_Punc</ability>
      <abilityName>标点符号检查</abilityName>
      <candidateList>
        <item>.</item>
      </candidateList>
      <explain/>
      <paraID>55651B29</paraID>
      <start>106</start>
      <end>108</end>
      <status>unmodified</status>
      <modifiedWord/>
      <trackRevisions>false</trackRevisions>
    </reviewItem>
    <reviewItem>
      <errorID>8769308b-feb0-4541-9d07-6c0a0e8d57c8</errorID>
      <errorWord>./</errorWord>
      <group>L1_Punc</group>
      <groupName>标点问题</groupName>
      <ability>L2_Punc</ability>
      <abilityName>标点符号检查</abilityName>
      <candidateList>
        <item>.</item>
      </candidateList>
      <explain/>
      <paraID>55651B29</paraID>
      <start>140</start>
      <end>142</end>
      <status>unmodified</status>
      <modifiedWord/>
      <trackRevisions>false</trackRevisions>
    </reviewItem>
    <reviewItem>
      <errorID>ab3b73a1-a97a-4fd4-94e3-80f626bdceed</errorID>
      <errorWord>./</errorWord>
      <group>L1_Punc</group>
      <groupName>标点问题</groupName>
      <ability>L2_Punc</ability>
      <abilityName>标点符号检查</abilityName>
      <candidateList>
        <item>.</item>
      </candidateList>
      <explain/>
      <paraID>55651B29</paraID>
      <start>162</start>
      <end>164</end>
      <status>unmodified</status>
      <modifiedWord/>
      <trackRevisions>false</trackRevisions>
    </reviewItem>
    <reviewItem>
      <errorID>5c651638-302f-43b3-b0b3-db594bf4a153</errorID>
      <errorWord>./</errorWord>
      <group>L1_Punc</group>
      <groupName>标点问题</groupName>
      <ability>L2_Punc</ability>
      <abilityName>标点符号检查</abilityName>
      <candidateList>
        <item>.</item>
      </candidateList>
      <explain/>
      <paraID>55651B29</paraID>
      <start>180</start>
      <end>182</end>
      <status>unmodified</status>
      <modifiedWord/>
      <trackRevisions>false</trackRevisions>
    </reviewItem>
    <reviewItem>
      <errorID>4197f148-96c2-4bb1-bc12-322f54d95ec1</errorID>
      <errorWord>./</errorWord>
      <group>L1_Punc</group>
      <groupName>标点问题</groupName>
      <ability>L2_Punc</ability>
      <abilityName>标点符号检查</abilityName>
      <candidateList>
        <item>.</item>
      </candidateList>
      <explain/>
      <paraID>55651B29</paraID>
      <start>199</start>
      <end>201</end>
      <status>unmodified</status>
      <modifiedWord/>
      <trackRevisions>false</trackRevisions>
    </reviewItem>
    <reviewItem>
      <errorID>dbd06eaa-4f5c-4014-9f8b-a21edfd9e073</errorID>
      <errorWord>./</errorWord>
      <group>L1_Punc</group>
      <groupName>标点问题</groupName>
      <ability>L2_Punc</ability>
      <abilityName>标点符号检查</abilityName>
      <candidateList>
        <item>.</item>
      </candidateList>
      <explain/>
      <paraID>55651B29</paraID>
      <start>216</start>
      <end>218</end>
      <status>unmodified</status>
      <modifiedWord/>
      <trackRevisions>false</trackRevisions>
    </reviewItem>
    <reviewItem>
      <errorID>eca35c8e-50f3-4180-8d88-5517bbd4f6af</errorID>
      <errorWord>(</errorWord>
      <group>L1_Format</group>
      <groupName>格式问题</groupName>
      <ability>L2_HalfPunc</ability>
      <abilityName>全半角检查</abilityName>
      <candidateList>
        <item>（</item>
      </candidateList>
      <explain>文本全半角错误。</explain>
      <paraID> 7294E9B</paraID>
      <start>36</start>
      <end>37</end>
      <status>unmodified</status>
      <modifiedWord/>
      <trackRevisions>false</trackRevisions>
    </reviewItem>
    <reviewItem>
      <errorID>bf6f52d8-5535-4117-a1dd-1f3f1b4d4af8</errorID>
      <errorWord>)</errorWord>
      <group>L1_Format</group>
      <groupName>格式问题</groupName>
      <ability>L2_HalfPunc</ability>
      <abilityName>全半角检查</abilityName>
      <candidateList>
        <item>）</item>
      </candidateList>
      <explain>文本全半角错误。</explain>
      <paraID> 7294E9B</paraID>
      <start>39</start>
      <end>40</end>
      <status>unmodified</status>
      <modifiedWord/>
      <trackRevisions>false</trackRevisions>
    </reviewItem>
    <reviewItem>
      <errorID>ad1acc6e-695e-418e-9d98-454eaf44e9e7</errorID>
      <errorWord>(</errorWord>
      <group>L1_Format</group>
      <groupName>格式问题</groupName>
      <ability>L2_HalfPunc</ability>
      <abilityName>全半角检查</abilityName>
      <candidateList>
        <item>（</item>
      </candidateList>
      <explain>文本全半角错误。</explain>
      <paraID> 7294E9B</paraID>
      <start>64</start>
      <end>65</end>
      <status>unmodified</status>
      <modifiedWord/>
      <trackRevisions>false</trackRevisions>
    </reviewItem>
    <reviewItem>
      <errorID>a484ceef-609d-4942-aa20-8fe151d0a450</errorID>
      <errorWord>)</errorWord>
      <group>L1_Format</group>
      <groupName>格式问题</groupName>
      <ability>L2_HalfPunc</ability>
      <abilityName>全半角检查</abilityName>
      <candidateList>
        <item>）</item>
      </candidateList>
      <explain>文本全半角错误。</explain>
      <paraID> 7294E9B</paraID>
      <start>66</start>
      <end>67</end>
      <status>unmodified</status>
      <modifiedWord/>
      <trackRevisions>false</trackRevisions>
    </reviewItem>
    <reviewItem>
      <errorID>f6803b28-988c-4b9b-b7a5-3420197ea545</errorID>
      <errorWord>灯心草</errorWord>
      <group>L1_Word</group>
      <groupName>字词问题</groupName>
      <ability>L2_Alias</ability>
      <abilityName>也作/曾用词</abilityName>
      <candidateList>
        <item>灯芯草</item>
      </candidateList>
      <explain>词汇[灯心草]为不规范表述或旧称，其规范书面表述为[灯芯草]。</explain>
      <paraID> 8055E31</paraID>
      <start>0</start>
      <end>3</end>
      <status>unmodified</status>
      <modifiedWord/>
      <trackRevisions>false</trackRevisions>
    </reviewItem>
    <reviewItem>
      <errorID>de175e25-fb24-4414-90da-fac334fac1cc</errorID>
      <errorWord>灯心草</errorWord>
      <group>L1_Word</group>
      <groupName>字词问题</groupName>
      <ability>L2_Alias</ability>
      <abilityName>也作/曾用词</abilityName>
      <candidateList>
        <item>灯芯草</item>
      </candidateList>
      <explain>词汇[灯心草]为不规范表述或旧称，其规范书面表述为[灯芯草]。</explain>
      <paraID>50FB3F4A</paraID>
      <start>0</start>
      <end>3</end>
      <status>unmodified</status>
      <modifiedWord/>
      <trackRevisions>false</trackRevisions>
    </reviewItem>
    <reviewItem>
      <errorID>93bf053f-a8dd-4f24-8a25-d068d6068273</errorID>
      <errorWord>评价</errorWord>
      <group>L1_Word</group>
      <groupName>字词问题</groupName>
      <ability>L2_Typo</ability>
      <abilityName>字词错误</abilityName>
      <candidateList>
        <item>平价</item>
      </candidateList>
      <explain/>
      <paraID>77E25F75</paraID>
      <start>30</start>
      <end>32</end>
      <status>unmodified</status>
      <modifiedWord/>
      <trackRevisions>false</trackRevisions>
    </reviewItem>
    <reviewItem>
      <errorID>a9632c21-64d8-47b8-b0f5-7f7536d52314</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6C4C41DC</paraID>
      <start>14</start>
      <end>15</end>
      <status>unmodified</status>
      <modifiedWord/>
      <trackRevisions>false</trackRevisions>
    </reviewItem>
    <reviewItem>
      <errorID>1efb1c58-8b16-4d75-8452-b92d1c4c1380</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6C4C41DC</paraID>
      <start>35</start>
      <end>36</end>
      <status>unmodified</status>
      <modifiedWord/>
      <trackRevisions>false</trackRevisions>
    </reviewItem>
    <reviewItem>
      <errorID>ac7e537a-23af-4f84-94f8-c231b136778d</errorID>
      <errorWord>监测</errorWord>
      <group>L1_Word</group>
      <groupName>字词问题</groupName>
      <ability>L2_Typo</ability>
      <abilityName>字词错误</abilityName>
      <candidateList>
        <item>检测</item>
      </candidateList>
      <explain/>
      <paraID>1F6ACC61</paraID>
      <start>5</start>
      <end>7</end>
      <status>unmodified</status>
      <modifiedWord/>
      <trackRevisions>false</trackRevisions>
    </reviewItem>
    <reviewItem>
      <errorID>842c830a-b13b-4b8d-8ebe-28c4fc602f8e</errorID>
      <errorWord>容量法</errorWord>
      <group>L1_Knowledge</group>
      <groupName>知识性问题</groupName>
      <ability>L2_Term</ability>
      <abilityName>专业术语</abilityName>
      <candidateList>
        <item>滴定法</item>
      </candidateList>
      <explain>医学名词[容量法]为不规范表述或旧称，其规范书面表述为[滴定法]。</explain>
      <paraID>3AF78FA6</paraID>
      <start>10</start>
      <end>13</end>
      <status>unmodified</status>
      <modifiedWord/>
      <trackRevisions>false</trackRevisions>
    </reviewItem>
    <reviewItem>
      <errorID>38555b52-3fc4-4c71-9799-06f850dc51b2</errorID>
      <errorWord>水温</errorWord>
      <group>L1_Word</group>
      <groupName>字词问题</groupName>
      <ability>L2_Typo</ability>
      <abilityName>字词错误</abilityName>
      <candidateList>
        <item>水体</item>
      </candidateList>
      <explain/>
      <paraID>4F53A5C0</paraID>
      <start>16</start>
      <end>18</end>
      <status>unmodified</status>
      <modifiedWord/>
      <trackRevisions>false</trackRevisions>
    </reviewItem>
    <reviewItem>
      <errorID>c331e25f-d69e-4704-9c43-04d4573192e6</errorID>
      <errorWord>地表水检测</errorWord>
      <group>L1_Word</group>
      <groupName>字词问题</groupName>
      <ability>L2_Typo</ability>
      <abilityName>字词错误</abilityName>
      <candidateList>
        <item>地表水监测</item>
      </candidateList>
      <explain/>
      <paraID> 63412D9</paraID>
      <start>8</start>
      <end>13</end>
      <status>unmodified</status>
      <modifiedWord/>
      <trackRevisions>false</trackRevisions>
    </reviewItem>
    <reviewItem>
      <errorID>0ae3afd2-6480-4191-8525-043d20fe35be</errorID>
      <errorWord>地表水检测</errorWord>
      <group>L1_Word</group>
      <groupName>字词问题</groupName>
      <ability>L2_Typo</ability>
      <abilityName>字词错误</abilityName>
      <candidateList>
        <item>地表水监测</item>
      </candidateList>
      <explain/>
      <paraID>78B585C0</paraID>
      <start>8</start>
      <end>13</end>
      <status>unmodified</status>
      <modifiedWord/>
      <trackRevisions>false</trackRevisions>
    </reviewItem>
    <reviewItem>
      <errorID>2aafa261-4321-4b83-9d62-afc55fff2c4a</errorID>
      <errorWord>标准指数</errorWord>
      <group>L1_Knowledge</group>
      <groupName>知识性问题</groupName>
      <ability>L2_Term</ability>
      <abilityName>专业术语</abilityName>
      <candidateList>
        <item>标准分数</item>
      </candidateList>
      <explain/>
      <paraID>23892D1D</paraID>
      <start>35</start>
      <end>39</end>
      <status>unmodified</status>
      <modifiedWord/>
      <trackRevisions>false</trackRevisions>
    </reviewItem>
    <reviewItem>
      <errorID>e6c232a3-fc76-4596-abe6-7dd4b54e5d34</errorID>
      <errorWord>年</errorWord>
      <group>L1_Word</group>
      <groupName>字词问题</groupName>
      <ability>L2_Typo</ability>
      <abilityName>字词错误</abilityName>
      <candidateList>
        <item>年度</item>
      </candidateList>
      <explain/>
      <paraID>5478D955</paraID>
      <start>0</start>
      <end>1</end>
      <status>unmodified</status>
      <modifiedWord/>
      <trackRevisions>false</trackRevisions>
    </reviewItem>
    <reviewItem>
      <errorID>35364fdf-7cde-4898-8ec0-401bdfbc2a27</errorID>
      <errorWord>监测方法</errorWord>
      <group>L1_Word</group>
      <groupName>字词问题</groupName>
      <ability>L2_Typo</ability>
      <abilityName>字词错误</abilityName>
      <candidateList>
        <item>检测方法</item>
      </candidateList>
      <explain/>
      <paraID>72608303</paraID>
      <start>3</start>
      <end>7</end>
      <status>unmodified</status>
      <modifiedWord/>
      <trackRevisions>false</trackRevisions>
    </reviewItem>
    <reviewItem>
      <errorID>025ea70d-8a1d-43cd-a1f6-834b590c42db</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6A720F91</paraID>
      <start>15</start>
      <end>16</end>
      <status>unmodified</status>
      <modifiedWord/>
      <trackRevisions>false</trackRevisions>
    </reviewItem>
    <reviewItem>
      <errorID>78aee559-abb1-4ca6-953d-2b417843ce32</errorID>
      <errorWord>监测方法</errorWord>
      <group>L1_Word</group>
      <groupName>字词问题</groupName>
      <ability>L2_Typo</ability>
      <abilityName>字词错误</abilityName>
      <candidateList>
        <item>检测方法</item>
      </candidateList>
      <explain/>
      <paraID>5C90826A</paraID>
      <start>3</start>
      <end>7</end>
      <status>unmodified</status>
      <modifiedWord/>
      <trackRevisions>false</trackRevisions>
    </reviewItem>
    <reviewItem>
      <errorID>53a7e24e-b5a3-461c-b774-5d44409691ef</errorID>
      <errorWord>(</errorWord>
      <group>L1_Format</group>
      <groupName>格式问题</groupName>
      <ability>L2_HalfPunc</ability>
      <abilityName>全半角检查</abilityName>
      <candidateList>
        <item>（</item>
      </candidateList>
      <explain>文本全半角错误。</explain>
      <paraID> 46EC656</paraID>
      <start>32</start>
      <end>33</end>
      <status>unmodified</status>
      <modifiedWord/>
      <trackRevisions>false</trackRevisions>
    </reviewItem>
    <reviewItem>
      <errorID>b4634922-e6ab-4a97-a627-6b8e54792246</errorID>
      <errorWord>(</errorWord>
      <group>L1_Format</group>
      <groupName>格式问题</groupName>
      <ability>L2_HalfPunc</ability>
      <abilityName>全半角检查</abilityName>
      <candidateList>
        <item>（</item>
      </candidateList>
      <explain>文本全半角错误。</explain>
      <paraID> 46EC656</paraID>
      <start>48</start>
      <end>49</end>
      <status>unmodified</status>
      <modifiedWord/>
      <trackRevisions>false</trackRevisions>
    </reviewItem>
    <reviewItem>
      <errorID>04cbb507-168c-48cc-a2bb-dedaf28d7785</errorID>
      <errorWord>地下水水位监测</errorWord>
      <group>L1_Knowledge</group>
      <groupName>知识性问题</groupName>
      <ability>L2_Term</ability>
      <abilityName>专业术语</abilityName>
      <candidateList>
        <item>地下水水质监测</item>
      </candidateList>
      <explain/>
      <paraID>1482F8EF</paraID>
      <start>198</start>
      <end>205</end>
      <status>unmodified</status>
      <modifiedWord/>
      <trackRevisions>false</trackRevisions>
    </reviewItem>
    <reviewItem>
      <errorID>fb462c5c-46c7-47ac-a9d1-788e1b16526a</errorID>
      <errorWord>)</errorWord>
      <group>L1_Format</group>
      <groupName>格式问题</groupName>
      <ability>L2_HalfPunc</ability>
      <abilityName>全半角检查</abilityName>
      <candidateList>
        <item>）</item>
      </candidateList>
      <explain>文本全半角错误。</explain>
      <paraID>568EDFBB</paraID>
      <start>49</start>
      <end>50</end>
      <status>unmodified</status>
      <modifiedWord/>
      <trackRevisions>false</trackRevisions>
    </reviewItem>
    <reviewItem>
      <errorID>33167a6a-8432-4d38-a071-5826ef649a61</errorID>
      <errorWord>，</errorWord>
      <group>L1_Format</group>
      <groupName>格式问题</groupName>
      <ability>L2_HalfPunc</ability>
      <abilityName>全半角检查</abilityName>
      <candidateList>
        <item>,</item>
      </candidateList>
      <explain>文本全半角错误。</explain>
      <paraID>7A88B731</paraID>
      <start>4</start>
      <end>5</end>
      <status>unmodified</status>
      <modifiedWord/>
      <trackRevisions>false</trackRevisions>
    </reviewItem>
    <reviewItem>
      <errorID>fdecb4f7-57c4-46d5-a88d-c53da41c989a</errorID>
      <errorWord>&gt;</errorWord>
      <group>L1_Punc</group>
      <groupName>标点问题</groupName>
      <ability>L2_Punc</ability>
      <abilityName>标点符号检查</abilityName>
      <candidateList/>
      <explain/>
      <paraID>2C56E7D8</paraID>
      <start>0</start>
      <end>1</end>
      <status>unmodified</status>
      <modifiedWord/>
      <trackRevisions>false</trackRevisions>
    </reviewItem>
    <reviewItem>
      <errorID>ac35ec20-951b-4a02-8025-91e14bbf4122</errorID>
      <errorWord>&gt;</errorWord>
      <group>L1_Punc</group>
      <groupName>标点问题</groupName>
      <ability>L2_Punc</ability>
      <abilityName>标点符号检查</abilityName>
      <candidateList/>
      <explain/>
      <paraID>792FB24C</paraID>
      <start>0</start>
      <end>1</end>
      <status>unmodified</status>
      <modifiedWord/>
      <trackRevisions>false</trackRevisions>
    </reviewItem>
    <reviewItem>
      <errorID>47e65797-4c35-47bb-972c-2188bb3411a0</errorID>
      <errorWord>&gt;</errorWord>
      <group>L1_Punc</group>
      <groupName>标点问题</groupName>
      <ability>L2_Punc</ability>
      <abilityName>标点符号检查</abilityName>
      <candidateList/>
      <explain/>
      <paraID> 6DEA794</paraID>
      <start>0</start>
      <end>1</end>
      <status>unmodified</status>
      <modifiedWord/>
      <trackRevisions>false</trackRevisions>
    </reviewItem>
    <reviewItem>
      <errorID>e59cf2ad-4ebc-44b4-9bf4-6a370d3b9e54</errorID>
      <errorWord>&gt;</errorWord>
      <group>L1_Punc</group>
      <groupName>标点问题</groupName>
      <ability>L2_Punc</ability>
      <abilityName>标点符号检查</abilityName>
      <candidateList/>
      <explain/>
      <paraID>1DAD5249</paraID>
      <start>0</start>
      <end>1</end>
      <status>unmodified</status>
      <modifiedWord/>
      <trackRevisions>false</trackRevisions>
    </reviewItem>
    <reviewItem>
      <errorID>f338c8be-a64d-4869-a66c-658b2a38d78e</errorID>
      <errorWord>&gt;</errorWord>
      <group>L1_Punc</group>
      <groupName>标点问题</groupName>
      <ability>L2_Punc</ability>
      <abilityName>标点符号检查</abilityName>
      <candidateList/>
      <explain/>
      <paraID> 69FEB7C</paraID>
      <start>0</start>
      <end>1</end>
      <status>unmodified</status>
      <modifiedWord/>
      <trackRevisions>false</trackRevisions>
    </reviewItem>
    <reviewItem>
      <errorID>509c0401-f575-4929-8498-b311a99ead7c</errorID>
      <errorWord>&gt;</errorWord>
      <group>L1_Punc</group>
      <groupName>标点问题</groupName>
      <ability>L2_Punc</ability>
      <abilityName>标点符号检查</abilityName>
      <candidateList/>
      <explain/>
      <paraID> 1659E29</paraID>
      <start>0</start>
      <end>1</end>
      <status>unmodified</status>
      <modifiedWord/>
      <trackRevisions>false</trackRevisions>
    </reviewItem>
    <reviewItem>
      <errorID>8dd9d6ed-d6aa-4c93-bd5b-03fd60769b2a</errorID>
      <errorWord>&gt;</errorWord>
      <group>L1_Punc</group>
      <groupName>标点问题</groupName>
      <ability>L2_Punc</ability>
      <abilityName>标点符号检查</abilityName>
      <candidateList/>
      <explain/>
      <paraID>4FCFDD30</paraID>
      <start>0</start>
      <end>1</end>
      <status>unmodified</status>
      <modifiedWord/>
      <trackRevisions>false</trackRevisions>
    </reviewItem>
    <reviewItem>
      <errorID>7deb5f87-7997-43ed-a55c-16a484364885</errorID>
      <errorWord>&gt;</errorWord>
      <group>L1_Punc</group>
      <groupName>标点问题</groupName>
      <ability>L2_Punc</ability>
      <abilityName>标点符号检查</abilityName>
      <candidateList/>
      <explain/>
      <paraID>42E19F73</paraID>
      <start>0</start>
      <end>1</end>
      <status>unmodified</status>
      <modifiedWord/>
      <trackRevisions>false</trackRevisions>
    </reviewItem>
    <reviewItem>
      <errorID>88ddba0b-f25e-46f7-adf1-890dca5ace1c</errorID>
      <errorWord>&gt;</errorWord>
      <group>L1_Punc</group>
      <groupName>标点问题</groupName>
      <ability>L2_Punc</ability>
      <abilityName>标点符号检查</abilityName>
      <candidateList/>
      <explain/>
      <paraID>75B77B8C</paraID>
      <start>0</start>
      <end>1</end>
      <status>unmodified</status>
      <modifiedWord/>
      <trackRevisions>false</trackRevisions>
    </reviewItem>
    <reviewItem>
      <errorID>82156d30-c536-429e-b3d0-a1f4c4ecde1c</errorID>
      <errorWord>&gt;</errorWord>
      <group>L1_Punc</group>
      <groupName>标点问题</groupName>
      <ability>L2_Punc</ability>
      <abilityName>标点符号检查</abilityName>
      <candidateList/>
      <explain/>
      <paraID>27C89C58</paraID>
      <start>0</start>
      <end>1</end>
      <status>unmodified</status>
      <modifiedWord/>
      <trackRevisions>false</trackRevisions>
    </reviewItem>
    <reviewItem>
      <errorID>63ebb20f-c4ab-4086-ab35-9a7a87852023</errorID>
      <errorWord>&gt;</errorWord>
      <group>L1_Punc</group>
      <groupName>标点问题</groupName>
      <ability>L2_Punc</ability>
      <abilityName>标点符号检查</abilityName>
      <candidateList/>
      <explain/>
      <paraID>4E23D813</paraID>
      <start>0</start>
      <end>1</end>
      <status>unmodified</status>
      <modifiedWord/>
      <trackRevisions>false</trackRevisions>
    </reviewItem>
    <reviewItem>
      <errorID>e97e2777-42e6-4991-b94a-19b27356d14c</errorID>
      <errorWord>&gt;</errorWord>
      <group>L1_Punc</group>
      <groupName>标点问题</groupName>
      <ability>L2_Punc</ability>
      <abilityName>标点符号检查</abilityName>
      <candidateList/>
      <explain/>
      <paraID>438610C3</paraID>
      <start>0</start>
      <end>1</end>
      <status>unmodified</status>
      <modifiedWord/>
      <trackRevisions>false</trackRevisions>
    </reviewItem>
    <reviewItem>
      <errorID>bd8df4c3-e249-4f24-a0c8-6b45dbceb73a</errorID>
      <errorWord>&gt;</errorWord>
      <group>L1_Punc</group>
      <groupName>标点问题</groupName>
      <ability>L2_Punc</ability>
      <abilityName>标点符号检查</abilityName>
      <candidateList/>
      <explain/>
      <paraID>2ACD46FB</paraID>
      <start>0</start>
      <end>1</end>
      <status>unmodified</status>
      <modifiedWord/>
      <trackRevisions>false</trackRevisions>
    </reviewItem>
    <reviewItem>
      <errorID>5bb21cee-fbb4-4eca-af84-48ab57a605db</errorID>
      <errorWord>&gt;</errorWord>
      <group>L1_Punc</group>
      <groupName>标点问题</groupName>
      <ability>L2_Punc</ability>
      <abilityName>标点符号检查</abilityName>
      <candidateList/>
      <explain/>
      <paraID>7ED1FFA2</paraID>
      <start>0</start>
      <end>1</end>
      <status>unmodified</status>
      <modifiedWord/>
      <trackRevisions>false</trackRevisions>
    </reviewItem>
    <reviewItem>
      <errorID>cffcf50f-2eb5-4159-a252-f159b2627d38</errorID>
      <errorWord>&gt;</errorWord>
      <group>L1_Punc</group>
      <groupName>标点问题</groupName>
      <ability>L2_Punc</ability>
      <abilityName>标点符号检查</abilityName>
      <candidateList/>
      <explain/>
      <paraID>21A170A5</paraID>
      <start>0</start>
      <end>1</end>
      <status>unmodified</status>
      <modifiedWord/>
      <trackRevisions>false</trackRevisions>
    </reviewItem>
    <reviewItem>
      <errorID>45d3e27e-5b0e-4cf1-9074-505ce6fae7f9</errorID>
      <errorWord>&gt;</errorWord>
      <group>L1_Punc</group>
      <groupName>标点问题</groupName>
      <ability>L2_Punc</ability>
      <abilityName>标点符号检查</abilityName>
      <candidateList/>
      <explain/>
      <paraID>4F84D436</paraID>
      <start>0</start>
      <end>1</end>
      <status>unmodified</status>
      <modifiedWord/>
      <trackRevisions>false</trackRevisions>
    </reviewItem>
    <reviewItem>
      <errorID>c8766fc6-7a66-4f54-8360-fa7187e9f87b</errorID>
      <errorWord>&gt;</errorWord>
      <group>L1_Punc</group>
      <groupName>标点问题</groupName>
      <ability>L2_Punc</ability>
      <abilityName>标点符号检查</abilityName>
      <candidateList/>
      <explain/>
      <paraID>4836856A</paraID>
      <start>0</start>
      <end>1</end>
      <status>unmodified</status>
      <modifiedWord/>
      <trackRevisions>false</trackRevisions>
    </reviewItem>
    <reviewItem>
      <errorID>c6e4c463-0486-4dfb-8188-22d29c05b56d</errorID>
      <errorWord>&gt;</errorWord>
      <group>L1_Punc</group>
      <groupName>标点问题</groupName>
      <ability>L2_Punc</ability>
      <abilityName>标点符号检查</abilityName>
      <candidateList/>
      <explain/>
      <paraID> A9F1B82</paraID>
      <start>0</start>
      <end>1</end>
      <status>unmodified</status>
      <modifiedWord/>
      <trackRevisions>false</trackRevisions>
    </reviewItem>
    <reviewItem>
      <errorID>d539c3d2-887e-4572-91bb-a3fcb9bbf069</errorID>
      <errorWord>&gt;</errorWord>
      <group>L1_Punc</group>
      <groupName>标点问题</groupName>
      <ability>L2_Punc</ability>
      <abilityName>标点符号检查</abilityName>
      <candidateList/>
      <explain/>
      <paraID>15BC0EC3</paraID>
      <start>0</start>
      <end>1</end>
      <status>unmodified</status>
      <modifiedWord/>
      <trackRevisions>false</trackRevisions>
    </reviewItem>
    <reviewItem>
      <errorID>b79bd4d9-236a-401a-a39b-14972d82c302</errorID>
      <errorWord>&gt;</errorWord>
      <group>L1_Punc</group>
      <groupName>标点问题</groupName>
      <ability>L2_Punc</ability>
      <abilityName>标点符号检查</abilityName>
      <candidateList/>
      <explain/>
      <paraID> 91F54D9</paraID>
      <start>0</start>
      <end>1</end>
      <status>unmodified</status>
      <modifiedWord/>
      <trackRevisions>false</trackRevisions>
    </reviewItem>
    <reviewItem>
      <errorID>fa2aee0b-82c7-4e5b-aad7-795bbcfcfbe6</errorID>
      <errorWord>&gt;</errorWord>
      <group>L1_Punc</group>
      <groupName>标点问题</groupName>
      <ability>L2_Punc</ability>
      <abilityName>标点符号检查</abilityName>
      <candidateList/>
      <explain/>
      <paraID>39C053F1</paraID>
      <start>0</start>
      <end>1</end>
      <status>unmodified</status>
      <modifiedWord/>
      <trackRevisions>false</trackRevisions>
    </reviewItem>
    <reviewItem>
      <errorID>baea5fd8-7e0c-40d0-833e-221599bc54c3</errorID>
      <errorWord>&gt;</errorWord>
      <group>L1_Punc</group>
      <groupName>标点问题</groupName>
      <ability>L2_Punc</ability>
      <abilityName>标点符号检查</abilityName>
      <candidateList/>
      <explain/>
      <paraID>64AB9297</paraID>
      <start>0</start>
      <end>1</end>
      <status>unmodified</status>
      <modifiedWord/>
      <trackRevisions>false</trackRevisions>
    </reviewItem>
    <reviewItem>
      <errorID>8495217b-05a8-46eb-98c0-c77bf6d700f2</errorID>
      <errorWord>&gt;</errorWord>
      <group>L1_Punc</group>
      <groupName>标点问题</groupName>
      <ability>L2_Punc</ability>
      <abilityName>标点符号检查</abilityName>
      <candidateList/>
      <explain/>
      <paraID> AF25844</paraID>
      <start>0</start>
      <end>1</end>
      <status>unmodified</status>
      <modifiedWord/>
      <trackRevisions>false</trackRevisions>
    </reviewItem>
    <reviewItem>
      <errorID>9954f498-b8d5-4688-a2cd-9da32986a41d</errorID>
      <errorWord>&gt;</errorWord>
      <group>L1_Punc</group>
      <groupName>标点问题</groupName>
      <ability>L2_Punc</ability>
      <abilityName>标点符号检查</abilityName>
      <candidateList/>
      <explain/>
      <paraID>574BA454</paraID>
      <start>0</start>
      <end>1</end>
      <status>unmodified</status>
      <modifiedWord/>
      <trackRevisions>false</trackRevisions>
    </reviewItem>
    <reviewItem>
      <errorID>a0dca3d0-b1a4-44b1-b712-74723183f1ec</errorID>
      <errorWord>&gt;</errorWord>
      <group>L1_Punc</group>
      <groupName>标点问题</groupName>
      <ability>L2_Punc</ability>
      <abilityName>标点符号检查</abilityName>
      <candidateList/>
      <explain/>
      <paraID>28B741B1</paraID>
      <start>0</start>
      <end>1</end>
      <status>unmodified</status>
      <modifiedWord/>
      <trackRevisions>false</trackRevisions>
    </reviewItem>
    <reviewItem>
      <errorID>1617b3d2-4ab8-4b6d-9cd4-fdc22b0cfb56</errorID>
      <errorWord>&gt;</errorWord>
      <group>L1_Punc</group>
      <groupName>标点问题</groupName>
      <ability>L2_Punc</ability>
      <abilityName>标点符号检查</abilityName>
      <candidateList/>
      <explain/>
      <paraID> 2172934</paraID>
      <start>0</start>
      <end>1</end>
      <status>unmodified</status>
      <modifiedWord/>
      <trackRevisions>false</trackRevisions>
    </reviewItem>
    <reviewItem>
      <errorID>9626a27f-b040-4906-aaf6-9ed760153f2b</errorID>
      <errorWord>&gt;</errorWord>
      <group>L1_Punc</group>
      <groupName>标点问题</groupName>
      <ability>L2_Punc</ability>
      <abilityName>标点符号检查</abilityName>
      <candidateList/>
      <explain/>
      <paraID>1D448C36</paraID>
      <start>0</start>
      <end>1</end>
      <status>unmodified</status>
      <modifiedWord/>
      <trackRevisions>false</trackRevisions>
    </reviewItem>
    <reviewItem>
      <errorID>4f11673d-52f0-4008-8562-8b2b9d314a9a</errorID>
      <errorWord>-</errorWord>
      <group>L1_Format</group>
      <groupName>格式问题</groupName>
      <ability>L2_HalfPunc</ability>
      <abilityName>全半角检查</abilityName>
      <candidateList>
        <item>－</item>
      </candidateList>
      <explain>文本全半角错误。</explain>
      <paraID>6D6FFE99</paraID>
      <start>258</start>
      <end>259</end>
      <status>unmodified</status>
      <modifiedWord/>
      <trackRevisions>false</trackRevisions>
    </reviewItem>
    <reviewItem>
      <errorID>5770bdf4-1715-41ce-9e06-57650b65cb88</errorID>
      <errorWord>监测</errorWord>
      <group>L1_Word</group>
      <groupName>字词问题</groupName>
      <ability>L2_Typo</ability>
      <abilityName>字词错误</abilityName>
      <candidateList>
        <item>检测</item>
      </candidateList>
      <explain/>
      <paraID>4F02ED22</paraID>
      <start>3</start>
      <end>5</end>
      <status>unmodified</status>
      <modifiedWord/>
      <trackRevisions>false</trackRevisions>
    </reviewItem>
    <reviewItem>
      <errorID>41414021-f63f-4613-ba5f-45a1d98a89d6</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49ED7083</paraID>
      <start>3</start>
      <end>4</end>
      <status>unmodified</status>
      <modifiedWord/>
      <trackRevisions>false</trackRevisions>
    </reviewItem>
    <reviewItem>
      <errorID>658600ac-33d5-489a-8223-a66c6ded8f34</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62355B19</paraID>
      <start>3</start>
      <end>4</end>
      <status>unmodified</status>
      <modifiedWord/>
      <trackRevisions>false</trackRevisions>
    </reviewItem>
    <reviewItem>
      <errorID>ded469e3-0c62-4b6c-9e7c-c0303bf42a8a</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46DB9B52</paraID>
      <start>3</start>
      <end>4</end>
      <status>unmodified</status>
      <modifiedWord/>
      <trackRevisions>false</trackRevisions>
    </reviewItem>
    <reviewItem>
      <errorID>7caa4b33-81e6-412d-976a-31b3307cdb5f</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8D1D145</paraID>
      <start>3</start>
      <end>4</end>
      <status>unmodified</status>
      <modifiedWord/>
      <trackRevisions>false</trackRevisions>
    </reviewItem>
    <reviewItem>
      <errorID>d937fa0a-6851-455a-bd07-7fc8790f5c8f</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2CB172C7</paraID>
      <start>3</start>
      <end>4</end>
      <status>unmodified</status>
      <modifiedWord/>
      <trackRevisions>false</trackRevisions>
    </reviewItem>
    <reviewItem>
      <errorID>d741b32b-57c9-4baf-a115-d114826870ef</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7DE8A23C</paraID>
      <start>3</start>
      <end>4</end>
      <status>unmodified</status>
      <modifiedWord/>
      <trackRevisions>false</trackRevisions>
    </reviewItem>
    <reviewItem>
      <errorID>a0f8ab1c-c14f-416c-b6ab-f544f3a9cd82</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736CD692</paraID>
      <start>0</start>
      <end>2</end>
      <status>unmodified</status>
      <modifiedWord/>
      <trackRevisions>false</trackRevisions>
    </reviewItem>
    <reviewItem>
      <errorID>0b36c63c-d876-497e-9206-a178a6f45197</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77B9F8F3</paraID>
      <start>0</start>
      <end>2</end>
      <status>unmodified</status>
      <modifiedWord/>
      <trackRevisions>false</trackRevisions>
    </reviewItem>
    <reviewItem>
      <errorID>e6e534ab-982e-4e60-abcb-97fb98056bab</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6560042A</paraID>
      <start>0</start>
      <end>2</end>
      <status>unmodified</status>
      <modifiedWord/>
      <trackRevisions>false</trackRevisions>
    </reviewItem>
    <reviewItem>
      <errorID>2e8fb04c-a42e-4355-938f-4591c77b1e78</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209910DC</paraID>
      <start>0</start>
      <end>2</end>
      <status>unmodified</status>
      <modifiedWord/>
      <trackRevisions>false</trackRevisions>
    </reviewItem>
    <reviewItem>
      <errorID>eb1c2b54-dbf0-4818-bf29-9d2ded7d98e7</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1FC9DB72</paraID>
      <start>0</start>
      <end>2</end>
      <status>unmodified</status>
      <modifiedWord/>
      <trackRevisions>false</trackRevisions>
    </reviewItem>
    <reviewItem>
      <errorID>1ae8f880-7239-46e2-aeaa-b0b783886988</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60EEB365</paraID>
      <start>0</start>
      <end>2</end>
      <status>unmodified</status>
      <modifiedWord/>
      <trackRevisions>false</trackRevisions>
    </reviewItem>
    <reviewItem>
      <errorID>ff9c59f4-8f04-4c3b-a0ee-d96e7d55f005</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3DEB7A82</paraID>
      <start>0</start>
      <end>2</end>
      <status>unmodified</status>
      <modifiedWord/>
      <trackRevisions>false</trackRevisions>
    </reviewItem>
    <reviewItem>
      <errorID>6407e853-b768-4904-987f-6538399e0698</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4B2FF6AA</paraID>
      <start>0</start>
      <end>2</end>
      <status>unmodified</status>
      <modifiedWord/>
      <trackRevisions>false</trackRevisions>
    </reviewItem>
    <reviewItem>
      <errorID>20c3a0bc-b335-49cc-bb67-2b1dc6571af4</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3C207C98</paraID>
      <start>0</start>
      <end>2</end>
      <status>unmodified</status>
      <modifiedWord/>
      <trackRevisions>false</trackRevisions>
    </reviewItem>
    <reviewItem>
      <errorID>e888be15-2879-4baf-9b4e-bac8133f31f8</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641AFA6E</paraID>
      <start>0</start>
      <end>2</end>
      <status>unmodified</status>
      <modifiedWord/>
      <trackRevisions>false</trackRevisions>
    </reviewItem>
    <reviewItem>
      <errorID>7fcd4894-f5ab-43be-bedc-9cbfa95512ba</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5E423CD6</paraID>
      <start>0</start>
      <end>2</end>
      <status>unmodified</status>
      <modifiedWord/>
      <trackRevisions>false</trackRevisions>
    </reviewItem>
    <reviewItem>
      <errorID>1c7d9b65-345b-44ce-8ea2-3028c8dcc6df</errorID>
      <errorWord>～</errorWord>
      <group>L1_Format</group>
      <groupName>格式问题</groupName>
      <ability>L2_HalfPunc</ability>
      <abilityName>全半角检查</abilityName>
      <candidateList>
        <item>~</item>
      </candidateList>
      <explain>文本全半角错误。</explain>
      <paraID>26BF9114</paraID>
      <start>6</start>
      <end>7</end>
      <status>unmodified</status>
      <modifiedWord/>
      <trackRevisions>false</trackRevisions>
    </reviewItem>
    <reviewItem>
      <errorID>ecc9d8f7-a43f-4f90-812d-64d56576a2b0</errorID>
      <errorWord>～</errorWord>
      <group>L1_Format</group>
      <groupName>格式问题</groupName>
      <ability>L2_HalfPunc</ability>
      <abilityName>全半角检查</abilityName>
      <candidateList>
        <item>~</item>
      </candidateList>
      <explain>文本全半角错误。</explain>
      <paraID>5790D1D9</paraID>
      <start>6</start>
      <end>7</end>
      <status>unmodified</status>
      <modifiedWord/>
      <trackRevisions>false</trackRevisions>
    </reviewItem>
    <reviewItem>
      <errorID>ba72a85f-32ac-480c-b9df-3378a89db6f6</errorID>
      <errorWord>～</errorWord>
      <group>L1_Format</group>
      <groupName>格式问题</groupName>
      <ability>L2_HalfPunc</ability>
      <abilityName>全半角检查</abilityName>
      <candidateList>
        <item>~</item>
      </candidateList>
      <explain>文本全半角错误。</explain>
      <paraID>2F39EE33</paraID>
      <start>6</start>
      <end>7</end>
      <status>unmodified</status>
      <modifiedWord/>
      <trackRevisions>false</trackRevisions>
    </reviewItem>
    <reviewItem>
      <errorID>a7a2a86f-ec2b-4972-9363-ba6dbc654db1</errorID>
      <errorWord>～</errorWord>
      <group>L1_Format</group>
      <groupName>格式问题</groupName>
      <ability>L2_HalfPunc</ability>
      <abilityName>全半角检查</abilityName>
      <candidateList>
        <item>~</item>
      </candidateList>
      <explain>文本全半角错误。</explain>
      <paraID>378C044A</paraID>
      <start>6</start>
      <end>7</end>
      <status>unmodified</status>
      <modifiedWord/>
      <trackRevisions>false</trackRevisions>
    </reviewItem>
    <reviewItem>
      <errorID>c1f8dfc4-125c-48fc-8b3e-f5c3be0e280e</errorID>
      <errorWord>～</errorWord>
      <group>L1_Format</group>
      <groupName>格式问题</groupName>
      <ability>L2_HalfPunc</ability>
      <abilityName>全半角检查</abilityName>
      <candidateList>
        <item>~</item>
      </candidateList>
      <explain>文本全半角错误。</explain>
      <paraID> 5C7C0E8</paraID>
      <start>6</start>
      <end>7</end>
      <status>unmodified</status>
      <modifiedWord/>
      <trackRevisions>false</trackRevisions>
    </reviewItem>
    <reviewItem>
      <errorID>08b9431a-9b42-4a7d-8313-1e24b87052d7</errorID>
      <errorWord>～</errorWord>
      <group>L1_Format</group>
      <groupName>格式问题</groupName>
      <ability>L2_HalfPunc</ability>
      <abilityName>全半角检查</abilityName>
      <candidateList>
        <item>~</item>
      </candidateList>
      <explain>文本全半角错误。</explain>
      <paraID>410E949D</paraID>
      <start>6</start>
      <end>7</end>
      <status>unmodified</status>
      <modifiedWord/>
      <trackRevisions>false</trackRevisions>
    </reviewItem>
    <reviewItem>
      <errorID>c4bb6a45-930d-4057-9699-1a0b1426cc89</errorID>
      <errorWord>最小程度</errorWord>
      <group>L1_Word</group>
      <groupName>字词问题</groupName>
      <ability>L2_Typo</ability>
      <abilityName>字词错误</abilityName>
      <candidateList>
        <item>最低程度</item>
      </candidateList>
      <explain/>
      <paraID>62E10F2A</paraID>
      <start>23</start>
      <end>27</end>
      <status>unmodified</status>
      <modifiedWord/>
      <trackRevisions>false</trackRevisions>
    </reviewItem>
    <reviewItem>
      <errorID>5c0920d8-9873-4bff-8944-29bce50da884</errorID>
      <errorWord>拌合</errorWord>
      <group>L1_Word</group>
      <groupName>字词问题</groupName>
      <ability>L2_Typo</ability>
      <abilityName>字词错误</abilityName>
      <candidateList>
        <item>拌和</item>
      </candidateList>
      <explain/>
      <paraID>4EBCD1E7</paraID>
      <start>3</start>
      <end>5</end>
      <status>unmodified</status>
      <modifiedWord/>
      <trackRevisions>false</trackRevisions>
    </reviewItem>
    <reviewItem>
      <errorID>b6b93546-5eca-483b-bd7c-bae19595b696</errorID>
      <errorWord>选择在</errorWord>
      <group>L1_Word</group>
      <groupName>字词问题</groupName>
      <ability>L2_Typo</ability>
      <abilityName>字词错误</abilityName>
      <candidateList>
        <item>选择</item>
      </candidateList>
      <explain>〈动〉挑选：～对象｜～地点。</explain>
      <paraID>64126F00</paraID>
      <start>122</start>
      <end>125</end>
      <status>unmodified</status>
      <modifiedWord/>
      <trackRevisions>false</trackRevisions>
    </reviewItem>
    <reviewItem>
      <errorID>6177633f-faec-41e7-89f5-1cd7f1b2c259</errorID>
      <errorWord>主要是</errorWord>
      <group>L1_Word</group>
      <groupName>字词问题</groupName>
      <ability>L2_Typo</ability>
      <abilityName>字词错误</abilityName>
      <candidateList>
        <item>主要</item>
      </candidateList>
      <explain>〈形〉属性词。有关事物中最重要的；起决定作用的：～原因｜～目的｜～人物。</explain>
      <paraID>169FD5A3</paraID>
      <start>32</start>
      <end>35</end>
      <status>unmodified</status>
      <modifiedWord/>
      <trackRevisions>false</trackRevisions>
    </reviewItem>
    <reviewItem>
      <errorID>1174986a-75fd-43bb-ae90-8f1962653ee0</errorID>
      <errorWord>电据</errorWord>
      <group>L1_Word</group>
      <groupName>字词问题</groupName>
      <ability>L2_Typo</ability>
      <abilityName>字词错误</abilityName>
      <candidateList>
        <item>数据</item>
      </candidateList>
      <explain/>
      <paraID>3B77C213</paraID>
      <start>0</start>
      <end>2</end>
      <status>unmodified</status>
      <modifiedWord/>
      <trackRevisions>false</trackRevisions>
    </reviewItem>
    <reviewItem>
      <errorID>e965f0c6-d047-4547-a7f9-02f116b7d623</errorID>
      <errorWord>基建开挖</errorWord>
      <group>L1_Knowledge</group>
      <groupName>知识性问题</groupName>
      <ability>L2_Term</ability>
      <abilityName>专业术语</abilityName>
      <candidateList>
        <item>基坑开挖</item>
      </candidateList>
      <explain/>
      <paraID>5DD0742A</paraID>
      <start>4</start>
      <end>8</end>
      <status>unmodified</status>
      <modifiedWord/>
      <trackRevisions>false</trackRevisions>
    </reviewItem>
    <reviewItem>
      <errorID>0a2c1012-00ac-4b79-853d-a3567389beb1</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5BFBC7ED</paraID>
      <start>0</start>
      <end>2</end>
      <status>unmodified</status>
      <modifiedWord/>
      <trackRevisions>false</trackRevisions>
    </reviewItem>
    <reviewItem>
      <errorID>003ad517-4209-48e4-a5d7-63acf356142d</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48D3319D</paraID>
      <start>0</start>
      <end>2</end>
      <status>unmodified</status>
      <modifiedWord/>
      <trackRevisions>false</trackRevisions>
    </reviewItem>
    <reviewItem>
      <errorID>a6b11c34-d376-437b-a4ef-2183315e8eef</errorID>
      <errorWord>粘结</errorWord>
      <group>L1_Word</group>
      <groupName>字词问题</groupName>
      <ability>L2_Typo</ability>
      <abilityName>字词错误</abilityName>
      <candidateList>
        <item>粘接</item>
      </candidateList>
      <explain/>
      <paraID>48D3319D</paraID>
      <start>27</start>
      <end>29</end>
      <status>unmodified</status>
      <modifiedWord/>
      <trackRevisions>false</trackRevisions>
    </reviewItem>
    <reviewItem>
      <errorID>8e00dc2a-474c-4bc7-ba98-cb1b2b7d8f19</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7F4DACD3</paraID>
      <start>0</start>
      <end>2</end>
      <status>unmodified</status>
      <modifiedWord/>
      <trackRevisions>false</trackRevisions>
    </reviewItem>
    <reviewItem>
      <errorID>6cdbbcb0-8bdc-4cce-b297-496f3694c96a</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52AB81DA</paraID>
      <start>0</start>
      <end>2</end>
      <status>unmodified</status>
      <modifiedWord/>
      <trackRevisions>false</trackRevisions>
    </reviewItem>
    <reviewItem>
      <errorID>9a3eb417-e161-4ab4-bfb8-ebcda3a5c015</errorID>
      <errorWord>流量下</errorWord>
      <group>L1_Word</group>
      <groupName>字词问题</groupName>
      <ability>L2_Typo</ability>
      <abilityName>字词错误</abilityName>
      <candidateList>
        <item>流量</item>
      </candidateList>
      <explain/>
      <paraID>52AB81DA</paraID>
      <start>22</start>
      <end>25</end>
      <status>unmodified</status>
      <modifiedWord/>
      <trackRevisions>false</trackRevisions>
    </reviewItem>
    <reviewItem>
      <errorID>71cad728-0ba6-4eec-a335-c0b53c1b2a62</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269ED061</paraID>
      <start>0</start>
      <end>2</end>
      <status>unmodified</status>
      <modifiedWord/>
      <trackRevisions>false</trackRevisions>
    </reviewItem>
    <reviewItem>
      <errorID>19c6f745-9221-4d1b-a2d1-cab327155488</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269ED061</paraID>
      <start>33</start>
      <end>34</end>
      <status>unmodified</status>
      <modifiedWord/>
      <trackRevisions>false</trackRevisions>
    </reviewItem>
    <reviewItem>
      <errorID>d1f5558e-818f-45f0-a410-2cd47db2e8bd</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4F42105B</paraID>
      <start>0</start>
      <end>2</end>
      <status>unmodified</status>
      <modifiedWord/>
      <trackRevisions>false</trackRevisions>
    </reviewItem>
    <reviewItem>
      <errorID>ecfd89d1-e48d-49a5-8d79-58d20113ef06</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474926BE</paraID>
      <start>0</start>
      <end>2</end>
      <status>unmodified</status>
      <modifiedWord/>
      <trackRevisions>false</trackRevisions>
    </reviewItem>
    <reviewItem>
      <errorID>a2a6b85b-f50e-4fba-a509-e17b217d73f5</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1D0195AC</paraID>
      <start>0</start>
      <end>2</end>
      <status>unmodified</status>
      <modifiedWord/>
      <trackRevisions>false</trackRevisions>
    </reviewItem>
    <reviewItem>
      <errorID>b8a44484-2775-40a5-9c89-eb0cc80e2db1</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1D0195AC</paraID>
      <start>24</start>
      <end>25</end>
      <status>unmodified</status>
      <modifiedWord/>
      <trackRevisions>false</trackRevisions>
    </reviewItem>
    <reviewItem>
      <errorID>b532349e-b601-4734-8083-75641a132bd3</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1D0195AC</paraID>
      <start>65</start>
      <end>66</end>
      <status>unmodified</status>
      <modifiedWord/>
      <trackRevisions>false</trackRevisions>
    </reviewItem>
    <reviewItem>
      <errorID>f8a59364-564c-424a-85be-fd7cbda8e37a</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517E3D27</paraID>
      <start>0</start>
      <end>2</end>
      <status>unmodified</status>
      <modifiedWord/>
      <trackRevisions>false</trackRevisions>
    </reviewItem>
    <reviewItem>
      <errorID>da1e2c6a-eabe-4c08-b0e3-5879c7681650</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557594D3</paraID>
      <start>0</start>
      <end>2</end>
      <status>unmodified</status>
      <modifiedWord/>
      <trackRevisions>false</trackRevisions>
    </reviewItem>
    <reviewItem>
      <errorID>07ff7008-99a3-458f-bc71-67e5e9f3fda0</errorID>
      <errorWord>粘结</errorWord>
      <group>L1_Word</group>
      <groupName>字词问题</groupName>
      <ability>L2_Typo</ability>
      <abilityName>字词错误</abilityName>
      <candidateList>
        <item>粘接</item>
      </candidateList>
      <explain/>
      <paraID>557594D3</paraID>
      <start>10</start>
      <end>12</end>
      <status>unmodified</status>
      <modifiedWord/>
      <trackRevisions>false</trackRevisions>
    </reviewItem>
    <reviewItem>
      <errorID>ebc38d21-1cda-432b-a6ec-9f60d15faf71</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D4ED309</paraID>
      <start>0</start>
      <end>2</end>
      <status>unmodified</status>
      <modifiedWord/>
      <trackRevisions>false</trackRevisions>
    </reviewItem>
    <reviewItem>
      <errorID>d8750aff-a74c-452e-94c1-4339c9ad263d</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46E4A861</paraID>
      <start>0</start>
      <end>2</end>
      <status>unmodified</status>
      <modifiedWord/>
      <trackRevisions>false</trackRevisions>
    </reviewItem>
    <reviewItem>
      <errorID>5fd29161-80eb-4127-8b59-2f7c16e86fa2</errorID>
      <errorWord>程</errorWord>
      <group>L1_Word</group>
      <groupName>字词问题</groupName>
      <ability>L2_Typo</ability>
      <abilityName>字词错误</abilityName>
      <candidateList>
        <item>程中</item>
      </candidateList>
      <explain/>
      <paraID>51B2A14C</paraID>
      <start>19</start>
      <end>20</end>
      <status>unmodified</status>
      <modifiedWord/>
      <trackRevisions>false</trackRevisions>
    </reviewItem>
    <reviewItem>
      <errorID>79cdfa42-661b-4fd8-b093-b6594aa11b41</errorID>
      <errorWord>期</errorWord>
      <group>L1_Word</group>
      <groupName>字词问题</groupName>
      <ability>L2_Typo</ability>
      <abilityName>字词错误</abilityName>
      <candidateList>
        <item>其</item>
      </candidateList>
      <explain>存在发音相同字词的误用。</explain>
      <paraID>22AED894</paraID>
      <start>51</start>
      <end>52</end>
      <status>modified</status>
      <modifiedWord>其</modifiedWord>
      <trackRevisions>false</trackRevisions>
    </reviewItem>
    <reviewItem>
      <errorID>910e6501-8004-4258-8117-aeeae392ade2</errorID>
      <errorWord>的有</errorWord>
      <group>L1_Word</group>
      <groupName>字词问题</groupName>
      <ability>L2_Typo</ability>
      <abilityName>字词错误</abilityName>
      <candidateList>
        <item>的</item>
      </candidateList>
      <explain>置于形容词、名词后，用于修饰事物的形态。</explain>
      <paraID>22AED894</paraID>
      <start>72</start>
      <end>73</end>
      <status>modified</status>
      <modifiedWord>的</modifiedWord>
      <trackRevisions>false</trackRevisions>
    </reviewItem>
    <reviewItem>
      <errorID>e9806742-1250-4695-ae4b-6bb37a0c3498</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1089ADE2</paraID>
      <start>310</start>
      <end>311</end>
      <status>unmodified</status>
      <modifiedWord/>
      <trackRevisions>false</trackRevisions>
    </reviewItem>
    <reviewItem>
      <errorID>2519af6b-6030-4fcf-b79b-298823600ade</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2CFFB0A6</paraID>
      <start>0</start>
      <end>2</end>
      <status>unmodified</status>
      <modifiedWord/>
      <trackRevisions>false</trackRevisions>
    </reviewItem>
    <reviewItem>
      <errorID>f77cdeed-fb92-4119-b3f4-4c0990a45842</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61BD0EA7</paraID>
      <start>0</start>
      <end>2</end>
      <status>unmodified</status>
      <modifiedWord/>
      <trackRevisions>false</trackRevisions>
    </reviewItem>
    <reviewItem>
      <errorID>d7e371f2-220b-4600-a96c-fc744bd2f16d</errorID>
      <errorWord>等带</errorWord>
      <group>L1_Word</group>
      <groupName>字词问题</groupName>
      <ability>L2_Typo</ability>
      <abilityName>字词错误</abilityName>
      <candidateList>
        <item>等</item>
      </candidateList>
      <explain>〈助〉❶〈书〉用在人称代词或指人的名词后面，表示复数：我～｜彼～。❷表示列举未尽（可以叠用）：北京、天津～地｜纸张文具～～。❸列举后煞尾：长江、黄河、黑龙江、珠江～四大河流。</explain>
      <paraID>64921EB2</paraID>
      <start>113</start>
      <end>114</end>
      <status>modified</status>
      <modifiedWord>等</modifiedWord>
      <trackRevisions>false</trackRevisions>
    </reviewItem>
    <reviewItem>
      <errorID>330e0688-164c-4a71-a9fd-36214fb903b4</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78C1CF4F</paraID>
      <start>0</start>
      <end>2</end>
      <status>unmodified</status>
      <modifiedWord/>
      <trackRevisions>false</trackRevisions>
    </reviewItem>
    <reviewItem>
      <errorID>b9c3bf38-75f6-47ef-8db0-9fd823b80551</errorID>
      <errorWord>适宜</errorWord>
      <group>L1_Word</group>
      <groupName>字词问题</groupName>
      <ability>L2_Typo</ability>
      <abilityName>字词错误</abilityName>
      <candidateList>
        <item>适应</item>
      </candidateList>
      <explain/>
      <paraID>1095D42D</paraID>
      <start>41</start>
      <end>43</end>
      <status>modified</status>
      <modifiedWord>适应</modifiedWord>
      <trackRevisions>false</trackRevisions>
    </reviewItem>
    <reviewItem>
      <errorID>ab32aafa-b099-4016-89b2-faba7cba70d3</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318D7725</paraID>
      <start>0</start>
      <end>2</end>
      <status>unmodified</status>
      <modifiedWord/>
      <trackRevisions>false</trackRevisions>
    </reviewItem>
    <reviewItem>
      <errorID>64e629d7-94b8-4a98-a71c-72cbbca40d0e</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4DF198B3</paraID>
      <start>0</start>
      <end>2</end>
      <status>unmodified</status>
      <modifiedWord/>
      <trackRevisions>false</trackRevisions>
    </reviewItem>
    <reviewItem>
      <errorID>93005c9e-d99b-4a57-a0e1-8e7267dcd92d</errorID>
      <errorWord>(</errorWord>
      <group>L1_Format</group>
      <groupName>格式问题</groupName>
      <ability>L2_HalfPunc</ability>
      <abilityName>全半角检查</abilityName>
      <candidateList>
        <item>（</item>
      </candidateList>
      <explain>文本全半角错误。</explain>
      <paraID>6D4978FF</paraID>
      <start>18</start>
      <end>19</end>
      <status>unmodified</status>
      <modifiedWord/>
      <trackRevisions>false</trackRevisions>
    </reviewItem>
    <reviewItem>
      <errorID>211423ff-e029-4a05-a335-d8d9aa8b22dd</errorID>
      <errorWord>)</errorWord>
      <group>L1_Format</group>
      <groupName>格式问题</groupName>
      <ability>L2_HalfPunc</ability>
      <abilityName>全半角检查</abilityName>
      <candidateList>
        <item>）</item>
      </candidateList>
      <explain>文本全半角错误。</explain>
      <paraID>6D4978FF</paraID>
      <start>31</start>
      <end>32</end>
      <status>unmodified</status>
      <modifiedWord/>
      <trackRevisions>false</trackRevisions>
    </reviewItem>
    <reviewItem>
      <errorID>80ba4622-3258-411e-bdcb-9520bae4c1e6</errorID>
      <errorWord>（</errorWord>
      <group>L1_Punc</group>
      <groupName>标点问题</groupName>
      <ability>L2_Punc</ability>
      <abilityName>标点符号检查</abilityName>
      <candidateList>
        <item/>
      </candidateList>
      <explain>同一形式括号套用。</explain>
      <paraID>6D4978FF</paraID>
      <start>41</start>
      <end>42</end>
      <status>unmodified</status>
      <modifiedWord/>
      <trackRevisions>false</trackRevisions>
    </reviewItem>
    <reviewItem>
      <errorID>d8ee1059-eb3e-4f7a-ad63-4788cde7a82e</errorID>
      <errorWord>(</errorWord>
      <group>L1_Punc</group>
      <groupName>标点问题</groupName>
      <ability>L2_Punc</ability>
      <abilityName>标点符号检查</abilityName>
      <candidateList/>
      <explain>同一形式括号套用。</explain>
      <paraID>6D4978FF</paraID>
      <start>48</start>
      <end>49</end>
      <status>unmodified</status>
      <modifiedWord/>
      <trackRevisions>false</trackRevisions>
    </reviewItem>
    <reviewItem>
      <errorID>cfc4406c-29b7-47e0-9441-5e2aa046ec29</errorID>
      <errorWord>)</errorWord>
      <group>L1_Punc</group>
      <groupName>标点问题</groupName>
      <ability>L2_Punc</ability>
      <abilityName>标点符号检查</abilityName>
      <candidateList/>
      <explain>同一形式括号套用。</explain>
      <paraID>6D4978FF</paraID>
      <start>50</start>
      <end>51</end>
      <status>unmodified</status>
      <modifiedWord/>
      <trackRevisions>false</trackRevisions>
    </reviewItem>
    <reviewItem>
      <errorID>2f284ddb-51eb-4352-aeda-63e22ec8ccd1</errorID>
      <errorWord>(</errorWord>
      <group>L1_Punc</group>
      <groupName>标点问题</groupName>
      <ability>L2_Punc</ability>
      <abilityName>标点符号检查</abilityName>
      <candidateList/>
      <explain>同一形式括号套用。</explain>
      <paraID>6D4978FF</paraID>
      <start>56</start>
      <end>57</end>
      <status>unmodified</status>
      <modifiedWord/>
      <trackRevisions>false</trackRevisions>
    </reviewItem>
    <reviewItem>
      <errorID>baf87447-6cd4-4129-aa72-a9c37472b4ad</errorID>
      <errorWord>)</errorWord>
      <group>L1_Punc</group>
      <groupName>标点问题</groupName>
      <ability>L2_Punc</ability>
      <abilityName>标点符号检查</abilityName>
      <candidateList/>
      <explain>同一形式括号套用。</explain>
      <paraID>6D4978FF</paraID>
      <start>58</start>
      <end>59</end>
      <status>unmodified</status>
      <modifiedWord/>
      <trackRevisions>false</trackRevisions>
    </reviewItem>
    <reviewItem>
      <errorID>9eb5a861-f217-4cb3-8707-5b9d32469a03</errorID>
      <errorWord>）</errorWord>
      <group>L1_Punc</group>
      <groupName>标点问题</groupName>
      <ability>L2_Punc</ability>
      <abilityName>标点符号检查</abilityName>
      <candidateList/>
      <explain>同一形式括号套用。</explain>
      <paraID>6D4978FF</paraID>
      <start>59</start>
      <end>60</end>
      <status>unmodified</status>
      <modifiedWord/>
      <trackRevisions>false</trackRevisions>
    </reviewItem>
    <reviewItem>
      <errorID>17d1ad69-7e3b-4895-abb3-856243971f09</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3D5B3D1</paraID>
      <start>0</start>
      <end>2</end>
      <status>unmodified</status>
      <modifiedWord/>
      <trackRevisions>false</trackRevisions>
    </reviewItem>
    <reviewItem>
      <errorID>44cbc4ec-a3d9-4fa1-8d60-23b7f4d1e9e9</errorID>
      <errorWord>（</errorWord>
      <group>L1_Format</group>
      <groupName>格式问题</groupName>
      <ability>L2_HalfPunc</ability>
      <abilityName>全半角检查</abilityName>
      <candidateList>
        <item>(</item>
      </candidateList>
      <explain>文本全半角错误。</explain>
      <paraID>1E7100E8</paraID>
      <start>12</start>
      <end>13</end>
      <status>unmodified</status>
      <modifiedWord/>
      <trackRevisions>false</trackRevisions>
    </reviewItem>
    <reviewItem>
      <errorID>f360bd75-aab9-431f-8497-33137211191c</errorID>
      <errorWord>）</errorWord>
      <group>L1_Format</group>
      <groupName>格式问题</groupName>
      <ability>L2_HalfPunc</ability>
      <abilityName>全半角检查</abilityName>
      <candidateList>
        <item>)</item>
      </candidateList>
      <explain>文本全半角错误。</explain>
      <paraID>1E7100E8</paraID>
      <start>14</start>
      <end>15</end>
      <status>unmodified</status>
      <modifiedWord/>
      <trackRevisions>false</trackRevisions>
    </reviewItem>
    <reviewItem>
      <errorID>ba1161a1-8cf7-4372-8dfa-55a5980e4f1d</errorID>
      <errorWord>（</errorWord>
      <group>L1_Format</group>
      <groupName>格式问题</groupName>
      <ability>L2_HalfPunc</ability>
      <abilityName>全半角检查</abilityName>
      <candidateList>
        <item>(</item>
      </candidateList>
      <explain>文本全半角错误。</explain>
      <paraID>53260834</paraID>
      <start>3</start>
      <end>4</end>
      <status>unmodified</status>
      <modifiedWord/>
      <trackRevisions>false</trackRevisions>
    </reviewItem>
    <reviewItem>
      <errorID>6ca4a3a8-c22c-41d8-a30b-0cabc8366682</errorID>
      <errorWord>）</errorWord>
      <group>L1_Format</group>
      <groupName>格式问题</groupName>
      <ability>L2_HalfPunc</ability>
      <abilityName>全半角检查</abilityName>
      <candidateList>
        <item>)</item>
      </candidateList>
      <explain>文本全半角错误。</explain>
      <paraID>53260834</paraID>
      <start>5</start>
      <end>6</end>
      <status>unmodified</status>
      <modifiedWord/>
      <trackRevisions>false</trackRevisions>
    </reviewItem>
    <reviewItem>
      <errorID>92e8d334-dd6a-4949-84fc-2a6a0ba4b00b</errorID>
      <errorWord>………</errorWord>
      <group>L1_Punc</group>
      <groupName>标点问题</groupName>
      <ability>L2_Punc</ability>
      <abilityName>标点符号检查</abilityName>
      <candidateList>
        <item>…</item>
      </candidateList>
      <explain/>
      <paraID>1DF7A611</paraID>
      <start>1</start>
      <end>4</end>
      <status>unmodified</status>
      <modifiedWord/>
      <trackRevisions>false</trackRevisions>
    </reviewItem>
    <reviewItem>
      <errorID>ee097af5-c47c-421e-8401-ee19fb752c23</errorID>
      <errorWord>（</errorWord>
      <group>L1_Format</group>
      <groupName>格式问题</groupName>
      <ability>L2_HalfPunc</ability>
      <abilityName>全半角检查</abilityName>
      <candidateList>
        <item>(</item>
      </candidateList>
      <explain>文本全半角错误。</explain>
      <paraID>1DF7A611</paraID>
      <start>4</start>
      <end>5</end>
      <status>unmodified</status>
      <modifiedWord/>
      <trackRevisions>false</trackRevisions>
    </reviewItem>
    <reviewItem>
      <errorID>d6395ba9-69dc-4b1c-9139-94cb7f5fbdc6</errorID>
      <errorWord>）</errorWord>
      <group>L1_Format</group>
      <groupName>格式问题</groupName>
      <ability>L2_HalfPunc</ability>
      <abilityName>全半角检查</abilityName>
      <candidateList>
        <item>)</item>
      </candidateList>
      <explain>文本全半角错误。</explain>
      <paraID>1DF7A611</paraID>
      <start>6</start>
      <end>7</end>
      <status>unmodified</status>
      <modifiedWord/>
      <trackRevisions>false</trackRevisions>
    </reviewItem>
    <reviewItem>
      <errorID>bdd36896-2cd0-4e73-b457-535e448e4f73</errorID>
      <errorWord>维护结构</errorWord>
      <group>L1_Word</group>
      <groupName>字词问题</groupName>
      <ability>L2_Typo</ability>
      <abilityName>字词错误</abilityName>
      <candidateList>
        <item>围护结构</item>
      </candidateList>
      <explain>存在发音相同字词的误用。</explain>
      <paraID>5E733F86</paraID>
      <start>11</start>
      <end>15</end>
      <status>unmodified</status>
      <modifiedWord/>
      <trackRevisions>false</trackRevisions>
    </reviewItem>
    <reviewItem>
      <errorID>abae9114-af65-4b21-8416-7a817e5aa9c7</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46827DDD</paraID>
      <start>0</start>
      <end>2</end>
      <status>unmodified</status>
      <modifiedWord/>
      <trackRevisions>false</trackRevisions>
    </reviewItem>
    <reviewItem>
      <errorID>418d78d1-c3cc-46d0-a52c-4ea77f68fa3b</errorID>
      <errorWord>生源</errorWord>
      <group>L1_Word</group>
      <groupName>字词问题</groupName>
      <ability>L2_Typo</ability>
      <abilityName>字词错误</abilityName>
      <candidateList>
        <item>声源</item>
      </candidateList>
      <explain>存在发音相同字词的误用。</explain>
      <paraID>2725E941</paraID>
      <start>29</start>
      <end>31</end>
      <status>modified</status>
      <modifiedWord>声源</modifiedWord>
      <trackRevisions>false</trackRevisions>
    </reviewItem>
    <reviewItem>
      <errorID>8d9475e8-f544-490a-b7da-6941638df6bb</errorID>
      <errorWord>(</errorWord>
      <group>L1_Format</group>
      <groupName>格式问题</groupName>
      <ability>L2_HalfPunc</ability>
      <abilityName>全半角检查</abilityName>
      <candidateList>
        <item>（</item>
      </candidateList>
      <explain>文本全半角错误。</explain>
      <paraID>36191235</paraID>
      <start>7</start>
      <end>8</end>
      <status>unmodified</status>
      <modifiedWord/>
      <trackRevisions>false</trackRevisions>
    </reviewItem>
    <reviewItem>
      <errorID>f033f6e2-ebee-4224-b105-d21b3da3d6f1</errorID>
      <errorWord>)</errorWord>
      <group>L1_Format</group>
      <groupName>格式问题</groupName>
      <ability>L2_HalfPunc</ability>
      <abilityName>全半角检查</abilityName>
      <candidateList>
        <item>）</item>
      </candidateList>
      <explain>文本全半角错误。</explain>
      <paraID>36191235</paraID>
      <start>12</start>
      <end>13</end>
      <status>unmodified</status>
      <modifiedWord/>
      <trackRevisions>false</trackRevisions>
    </reviewItem>
    <reviewItem>
      <errorID>82e6c66b-8284-41bd-a64c-374e4885ccad</errorID>
      <errorWord>、</errorWord>
      <group>L1_Punc</group>
      <groupName>标点问题</groupName>
      <ability>L2_Punc</ability>
      <abilityName>标点符号检查</abilityName>
      <candidateList>
        <item>.</item>
      </candidateList>
      <explain/>
      <paraID>5F2FE7F5</paraID>
      <start>1</start>
      <end>2</end>
      <status>unmodified</status>
      <modifiedWord/>
      <trackRevisions>false</trackRevisions>
    </reviewItem>
    <reviewItem>
      <errorID>d84e0f44-d6d5-41aa-b335-6d5f2cb45731</errorID>
      <errorWord>（</errorWord>
      <group>L1_Format</group>
      <groupName>格式问题</groupName>
      <ability>L2_HalfPunc</ability>
      <abilityName>全半角检查</abilityName>
      <candidateList>
        <item>(</item>
      </candidateList>
      <explain>文本全半角错误。</explain>
      <paraID>55940B41</paraID>
      <start>14</start>
      <end>15</end>
      <status>unmodified</status>
      <modifiedWord/>
      <trackRevisions>false</trackRevisions>
    </reviewItem>
    <reviewItem>
      <errorID>9afd2a2b-dda3-44a3-82f7-9bb39268cb74</errorID>
      <errorWord>）</errorWord>
      <group>L1_Format</group>
      <groupName>格式问题</groupName>
      <ability>L2_HalfPunc</ability>
      <abilityName>全半角检查</abilityName>
      <candidateList>
        <item>)</item>
      </candidateList>
      <explain>文本全半角错误。</explain>
      <paraID>55940B41</paraID>
      <start>16</start>
      <end>17</end>
      <status>unmodified</status>
      <modifiedWord/>
      <trackRevisions>false</trackRevisions>
    </reviewItem>
    <reviewItem>
      <errorID>d7356a6b-aa0c-476c-9425-608c2fd0eafa</errorID>
      <errorWord>公示</errorWord>
      <group>L1_Word</group>
      <groupName>字词问题</groupName>
      <ability>L2_Typo</ability>
      <abilityName>字词错误</abilityName>
      <candidateList>
        <item>公式</item>
      </candidateList>
      <explain/>
      <paraID>74E546C9</paraID>
      <start>0</start>
      <end>2</end>
      <status>unmodified</status>
      <modifiedWord/>
      <trackRevisions>false</trackRevisions>
    </reviewItem>
    <reviewItem>
      <errorID>0c7d5cda-22b3-4701-817e-f5a661582087</errorID>
      <errorWord>（</errorWord>
      <group>L1_Format</group>
      <groupName>格式问题</groupName>
      <ability>L2_HalfPunc</ability>
      <abilityName>全半角检查</abilityName>
      <candidateList>
        <item>(</item>
      </candidateList>
      <explain>文本全半角错误。</explain>
      <paraID>3E8CEA62</paraID>
      <start>17</start>
      <end>18</end>
      <status>unmodified</status>
      <modifiedWord/>
      <trackRevisions>false</trackRevisions>
    </reviewItem>
    <reviewItem>
      <errorID>caa5478d-4c5d-4096-8c8b-302912787260</errorID>
      <errorWord>）</errorWord>
      <group>L1_Format</group>
      <groupName>格式问题</groupName>
      <ability>L2_HalfPunc</ability>
      <abilityName>全半角检查</abilityName>
      <candidateList>
        <item>)</item>
      </candidateList>
      <explain>文本全半角错误。</explain>
      <paraID>3E8CEA62</paraID>
      <start>19</start>
      <end>20</end>
      <status>unmodified</status>
      <modifiedWord/>
      <trackRevisions>false</trackRevisions>
    </reviewItem>
    <reviewItem>
      <errorID>822ed4f8-4f6f-4f56-a3c6-9b1fa1da86f3</errorID>
      <errorWord>（</errorWord>
      <group>L1_Format</group>
      <groupName>格式问题</groupName>
      <ability>L2_HalfPunc</ability>
      <abilityName>全半角检查</abilityName>
      <candidateList>
        <item>(</item>
      </candidateList>
      <explain>文本全半角错误。</explain>
      <paraID> D8D0DAB</paraID>
      <start>12</start>
      <end>13</end>
      <status>unmodified</status>
      <modifiedWord/>
      <trackRevisions>false</trackRevisions>
    </reviewItem>
    <reviewItem>
      <errorID>00544cf7-9e1d-4832-bd66-51bf33792e20</errorID>
      <errorWord>）</errorWord>
      <group>L1_Format</group>
      <groupName>格式问题</groupName>
      <ability>L2_HalfPunc</ability>
      <abilityName>全半角检查</abilityName>
      <candidateList>
        <item>)</item>
      </candidateList>
      <explain>文本全半角错误。</explain>
      <paraID> D8D0DAB</paraID>
      <start>14</start>
      <end>15</end>
      <status>unmodified</status>
      <modifiedWord/>
      <trackRevisions>false</trackRevisions>
    </reviewItem>
    <reviewItem>
      <errorID>b2b498cd-5b16-48f0-8bf3-806a89e08f43</errorID>
      <errorWord>（</errorWord>
      <group>L1_Format</group>
      <groupName>格式问题</groupName>
      <ability>L2_HalfPunc</ability>
      <abilityName>全半角检查</abilityName>
      <candidateList>
        <item>(</item>
      </candidateList>
      <explain>文本全半角错误。</explain>
      <paraID> 695D4A2</paraID>
      <start>12</start>
      <end>13</end>
      <status>unmodified</status>
      <modifiedWord/>
      <trackRevisions>false</trackRevisions>
    </reviewItem>
    <reviewItem>
      <errorID>4dbc72b2-aed6-47ae-9d42-410b19199441</errorID>
      <errorWord>）</errorWord>
      <group>L1_Format</group>
      <groupName>格式问题</groupName>
      <ability>L2_HalfPunc</ability>
      <abilityName>全半角检查</abilityName>
      <candidateList>
        <item>)</item>
      </candidateList>
      <explain>文本全半角错误。</explain>
      <paraID> 695D4A2</paraID>
      <start>14</start>
      <end>15</end>
      <status>unmodified</status>
      <modifiedWord/>
      <trackRevisions>false</trackRevisions>
    </reviewItem>
    <reviewItem>
      <errorID>2c30ab9e-42d3-4516-9057-05dbdc6cc4bb</errorID>
      <errorWord>(</errorWord>
      <group>L1_Format</group>
      <groupName>格式问题</groupName>
      <ability>L2_HalfPunc</ability>
      <abilityName>全半角检查</abilityName>
      <candidateList>
        <item>（</item>
      </candidateList>
      <explain>文本全半角错误。</explain>
      <paraID>31736A69</paraID>
      <start>8</start>
      <end>9</end>
      <status>unmodified</status>
      <modifiedWord/>
      <trackRevisions>false</trackRevisions>
    </reviewItem>
    <reviewItem>
      <errorID>dfc9c8d5-ba97-42c2-becd-782e8368e4c4</errorID>
      <errorWord>)</errorWord>
      <group>L1_Format</group>
      <groupName>格式问题</groupName>
      <ability>L2_HalfPunc</ability>
      <abilityName>全半角检查</abilityName>
      <candidateList>
        <item>）</item>
      </candidateList>
      <explain>文本全半角错误。</explain>
      <paraID>31736A69</paraID>
      <start>12</start>
      <end>13</end>
      <status>unmodified</status>
      <modifiedWord/>
      <trackRevisions>false</trackRevisions>
    </reviewItem>
    <reviewItem>
      <errorID>0ffbb886-5521-49b4-abcd-68cb85cc9940</errorID>
      <errorWord>、</errorWord>
      <group>L1_Punc</group>
      <groupName>标点问题</groupName>
      <ability>L2_Punc</ability>
      <abilityName>标点符号检查</abilityName>
      <candidateList>
        <item>.</item>
      </candidateList>
      <explain/>
      <paraID>198AE699</paraID>
      <start>1</start>
      <end>2</end>
      <status>unmodified</status>
      <modifiedWord/>
      <trackRevisions>false</trackRevisions>
    </reviewItem>
    <reviewItem>
      <errorID>b9eb7461-cade-4e8f-879f-05b40185cd9c</errorID>
      <errorWord>(</errorWord>
      <group>L1_Format</group>
      <groupName>格式问题</groupName>
      <ability>L2_HalfPunc</ability>
      <abilityName>全半角检查</abilityName>
      <candidateList>
        <item>（</item>
      </candidateList>
      <explain>文本全半角错误。</explain>
      <paraID>198AE699</paraID>
      <start>12</start>
      <end>13</end>
      <status>unmodified</status>
      <modifiedWord/>
      <trackRevisions>false</trackRevisions>
    </reviewItem>
    <reviewItem>
      <errorID>6c4978d3-cc24-40be-97e2-ebb5e439e545</errorID>
      <errorWord>)</errorWord>
      <group>L1_Format</group>
      <groupName>格式问题</groupName>
      <ability>L2_HalfPunc</ability>
      <abilityName>全半角检查</abilityName>
      <candidateList>
        <item>）</item>
      </candidateList>
      <explain>文本全半角错误。</explain>
      <paraID>198AE699</paraID>
      <start>17</start>
      <end>18</end>
      <status>unmodified</status>
      <modifiedWord/>
      <trackRevisions>false</trackRevisions>
    </reviewItem>
    <reviewItem>
      <errorID>414a2500-7c34-43d7-aadf-dbedd7c2c0d0</errorID>
      <errorWord>（</errorWord>
      <group>L1_Format</group>
      <groupName>格式问题</groupName>
      <ability>L2_HalfPunc</ability>
      <abilityName>全半角检查</abilityName>
      <candidateList>
        <item>(</item>
      </candidateList>
      <explain>文本全半角错误。</explain>
      <paraID>262B3B40</paraID>
      <start>13</start>
      <end>14</end>
      <status>unmodified</status>
      <modifiedWord/>
      <trackRevisions>false</trackRevisions>
    </reviewItem>
    <reviewItem>
      <errorID>981f1d0f-1781-4f72-af25-1b3f95711a2e</errorID>
      <errorWord>）</errorWord>
      <group>L1_Format</group>
      <groupName>格式问题</groupName>
      <ability>L2_HalfPunc</ability>
      <abilityName>全半角检查</abilityName>
      <candidateList>
        <item>)</item>
      </candidateList>
      <explain>文本全半角错误。</explain>
      <paraID>262B3B40</paraID>
      <start>15</start>
      <end>16</end>
      <status>unmodified</status>
      <modifiedWord/>
      <trackRevisions>false</trackRevisions>
    </reviewItem>
    <reviewItem>
      <errorID>0a726e88-7717-4e14-b6fa-f3395b1868a6</errorID>
      <errorWord>（</errorWord>
      <group>L1_Format</group>
      <groupName>格式问题</groupName>
      <ability>L2_HalfPunc</ability>
      <abilityName>全半角检查</abilityName>
      <candidateList>
        <item>(</item>
      </candidateList>
      <explain>文本全半角错误。</explain>
      <paraID>3E1AA783</paraID>
      <start>12</start>
      <end>13</end>
      <status>unmodified</status>
      <modifiedWord/>
      <trackRevisions>false</trackRevisions>
    </reviewItem>
    <reviewItem>
      <errorID>adcc219c-8d9f-486e-a473-c73861d6d630</errorID>
      <errorWord>）</errorWord>
      <group>L1_Format</group>
      <groupName>格式问题</groupName>
      <ability>L2_HalfPunc</ability>
      <abilityName>全半角检查</abilityName>
      <candidateList>
        <item>)</item>
      </candidateList>
      <explain>文本全半角错误。</explain>
      <paraID>3E1AA783</paraID>
      <start>14</start>
      <end>15</end>
      <status>unmodified</status>
      <modifiedWord/>
      <trackRevisions>false</trackRevisions>
    </reviewItem>
    <reviewItem>
      <errorID>11db3bbc-8884-44f1-8cdb-9993f089449f</errorID>
      <errorWord>（</errorWord>
      <group>L1_Format</group>
      <groupName>格式问题</groupName>
      <ability>L2_HalfPunc</ability>
      <abilityName>全半角检查</abilityName>
      <candidateList>
        <item>(</item>
      </candidateList>
      <explain>文本全半角错误。</explain>
      <paraID>6EB6AD88</paraID>
      <start>8</start>
      <end>9</end>
      <status>unmodified</status>
      <modifiedWord/>
      <trackRevisions>false</trackRevisions>
    </reviewItem>
    <reviewItem>
      <errorID>7e607f0f-66d5-42c3-8b06-1bcaf0b16944</errorID>
      <errorWord>）</errorWord>
      <group>L1_Format</group>
      <groupName>格式问题</groupName>
      <ability>L2_HalfPunc</ability>
      <abilityName>全半角检查</abilityName>
      <candidateList>
        <item>)</item>
      </candidateList>
      <explain>文本全半角错误。</explain>
      <paraID>6EB6AD88</paraID>
      <start>11</start>
      <end>12</end>
      <status>unmodified</status>
      <modifiedWord/>
      <trackRevisions>false</trackRevisions>
    </reviewItem>
    <reviewItem>
      <errorID>04ea052d-4b6c-48f4-be52-82d5cc1258f9</errorID>
      <errorWord>（</errorWord>
      <group>L1_Format</group>
      <groupName>格式问题</groupName>
      <ability>L2_HalfPunc</ability>
      <abilityName>全半角检查</abilityName>
      <candidateList>
        <item>(</item>
      </candidateList>
      <explain>文本全半角错误。</explain>
      <paraID>7475870A</paraID>
      <start>0</start>
      <end>1</end>
      <status>unmodified</status>
      <modifiedWord/>
      <trackRevisions>false</trackRevisions>
    </reviewItem>
    <reviewItem>
      <errorID>18179466-a911-4d04-8aa1-b6a62a17c110</errorID>
      <errorWord>）</errorWord>
      <group>L1_Format</group>
      <groupName>格式问题</groupName>
      <ability>L2_HalfPunc</ability>
      <abilityName>全半角检查</abilityName>
      <candidateList>
        <item>)</item>
      </candidateList>
      <explain>文本全半角错误。</explain>
      <paraID>7475870A</paraID>
      <start>3</start>
      <end>4</end>
      <status>unmodified</status>
      <modifiedWord/>
      <trackRevisions>false</trackRevisions>
    </reviewItem>
    <reviewItem>
      <errorID>c7ea11ef-d403-4d1c-846d-69b24cd23613</errorID>
      <errorWord>（</errorWord>
      <group>L1_Format</group>
      <groupName>格式问题</groupName>
      <ability>L2_HalfPunc</ability>
      <abilityName>全半角检查</abilityName>
      <candidateList>
        <item>(</item>
      </candidateList>
      <explain>文本全半角错误。</explain>
      <paraID>3546C4D9</paraID>
      <start>9</start>
      <end>10</end>
      <status>unmodified</status>
      <modifiedWord/>
      <trackRevisions>false</trackRevisions>
    </reviewItem>
    <reviewItem>
      <errorID>2d605601-8971-4210-9852-86d506b9b2fd</errorID>
      <errorWord>）</errorWord>
      <group>L1_Format</group>
      <groupName>格式问题</groupName>
      <ability>L2_HalfPunc</ability>
      <abilityName>全半角检查</abilityName>
      <candidateList>
        <item>)</item>
      </candidateList>
      <explain>文本全半角错误。</explain>
      <paraID>3546C4D9</paraID>
      <start>12</start>
      <end>13</end>
      <status>unmodified</status>
      <modifiedWord/>
      <trackRevisions>false</trackRevisions>
    </reviewItem>
    <reviewItem>
      <errorID>195b2fc7-4a9e-4305-9372-dac81d5f5944</errorID>
      <errorWord>（</errorWord>
      <group>L1_Format</group>
      <groupName>格式问题</groupName>
      <ability>L2_HalfPunc</ability>
      <abilityName>全半角检查</abilityName>
      <candidateList>
        <item>(</item>
      </candidateList>
      <explain>文本全半角错误。</explain>
      <paraID>4017A07F</paraID>
      <start>8</start>
      <end>9</end>
      <status>unmodified</status>
      <modifiedWord/>
      <trackRevisions>false</trackRevisions>
    </reviewItem>
    <reviewItem>
      <errorID>2876fff3-3041-4be4-b13f-f197e5b5ca8f</errorID>
      <errorWord>）</errorWord>
      <group>L1_Format</group>
      <groupName>格式问题</groupName>
      <ability>L2_HalfPunc</ability>
      <abilityName>全半角检查</abilityName>
      <candidateList>
        <item>)</item>
      </candidateList>
      <explain>文本全半角错误。</explain>
      <paraID>4017A07F</paraID>
      <start>11</start>
      <end>12</end>
      <status>unmodified</status>
      <modifiedWord/>
      <trackRevisions>false</trackRevisions>
    </reviewItem>
    <reviewItem>
      <errorID>fb575c6d-e864-485a-b7d3-0d3823f92157</errorID>
      <errorWord>（</errorWord>
      <group>L1_Format</group>
      <groupName>格式问题</groupName>
      <ability>L2_HalfPunc</ability>
      <abilityName>全半角检查</abilityName>
      <candidateList>
        <item>(</item>
      </candidateList>
      <explain>文本全半角错误。</explain>
      <paraID>6ADDF365</paraID>
      <start>9</start>
      <end>10</end>
      <status>unmodified</status>
      <modifiedWord/>
      <trackRevisions>false</trackRevisions>
    </reviewItem>
    <reviewItem>
      <errorID>f1446c2e-60c1-4d20-b2f6-eb14356f3431</errorID>
      <errorWord>）</errorWord>
      <group>L1_Format</group>
      <groupName>格式问题</groupName>
      <ability>L2_HalfPunc</ability>
      <abilityName>全半角检查</abilityName>
      <candidateList>
        <item>)</item>
      </candidateList>
      <explain>文本全半角错误。</explain>
      <paraID>6ADDF365</paraID>
      <start>12</start>
      <end>13</end>
      <status>unmodified</status>
      <modifiedWord/>
      <trackRevisions>false</trackRevisions>
    </reviewItem>
    <reviewItem>
      <errorID>f667b86c-6e07-45e3-adde-e7833e25a22e</errorID>
      <errorWord>、</errorWord>
      <group>L1_Punc</group>
      <groupName>标点问题</groupName>
      <ability>L2_Punc</ability>
      <abilityName>标点符号检查</abilityName>
      <candidateList>
        <item>.</item>
      </candidateList>
      <explain/>
      <paraID> 876B6B5</paraID>
      <start>1</start>
      <end>2</end>
      <status>unmodified</status>
      <modifiedWord/>
      <trackRevisions>false</trackRevisions>
    </reviewItem>
    <reviewItem>
      <errorID>6a8bcf45-3703-410c-b17c-e9298b17ee83</errorID>
      <errorWord>(</errorWord>
      <group>L1_Format</group>
      <groupName>格式问题</groupName>
      <ability>L2_HalfPunc</ability>
      <abilityName>全半角检查</abilityName>
      <candidateList>
        <item>（</item>
      </candidateList>
      <explain>文本全半角错误。</explain>
      <paraID>1787B83D</paraID>
      <start>10</start>
      <end>11</end>
      <status>unmodified</status>
      <modifiedWord/>
      <trackRevisions>false</trackRevisions>
    </reviewItem>
    <reviewItem>
      <errorID>c7d0ed55-172c-4c0f-afc8-378ce2c695a7</errorID>
      <errorWord>)</errorWord>
      <group>L1_Format</group>
      <groupName>格式问题</groupName>
      <ability>L2_HalfPunc</ability>
      <abilityName>全半角检查</abilityName>
      <candidateList>
        <item>）</item>
      </candidateList>
      <explain>文本全半角错误。</explain>
      <paraID>1787B83D</paraID>
      <start>15</start>
      <end>16</end>
      <status>unmodified</status>
      <modifiedWord/>
      <trackRevisions>false</trackRevisions>
    </reviewItem>
    <reviewItem>
      <errorID>ab6f5dc8-4628-465b-9b5c-9fe47f52eb57</errorID>
      <errorWord>（</errorWord>
      <group>L1_Format</group>
      <groupName>格式问题</groupName>
      <ability>L2_HalfPunc</ability>
      <abilityName>全半角检查</abilityName>
      <candidateList>
        <item>(</item>
      </candidateList>
      <explain>文本全半角错误。</explain>
      <paraID>298E7D94</paraID>
      <start>9</start>
      <end>10</end>
      <status>unmodified</status>
      <modifiedWord/>
      <trackRevisions>false</trackRevisions>
    </reviewItem>
    <reviewItem>
      <errorID>0c5d1cc9-1737-4cdc-a291-5ab439e4f2fe</errorID>
      <errorWord>）</errorWord>
      <group>L1_Format</group>
      <groupName>格式问题</groupName>
      <ability>L2_HalfPunc</ability>
      <abilityName>全半角检查</abilityName>
      <candidateList>
        <item>)</item>
      </candidateList>
      <explain>文本全半角错误。</explain>
      <paraID>298E7D94</paraID>
      <start>12</start>
      <end>13</end>
      <status>unmodified</status>
      <modifiedWord/>
      <trackRevisions>false</trackRevisions>
    </reviewItem>
    <reviewItem>
      <errorID>b98d8c34-ebf6-4bf7-8cd4-78d36328408e</errorID>
      <errorWord>(</errorWord>
      <group>L1_Format</group>
      <groupName>格式问题</groupName>
      <ability>L2_HalfPunc</ability>
      <abilityName>全半角检查</abilityName>
      <candidateList>
        <item>（</item>
      </candidateList>
      <explain>文本全半角错误。</explain>
      <paraID>6A7940C3</paraID>
      <start>7</start>
      <end>8</end>
      <status>unmodified</status>
      <modifiedWord/>
      <trackRevisions>false</trackRevisions>
    </reviewItem>
    <reviewItem>
      <errorID>f16a1805-101e-49cb-988b-b5cd7ed5c5e0</errorID>
      <errorWord>)</errorWord>
      <group>L1_Format</group>
      <groupName>格式问题</groupName>
      <ability>L2_HalfPunc</ability>
      <abilityName>全半角检查</abilityName>
      <candidateList>
        <item>）</item>
      </candidateList>
      <explain>文本全半角错误。</explain>
      <paraID>6A7940C3</paraID>
      <start>11</start>
      <end>12</end>
      <status>unmodified</status>
      <modifiedWord/>
      <trackRevisions>false</trackRevisions>
    </reviewItem>
    <reviewItem>
      <errorID>ff2addf5-42f6-41e8-b883-cc64b57a0cd4</errorID>
      <errorWord>、</errorWord>
      <group>L1_Punc</group>
      <groupName>标点问题</groupName>
      <ability>L2_Punc</ability>
      <abilityName>标点符号检查</abilityName>
      <candidateList>
        <item>.</item>
      </candidateList>
      <explain/>
      <paraID> 7EF59F3</paraID>
      <start>1</start>
      <end>2</end>
      <status>unmodified</status>
      <modifiedWord/>
      <trackRevisions>false</trackRevisions>
    </reviewItem>
    <reviewItem>
      <errorID>d5647f9b-66ba-4239-83e5-0a6e75126483</errorID>
      <errorWord>、</errorWord>
      <group>L1_Punc</group>
      <groupName>标点问题</groupName>
      <ability>L2_Punc</ability>
      <abilityName>标点符号检查</abilityName>
      <candidateList>
        <item>.</item>
      </candidateList>
      <explain/>
      <paraID>5D7DCA21</paraID>
      <start>1</start>
      <end>2</end>
      <status>unmodified</status>
      <modifiedWord/>
      <trackRevisions>false</trackRevisions>
    </reviewItem>
    <reviewItem>
      <errorID>2833bc89-4484-4fc5-8cb7-4d130dd6348c</errorID>
      <errorWord>、</errorWord>
      <group>L1_Punc</group>
      <groupName>标点问题</groupName>
      <ability>L2_Punc</ability>
      <abilityName>标点符号检查</abilityName>
      <candidateList>
        <item>.</item>
      </candidateList>
      <explain/>
      <paraID>313AD757</paraID>
      <start>1</start>
      <end>2</end>
      <status>unmodified</status>
      <modifiedWord/>
      <trackRevisions>false</trackRevisions>
    </reviewItem>
    <reviewItem>
      <errorID>b3226d54-7de8-43e7-8a1e-379bc8d9ceec</errorID>
      <errorWord>（</errorWord>
      <group>L1_Format</group>
      <groupName>格式问题</groupName>
      <ability>L2_HalfPunc</ability>
      <abilityName>全半角检查</abilityName>
      <candidateList>
        <item>(</item>
      </candidateList>
      <explain>文本全半角错误。</explain>
      <paraID>463A31E4</paraID>
      <start>9</start>
      <end>10</end>
      <status>unmodified</status>
      <modifiedWord/>
      <trackRevisions>false</trackRevisions>
    </reviewItem>
    <reviewItem>
      <errorID>78894410-2b1d-4e77-82ad-296bf65cf898</errorID>
      <errorWord>）</errorWord>
      <group>L1_Format</group>
      <groupName>格式问题</groupName>
      <ability>L2_HalfPunc</ability>
      <abilityName>全半角检查</abilityName>
      <candidateList>
        <item>)</item>
      </candidateList>
      <explain>文本全半角错误。</explain>
      <paraID>463A31E4</paraID>
      <start>12</start>
      <end>13</end>
      <status>unmodified</status>
      <modifiedWord/>
      <trackRevisions>false</trackRevisions>
    </reviewItem>
    <reviewItem>
      <errorID>64198e17-587f-4f3e-8912-d3c54a0f04b3</errorID>
      <errorWord>(</errorWord>
      <group>L1_Format</group>
      <groupName>格式问题</groupName>
      <ability>L2_HalfPunc</ability>
      <abilityName>全半角检查</abilityName>
      <candidateList>
        <item>（</item>
      </candidateList>
      <explain>文本全半角错误。</explain>
      <paraID>58494DB4</paraID>
      <start>8</start>
      <end>9</end>
      <status>unmodified</status>
      <modifiedWord/>
      <trackRevisions>false</trackRevisions>
    </reviewItem>
    <reviewItem>
      <errorID>1bb43721-6819-4315-921b-89cef0a5468e</errorID>
      <errorWord>)</errorWord>
      <group>L1_Format</group>
      <groupName>格式问题</groupName>
      <ability>L2_HalfPunc</ability>
      <abilityName>全半角检查</abilityName>
      <candidateList>
        <item>）</item>
      </candidateList>
      <explain>文本全半角错误。</explain>
      <paraID>58494DB4</paraID>
      <start>13</start>
      <end>14</end>
      <status>unmodified</status>
      <modifiedWord/>
      <trackRevisions>false</trackRevisions>
    </reviewItem>
    <reviewItem>
      <errorID>144a8978-54f9-4736-9090-027bb5f687bc</errorID>
      <errorWord>、</errorWord>
      <group>L1_Punc</group>
      <groupName>标点问题</groupName>
      <ability>L2_Punc</ability>
      <abilityName>标点符号检查</abilityName>
      <candidateList>
        <item>.</item>
      </candidateList>
      <explain/>
      <paraID>298750A2</paraID>
      <start>1</start>
      <end>2</end>
      <status>unmodified</status>
      <modifiedWord/>
      <trackRevisions>false</trackRevisions>
    </reviewItem>
    <reviewItem>
      <errorID>6e6c0011-fe5b-4dfd-8942-7885acc0301d</errorID>
      <errorWord>计算方法应</errorWord>
      <group>L1_Word</group>
      <groupName>字词问题</groupName>
      <ability>L2_Typo</ability>
      <abilityName>字词错误</abilityName>
      <candidateList>
        <item>计算方法</item>
      </candidateList>
      <explain/>
      <paraID>4A6F2DBA</paraID>
      <start>15</start>
      <end>20</end>
      <status>unmodified</status>
      <modifiedWord/>
      <trackRevisions>false</trackRevisions>
    </reviewItem>
    <reviewItem>
      <errorID>61925d2d-035e-417b-aa1c-45db8446f3d6</errorID>
      <errorWord>作</errorWord>
      <group>L1_Word</group>
      <groupName>字词问题</groupName>
      <ability>L2_Typo</ability>
      <abilityName>字词错误</abilityName>
      <candidateList>
        <item>做</item>
      </candidateList>
      <explain>存在发音相同字词的误用。</explain>
      <paraID>4A6F2DBA</paraID>
      <start>28</start>
      <end>29</end>
      <status>unmodified</status>
      <modifiedWord/>
      <trackRevisions>false</trackRevisions>
    </reviewItem>
    <reviewItem>
      <errorID>ba90b2a7-180c-4a7a-a554-94badebbc211</errorID>
      <errorWord>、</errorWord>
      <group>L1_Punc</group>
      <groupName>标点问题</groupName>
      <ability>L2_Punc</ability>
      <abilityName>标点符号检查</abilityName>
      <candidateList>
        <item>.</item>
      </candidateList>
      <explain/>
      <paraID>35D3C0DD</paraID>
      <start>1</start>
      <end>2</end>
      <status>unmodified</status>
      <modifiedWord/>
      <trackRevisions>false</trackRevisions>
    </reviewItem>
    <reviewItem>
      <errorID>ef60bb6c-d3e7-452d-a619-c7c31dccf5de</errorID>
      <errorWord>………</errorWord>
      <group>L1_Punc</group>
      <groupName>标点问题</groupName>
      <ability>L2_Punc</ability>
      <abilityName>标点符号检查</abilityName>
      <candidateList>
        <item>…</item>
      </candidateList>
      <explain/>
      <paraID>2D09E073</paraID>
      <start>49</start>
      <end>52</end>
      <status>unmodified</status>
      <modifiedWord/>
      <trackRevisions>false</trackRevisions>
    </reviewItem>
    <reviewItem>
      <errorID>e019f0a4-d65d-4487-b0c8-0cbd658c81b1</errorID>
      <errorWord>（</errorWord>
      <group>L1_Format</group>
      <groupName>格式问题</groupName>
      <ability>L2_HalfPunc</ability>
      <abilityName>全半角检查</abilityName>
      <candidateList>
        <item>(</item>
      </candidateList>
      <explain>文本全半角错误。</explain>
      <paraID>2D09E073</paraID>
      <start>52</start>
      <end>53</end>
      <status>unmodified</status>
      <modifiedWord/>
      <trackRevisions>false</trackRevisions>
    </reviewItem>
    <reviewItem>
      <errorID>2a88a4bf-aa71-48fb-a0f2-82c0cd7b393e</errorID>
      <errorWord>）</errorWord>
      <group>L1_Format</group>
      <groupName>格式问题</groupName>
      <ability>L2_HalfPunc</ability>
      <abilityName>全半角检查</abilityName>
      <candidateList>
        <item>)</item>
      </candidateList>
      <explain>文本全半角错误。</explain>
      <paraID>2D09E073</paraID>
      <start>55</start>
      <end>56</end>
      <status>unmodified</status>
      <modifiedWord/>
      <trackRevisions>false</trackRevisions>
    </reviewItem>
    <reviewItem>
      <errorID>d2f8f6f8-579e-4d0a-b7a5-301d23841bd5</errorID>
      <errorWord>、</errorWord>
      <group>L1_Punc</group>
      <groupName>标点问题</groupName>
      <ability>L2_Punc</ability>
      <abilityName>标点符号检查</abilityName>
      <candidateList>
        <item>.</item>
      </candidateList>
      <explain/>
      <paraID>2B007C3E</paraID>
      <start>1</start>
      <end>2</end>
      <status>unmodified</status>
      <modifiedWord/>
      <trackRevisions>false</trackRevisions>
    </reviewItem>
    <reviewItem>
      <errorID>03710ced-cf98-45a3-aedf-12b55b404565</errorID>
      <errorWord>………</errorWord>
      <group>L1_Punc</group>
      <groupName>标点问题</groupName>
      <ability>L2_Punc</ability>
      <abilityName>标点符号检查</abilityName>
      <candidateList>
        <item>…</item>
      </candidateList>
      <explain/>
      <paraID> 4EF74FA</paraID>
      <start>50</start>
      <end>53</end>
      <status>unmodified</status>
      <modifiedWord/>
      <trackRevisions>false</trackRevisions>
    </reviewItem>
    <reviewItem>
      <errorID>fe50a091-3815-433c-952d-bb1cbd55260e</errorID>
      <errorWord>（</errorWord>
      <group>L1_Format</group>
      <groupName>格式问题</groupName>
      <ability>L2_HalfPunc</ability>
      <abilityName>全半角检查</abilityName>
      <candidateList>
        <item>(</item>
      </candidateList>
      <explain>文本全半角错误。</explain>
      <paraID> 4EF74FA</paraID>
      <start>53</start>
      <end>54</end>
      <status>unmodified</status>
      <modifiedWord/>
      <trackRevisions>false</trackRevisions>
    </reviewItem>
    <reviewItem>
      <errorID>7844640d-de44-48f5-bd48-39a30b27f923</errorID>
      <errorWord>）</errorWord>
      <group>L1_Format</group>
      <groupName>格式问题</groupName>
      <ability>L2_HalfPunc</ability>
      <abilityName>全半角检查</abilityName>
      <candidateList>
        <item>)</item>
      </candidateList>
      <explain>文本全半角错误。</explain>
      <paraID> 4EF74FA</paraID>
      <start>56</start>
      <end>57</end>
      <status>unmodified</status>
      <modifiedWord/>
      <trackRevisions>false</trackRevisions>
    </reviewItem>
    <reviewItem>
      <errorID>e6b847b1-31f0-4fc5-bffa-ab2f68c2c83d</errorID>
      <errorWord>、</errorWord>
      <group>L1_Punc</group>
      <groupName>标点问题</groupName>
      <ability>L2_Punc</ability>
      <abilityName>标点符号检查</abilityName>
      <candidateList>
        <item>.</item>
      </candidateList>
      <explain/>
      <paraID>4A5AC66B</paraID>
      <start>1</start>
      <end>2</end>
      <status>unmodified</status>
      <modifiedWord/>
      <trackRevisions>false</trackRevisions>
    </reviewItem>
    <reviewItem>
      <errorID>87bffeb7-7bca-4f9e-bc21-479e0175cd63</errorID>
      <errorWord>在环境影响评价</errorWord>
      <group>L1_Knowledge</group>
      <groupName>知识性问题</groupName>
      <ability>L2_Term</ability>
      <abilityName>专业术语</abilityName>
      <candidateList>
        <item>声环境影响评价</item>
      </candidateList>
      <explain/>
      <paraID>4A5AC66B</paraID>
      <start>2</start>
      <end>9</end>
      <status>unmodified</status>
      <modifiedWord/>
      <trackRevisions>false</trackRevisions>
    </reviewItem>
    <reviewItem>
      <errorID>03ca53c7-5fd2-4b81-ad21-192b6ed0eec6</errorID>
      <errorWord>、</errorWord>
      <group>L1_Punc</group>
      <groupName>标点问题</groupName>
      <ability>L2_Punc</ability>
      <abilityName>标点符号检查</abilityName>
      <candidateList>
        <item>.</item>
      </candidateList>
      <explain/>
      <paraID>4FDC9110</paraID>
      <start>2</start>
      <end>3</end>
      <status>unmodified</status>
      <modifiedWord/>
      <trackRevisions>false</trackRevisions>
    </reviewItem>
    <reviewItem>
      <errorID>1f2c35df-2927-4328-938d-f5ec3ba8f9eb</errorID>
      <errorWord>)</errorWord>
      <group>L1_Format</group>
      <groupName>格式问题</groupName>
      <ability>L2_HalfPunc</ability>
      <abilityName>全半角检查</abilityName>
      <candidateList>
        <item>）</item>
      </candidateList>
      <explain>文本全半角错误。</explain>
      <paraID>4FDC9110</paraID>
      <start>14</start>
      <end>15</end>
      <status>unmodified</status>
      <modifiedWord/>
      <trackRevisions>false</trackRevisions>
    </reviewItem>
    <reviewItem>
      <errorID>ed21a8b6-2af7-47ab-9370-9126cada1ae1</errorID>
      <errorWord>（</errorWord>
      <group>L1_Punc</group>
      <groupName>标点问题</groupName>
      <ability>L2_Punc</ability>
      <abilityName>标点符号检查</abilityName>
      <candidateList>
        <item/>
      </candidateList>
      <explain>同一形式括号套用。</explain>
      <paraID>4FDC9110</paraID>
      <start>47</start>
      <end>48</end>
      <status>unmodified</status>
      <modifiedWord/>
      <trackRevisions>false</trackRevisions>
    </reviewItem>
    <reviewItem>
      <errorID>af81792d-24ab-47a0-9c8e-02d28e7c24cd</errorID>
      <errorWord>(</errorWord>
      <group>L1_Punc</group>
      <groupName>标点问题</groupName>
      <ability>L2_Punc</ability>
      <abilityName>标点符号检查</abilityName>
      <candidateList/>
      <explain>同一形式括号套用。</explain>
      <paraID>4FDC9110</paraID>
      <start>50</start>
      <end>51</end>
      <status>unmodified</status>
      <modifiedWord/>
      <trackRevisions>false</trackRevisions>
    </reviewItem>
    <reviewItem>
      <errorID>cfbb4afe-e3dd-4b9a-8d10-7a0f9afc5d25</errorID>
      <errorWord>)</errorWord>
      <group>L1_Punc</group>
      <groupName>标点问题</groupName>
      <ability>L2_Punc</ability>
      <abilityName>标点符号检查</abilityName>
      <candidateList/>
      <explain>同一形式括号套用。</explain>
      <paraID>4FDC9110</paraID>
      <start>52</start>
      <end>53</end>
      <status>unmodified</status>
      <modifiedWord/>
      <trackRevisions>false</trackRevisions>
    </reviewItem>
    <reviewItem>
      <errorID>21bff071-81b0-4496-8fc8-aabe5d117ba7</errorID>
      <errorWord>）</errorWord>
      <group>L1_Punc</group>
      <groupName>标点问题</groupName>
      <ability>L2_Punc</ability>
      <abilityName>标点符号检查</abilityName>
      <candidateList/>
      <explain>同一形式括号套用。</explain>
      <paraID>4FDC9110</paraID>
      <start>53</start>
      <end>54</end>
      <status>unmodified</status>
      <modifiedWord/>
      <trackRevisions>false</trackRevisions>
    </reviewItem>
    <reviewItem>
      <errorID>2d6f5ffe-dece-498a-96fd-35524e74cec6</errorID>
      <errorWord>)</errorWord>
      <group>L1_Format</group>
      <groupName>格式问题</groupName>
      <ability>L2_HalfPunc</ability>
      <abilityName>全半角检查</abilityName>
      <candidateList>
        <item>）</item>
      </candidateList>
      <explain>文本全半角错误。</explain>
      <paraID>49820377</paraID>
      <start>45</start>
      <end>46</end>
      <status>unmodified</status>
      <modifiedWord/>
      <trackRevisions>false</trackRevisions>
    </reviewItem>
    <reviewItem>
      <errorID>f1d0c1bd-f913-4f0d-a442-f15b924d897a</errorID>
      <errorWord>(</errorWord>
      <group>L1_Format</group>
      <groupName>格式问题</groupName>
      <ability>L2_HalfPunc</ability>
      <abilityName>全半角检查</abilityName>
      <candidateList>
        <item>（</item>
      </candidateList>
      <explain>文本全半角错误。</explain>
      <paraID>3DF5895F</paraID>
      <start>52</start>
      <end>53</end>
      <status>unmodified</status>
      <modifiedWord/>
      <trackRevisions>false</trackRevisions>
    </reviewItem>
    <reviewItem>
      <errorID>70d68829-55dd-4bfa-9adb-4ac3d3f3c662</errorID>
      <errorWord>爆破与</errorWord>
      <group>L1_Word</group>
      <groupName>字词问题</groupName>
      <ability>L2_Typo</ability>
      <abilityName>字词错误</abilityName>
      <candidateList>
        <item>爆破</item>
      </candidateList>
      <explain/>
      <paraID>3DF5895F</paraID>
      <start>118</start>
      <end>121</end>
      <status>unmodified</status>
      <modifiedWord/>
      <trackRevisions>false</trackRevisions>
    </reviewItem>
    <reviewItem>
      <errorID>3f578673-7773-4c13-857d-13b4fbc57644</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70592413</paraID>
      <start>0</start>
      <end>2</end>
      <status>unmodified</status>
      <modifiedWord/>
      <trackRevisions>false</trackRevisions>
    </reviewItem>
    <reviewItem>
      <errorID>c1a551e6-9bf1-48c0-9ad5-3f679b2f66e4</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E531190</paraID>
      <start>0</start>
      <end>2</end>
      <status>unmodified</status>
      <modifiedWord/>
      <trackRevisions>false</trackRevisions>
    </reviewItem>
    <reviewItem>
      <errorID>5a36602e-50fb-411f-9276-b1891ad745a9</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A8B51A0</paraID>
      <start>0</start>
      <end>2</end>
      <status>unmodified</status>
      <modifiedWord/>
      <trackRevisions>false</trackRevisions>
    </reviewItem>
    <reviewItem>
      <errorID>5289ab91-0758-4a27-a481-cd906f25ba40</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6AE103B</paraID>
      <start>0</start>
      <end>2</end>
      <status>unmodified</status>
      <modifiedWord/>
      <trackRevisions>false</trackRevisions>
    </reviewItem>
    <reviewItem>
      <errorID>af6df565-8b32-4039-a65c-b3a9d18e57cd</errorID>
      <errorWord>＜</errorWord>
      <group>L1_Format</group>
      <groupName>格式问题</groupName>
      <ability>L2_HalfPunc</ability>
      <abilityName>全半角检查</abilityName>
      <candidateList>
        <item>&lt;</item>
      </candidateList>
      <explain>文本全半角错误。</explain>
      <paraID>4C187304</paraID>
      <start>4</start>
      <end>5</end>
      <status>unmodified</status>
      <modifiedWord/>
      <trackRevisions>false</trackRevisions>
    </reviewItem>
    <reviewItem>
      <errorID>5645e025-93c3-4496-9f4d-52e3843b42c3</errorID>
      <errorWord>需均</errorWord>
      <group>L1_Word</group>
      <groupName>字词问题</groupName>
      <ability>L2_Typo</ability>
      <abilityName>字词错误</abilityName>
      <candidateList>
        <item>需</item>
      </candidateList>
      <explain>❶〈动〉需要：～求｜按～分配｜完成任务还～五天时间。❷需用的东西：军～。</explain>
      <paraID>3095E48E</paraID>
      <start>75</start>
      <end>76</end>
      <status>modified</status>
      <modifiedWord>需</modifiedWord>
      <trackRevisions>false</trackRevisions>
    </reviewItem>
    <reviewItem>
      <errorID>c6f7571c-bf39-4b40-8a9a-bad9230d63b2</errorID>
      <errorWord>做</errorWord>
      <group>L1_Word</group>
      <groupName>字词问题</groupName>
      <ability>L2_Typo</ability>
      <abilityName>字词错误</abilityName>
      <candidateList>
        <item>作</item>
      </candidateList>
      <explain>存在发音相同字词的误用。</explain>
      <paraID>3095E48E</paraID>
      <start>136</start>
      <end>137</end>
      <status>unmodified</status>
      <modifiedWord/>
      <trackRevisions>false</trackRevisions>
    </reviewItem>
    <reviewItem>
      <errorID>01dc9376-6b3c-4719-9981-eb135271721d</errorID>
      <errorWord>涌水处理站</errorWord>
      <group>L1_Knowledge</group>
      <groupName>知识性问题</groupName>
      <ability>L2_Term</ability>
      <abilityName>专业术语</abilityName>
      <candidateList>
        <item>污水处理站</item>
      </candidateList>
      <explain/>
      <paraID>62CB51D8</paraID>
      <start>79</start>
      <end>84</end>
      <status>unmodified</status>
      <modifiedWord/>
      <trackRevisions>false</trackRevisions>
    </reviewItem>
    <reviewItem>
      <errorID>de11e752-ad69-4807-8ecb-75835b912b15</errorID>
      <errorWord>》中</errorWord>
      <group>L1_Word</group>
      <groupName>字词问题</groupName>
      <ability>L2_Typo</ability>
      <abilityName>字词错误</abilityName>
      <candidateList>
        <item>》</item>
      </candidateList>
      <explain/>
      <paraID>20EE2BE5</paraID>
      <start>60</start>
      <end>62</end>
      <status>unmodified</status>
      <modifiedWord/>
      <trackRevisions>false</trackRevisions>
    </reviewItem>
    <reviewItem>
      <errorID>f3e4a0da-ef4c-482e-a93d-5b6b54e28bff</errorID>
      <errorWord>水体标准</errorWord>
      <group>L1_Knowledge</group>
      <groupName>知识性问题</groupName>
      <ability>L2_Term</ability>
      <abilityName>专业术语</abilityName>
      <candidateList>
        <item>水质标准</item>
      </candidateList>
      <explain/>
      <paraID>6FAD6349</paraID>
      <start>50</start>
      <end>54</end>
      <status>unmodified</status>
      <modifiedWord/>
      <trackRevisions>false</trackRevisions>
    </reviewItem>
    <reviewItem>
      <errorID>03d917a2-4b22-49ed-8581-34219f78286b</errorID>
      <errorWord>涌水处理站</errorWord>
      <group>L1_Knowledge</group>
      <groupName>知识性问题</groupName>
      <ability>L2_Term</ability>
      <abilityName>专业术语</abilityName>
      <candidateList>
        <item>污水处理站</item>
      </candidateList>
      <explain/>
      <paraID>7EEA47E1</paraID>
      <start>129</start>
      <end>134</end>
      <status>unmodified</status>
      <modifiedWord/>
      <trackRevisions>false</trackRevisions>
    </reviewItem>
    <reviewItem>
      <errorID>70fa31f4-c612-4738-b7d5-04a30164a3a0</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7A085A3B</paraID>
      <start>0</start>
      <end>2</end>
      <status>unmodified</status>
      <modifiedWord/>
      <trackRevisions>false</trackRevisions>
    </reviewItem>
    <reviewItem>
      <errorID>d8d47256-36dc-40fa-a7fd-878170ef4188</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7385CB3</paraID>
      <start>0</start>
      <end>2</end>
      <status>unmodified</status>
      <modifiedWord/>
      <trackRevisions>false</trackRevisions>
    </reviewItem>
    <reviewItem>
      <errorID>f0751bb4-987f-42de-9b58-c42d4a2b259f</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64B0432C</paraID>
      <start>0</start>
      <end>2</end>
      <status>unmodified</status>
      <modifiedWord/>
      <trackRevisions>false</trackRevisions>
    </reviewItem>
    <reviewItem>
      <errorID>6b05851a-a4d1-423a-abf8-d57dbcb0505d</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3F3D74EC</paraID>
      <start>0</start>
      <end>2</end>
      <status>unmodified</status>
      <modifiedWord/>
      <trackRevisions>false</trackRevisions>
    </reviewItem>
    <reviewItem>
      <errorID>5971cd0d-223b-4a38-a1f6-82b5a43eb3c4</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15AEA474</paraID>
      <start>0</start>
      <end>2</end>
      <status>unmodified</status>
      <modifiedWord/>
      <trackRevisions>false</trackRevisions>
    </reviewItem>
    <reviewItem>
      <errorID>69597ec0-0068-405d-8cc3-aeff178b2304</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7EC6C04B</paraID>
      <start>0</start>
      <end>2</end>
      <status>unmodified</status>
      <modifiedWord/>
      <trackRevisions>false</trackRevisions>
    </reviewItem>
    <reviewItem>
      <errorID>8c73e929-3f08-47fd-877c-66f8f8eca5bc</errorID>
      <errorWord>7、</errorWord>
      <group>L1_Format</group>
      <groupName>格式问题</groupName>
      <ability>L2_Ordinal</ability>
      <abilityName>序号格式</abilityName>
      <candidateList>
        <item>7.</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3868C537</paraID>
      <start>0</start>
      <end>2</end>
      <status>unmodified</status>
      <modifiedWord/>
      <trackRevisions>false</trackRevisions>
    </reviewItem>
    <reviewItem>
      <errorID>0250e624-bd69-42ad-9a18-cd484fed44c7</errorID>
      <errorWord>（</errorWord>
      <group>L1_Format</group>
      <groupName>格式问题</groupName>
      <ability>L2_HalfPunc</ability>
      <abilityName>全半角检查</abilityName>
      <candidateList>
        <item>(</item>
      </candidateList>
      <explain>文本全半角错误。</explain>
      <paraID>5A7ADDC7</paraID>
      <start>1</start>
      <end>2</end>
      <status>unmodified</status>
      <modifiedWord/>
      <trackRevisions>false</trackRevisions>
    </reviewItem>
    <reviewItem>
      <errorID>1f205776-9313-458c-9395-480101b19e20</errorID>
      <errorWord>）</errorWord>
      <group>L1_Format</group>
      <groupName>格式问题</groupName>
      <ability>L2_HalfPunc</ability>
      <abilityName>全半角检查</abilityName>
      <candidateList>
        <item>)</item>
      </candidateList>
      <explain>文本全半角错误。</explain>
      <paraID>5A7ADDC7</paraID>
      <start>3</start>
      <end>4</end>
      <status>unmodified</status>
      <modifiedWord/>
      <trackRevisions>false</trackRevisions>
    </reviewItem>
    <reviewItem>
      <errorID>623ec8f7-a075-400f-a184-d0497146a5c5</errorID>
      <errorWord>（</errorWord>
      <group>L1_Format</group>
      <groupName>格式问题</groupName>
      <ability>L2_HalfPunc</ability>
      <abilityName>全半角检查</abilityName>
      <candidateList>
        <item>(</item>
      </candidateList>
      <explain>文本全半角错误。</explain>
      <paraID>52719043</paraID>
      <start>1</start>
      <end>2</end>
      <status>unmodified</status>
      <modifiedWord/>
      <trackRevisions>false</trackRevisions>
    </reviewItem>
    <reviewItem>
      <errorID>e08f4e75-730b-4df3-b474-37c4102ffe6f</errorID>
      <errorWord>）</errorWord>
      <group>L1_Format</group>
      <groupName>格式问题</groupName>
      <ability>L2_HalfPunc</ability>
      <abilityName>全半角检查</abilityName>
      <candidateList>
        <item>)</item>
      </candidateList>
      <explain>文本全半角错误。</explain>
      <paraID>52719043</paraID>
      <start>3</start>
      <end>4</end>
      <status>unmodified</status>
      <modifiedWord/>
      <trackRevisions>false</trackRevisions>
    </reviewItem>
    <reviewItem>
      <errorID>d969259e-ec45-4fd9-b47b-d25a48007104</errorID>
      <errorWord>（</errorWord>
      <group>L1_Format</group>
      <groupName>格式问题</groupName>
      <ability>L2_HalfPunc</ability>
      <abilityName>全半角检查</abilityName>
      <candidateList>
        <item>(</item>
      </candidateList>
      <explain>文本全半角错误。</explain>
      <paraID>68E27F3E</paraID>
      <start>1</start>
      <end>2</end>
      <status>unmodified</status>
      <modifiedWord/>
      <trackRevisions>false</trackRevisions>
    </reviewItem>
    <reviewItem>
      <errorID>22b755a8-03a1-48fd-9bf3-6bb65cd7bfbd</errorID>
      <errorWord>）</errorWord>
      <group>L1_Format</group>
      <groupName>格式问题</groupName>
      <ability>L2_HalfPunc</ability>
      <abilityName>全半角检查</abilityName>
      <candidateList>
        <item>)</item>
      </candidateList>
      <explain>文本全半角错误。</explain>
      <paraID>68E27F3E</paraID>
      <start>5</start>
      <end>6</end>
      <status>unmodified</status>
      <modifiedWord/>
      <trackRevisions>false</trackRevisions>
    </reviewItem>
    <reviewItem>
      <errorID>4c18a86e-cccd-4c53-a981-bb9384db7e0b</errorID>
      <errorWord>（</errorWord>
      <group>L1_Format</group>
      <groupName>格式问题</groupName>
      <ability>L2_HalfPunc</ability>
      <abilityName>全半角检查</abilityName>
      <candidateList>
        <item>(</item>
      </candidateList>
      <explain>文本全半角错误。</explain>
      <paraID>12423BD3</paraID>
      <start>1</start>
      <end>2</end>
      <status>unmodified</status>
      <modifiedWord/>
      <trackRevisions>false</trackRevisions>
    </reviewItem>
    <reviewItem>
      <errorID>c4179378-8bc5-4d68-8767-b6be123d5769</errorID>
      <errorWord>）</errorWord>
      <group>L1_Format</group>
      <groupName>格式问题</groupName>
      <ability>L2_HalfPunc</ability>
      <abilityName>全半角检查</abilityName>
      <candidateList>
        <item>)</item>
      </candidateList>
      <explain>文本全半角错误。</explain>
      <paraID>12423BD3</paraID>
      <start>5</start>
      <end>6</end>
      <status>unmodified</status>
      <modifiedWord/>
      <trackRevisions>false</trackRevisions>
    </reviewItem>
    <reviewItem>
      <errorID>1090fe4d-56c8-4a6a-a7e7-0cc407795bf6</errorID>
      <errorWord>（</errorWord>
      <group>L1_Format</group>
      <groupName>格式问题</groupName>
      <ability>L2_HalfPunc</ability>
      <abilityName>全半角检查</abilityName>
      <candidateList>
        <item>(</item>
      </candidateList>
      <explain>文本全半角错误。</explain>
      <paraID>31B159CD</paraID>
      <start>2</start>
      <end>3</end>
      <status>unmodified</status>
      <modifiedWord/>
      <trackRevisions>false</trackRevisions>
    </reviewItem>
    <reviewItem>
      <errorID>2a38bc38-aa42-4e96-b192-c29c9f9bd467</errorID>
      <errorWord>）</errorWord>
      <group>L1_Format</group>
      <groupName>格式问题</groupName>
      <ability>L2_HalfPunc</ability>
      <abilityName>全半角检查</abilityName>
      <candidateList>
        <item>)</item>
      </candidateList>
      <explain>文本全半角错误。</explain>
      <paraID>31B159CD</paraID>
      <start>7</start>
      <end>8</end>
      <status>unmodified</status>
      <modifiedWord/>
      <trackRevisions>false</trackRevisions>
    </reviewItem>
    <reviewItem>
      <errorID>b022de15-537a-408b-8bf7-3691f15ea841</errorID>
      <errorWord>（</errorWord>
      <group>L1_Format</group>
      <groupName>格式问题</groupName>
      <ability>L2_HalfPunc</ability>
      <abilityName>全半角检查</abilityName>
      <candidateList>
        <item>(</item>
      </candidateList>
      <explain>文本全半角错误。</explain>
      <paraID>10F1360E</paraID>
      <start>1</start>
      <end>2</end>
      <status>unmodified</status>
      <modifiedWord/>
      <trackRevisions>false</trackRevisions>
    </reviewItem>
    <reviewItem>
      <errorID>7db580f4-79e2-4847-bd58-0a9869a86a60</errorID>
      <errorWord>）</errorWord>
      <group>L1_Format</group>
      <groupName>格式问题</groupName>
      <ability>L2_HalfPunc</ability>
      <abilityName>全半角检查</abilityName>
      <candidateList>
        <item>)</item>
      </candidateList>
      <explain>文本全半角错误。</explain>
      <paraID>10F1360E</paraID>
      <start>6</start>
      <end>7</end>
      <status>unmodified</status>
      <modifiedWord/>
      <trackRevisions>false</trackRevisions>
    </reviewItem>
    <reviewItem>
      <errorID>bc036267-90d8-4b8b-aa8d-5e1ea1ddf86e</errorID>
      <errorWord>（</errorWord>
      <group>L1_Format</group>
      <groupName>格式问题</groupName>
      <ability>L2_HalfPunc</ability>
      <abilityName>全半角检查</abilityName>
      <candidateList>
        <item>(</item>
      </candidateList>
      <explain>文本全半角错误。</explain>
      <paraID>70DC7B72</paraID>
      <start>1</start>
      <end>2</end>
      <status>unmodified</status>
      <modifiedWord/>
      <trackRevisions>false</trackRevisions>
    </reviewItem>
    <reviewItem>
      <errorID>349e48ea-6686-4ce5-8f7c-ad2595008a51</errorID>
      <errorWord>）</errorWord>
      <group>L1_Format</group>
      <groupName>格式问题</groupName>
      <ability>L2_HalfPunc</ability>
      <abilityName>全半角检查</abilityName>
      <candidateList>
        <item>)</item>
      </candidateList>
      <explain>文本全半角错误。</explain>
      <paraID>70DC7B72</paraID>
      <start>3</start>
      <end>4</end>
      <status>unmodified</status>
      <modifiedWord/>
      <trackRevisions>false</trackRevisions>
    </reviewItem>
    <reviewItem>
      <errorID>5890c306-2ce9-4bc8-8454-09a94c24d867</errorID>
      <errorWord>（</errorWord>
      <group>L1_Format</group>
      <groupName>格式问题</groupName>
      <ability>L2_HalfPunc</ability>
      <abilityName>全半角检查</abilityName>
      <candidateList>
        <item>(</item>
      </candidateList>
      <explain>文本全半角错误。</explain>
      <paraID>40921699</paraID>
      <start>1</start>
      <end>2</end>
      <status>unmodified</status>
      <modifiedWord/>
      <trackRevisions>false</trackRevisions>
    </reviewItem>
    <reviewItem>
      <errorID>2c1fd080-cd60-46ff-92d2-d558669e006c</errorID>
      <errorWord>）</errorWord>
      <group>L1_Format</group>
      <groupName>格式问题</groupName>
      <ability>L2_HalfPunc</ability>
      <abilityName>全半角检查</abilityName>
      <candidateList>
        <item>)</item>
      </candidateList>
      <explain>文本全半角错误。</explain>
      <paraID>40921699</paraID>
      <start>3</start>
      <end>4</end>
      <status>unmodified</status>
      <modifiedWord/>
      <trackRevisions>false</trackRevisions>
    </reviewItem>
    <reviewItem>
      <errorID>f6795e68-08b9-4c92-bdb7-c11eb71199b5</errorID>
      <errorWord>（</errorWord>
      <group>L1_Format</group>
      <groupName>格式问题</groupName>
      <ability>L2_HalfPunc</ability>
      <abilityName>全半角检查</abilityName>
      <candidateList>
        <item>(</item>
      </candidateList>
      <explain>文本全半角错误。</explain>
      <paraID>43645920</paraID>
      <start>1</start>
      <end>2</end>
      <status>unmodified</status>
      <modifiedWord/>
      <trackRevisions>false</trackRevisions>
    </reviewItem>
    <reviewItem>
      <errorID>8368cb8e-9b2a-4762-a812-92613ffa208f</errorID>
      <errorWord>）</errorWord>
      <group>L1_Format</group>
      <groupName>格式问题</groupName>
      <ability>L2_HalfPunc</ability>
      <abilityName>全半角检查</abilityName>
      <candidateList>
        <item>)</item>
      </candidateList>
      <explain>文本全半角错误。</explain>
      <paraID>43645920</paraID>
      <start>5</start>
      <end>6</end>
      <status>unmodified</status>
      <modifiedWord/>
      <trackRevisions>false</trackRevisions>
    </reviewItem>
    <reviewItem>
      <errorID>84887552-1103-4a34-98b5-97b1e247b450</errorID>
      <errorWord>（</errorWord>
      <group>L1_Format</group>
      <groupName>格式问题</groupName>
      <ability>L2_HalfPunc</ability>
      <abilityName>全半角检查</abilityName>
      <candidateList>
        <item>(</item>
      </candidateList>
      <explain>文本全半角错误。</explain>
      <paraID>48D173F4</paraID>
      <start>1</start>
      <end>2</end>
      <status>unmodified</status>
      <modifiedWord/>
      <trackRevisions>false</trackRevisions>
    </reviewItem>
    <reviewItem>
      <errorID>e57cb4d3-8e65-4e54-ae27-48b0846760b3</errorID>
      <errorWord>）</errorWord>
      <group>L1_Format</group>
      <groupName>格式问题</groupName>
      <ability>L2_HalfPunc</ability>
      <abilityName>全半角检查</abilityName>
      <candidateList>
        <item>)</item>
      </candidateList>
      <explain>文本全半角错误。</explain>
      <paraID>48D173F4</paraID>
      <start>5</start>
      <end>6</end>
      <status>unmodified</status>
      <modifiedWord/>
      <trackRevisions>false</trackRevisions>
    </reviewItem>
    <reviewItem>
      <errorID>600b6762-f519-486a-9001-3b02db4dc1de</errorID>
      <errorWord>（</errorWord>
      <group>L1_Format</group>
      <groupName>格式问题</groupName>
      <ability>L2_HalfPunc</ability>
      <abilityName>全半角检查</abilityName>
      <candidateList>
        <item>(</item>
      </candidateList>
      <explain>文本全半角错误。</explain>
      <paraID>76F8A7E5</paraID>
      <start>2</start>
      <end>3</end>
      <status>unmodified</status>
      <modifiedWord/>
      <trackRevisions>false</trackRevisions>
    </reviewItem>
    <reviewItem>
      <errorID>3fc2fb6c-08b1-4470-b92a-53fd53ce1a86</errorID>
      <errorWord>）</errorWord>
      <group>L1_Format</group>
      <groupName>格式问题</groupName>
      <ability>L2_HalfPunc</ability>
      <abilityName>全半角检查</abilityName>
      <candidateList>
        <item>)</item>
      </candidateList>
      <explain>文本全半角错误。</explain>
      <paraID>76F8A7E5</paraID>
      <start>7</start>
      <end>8</end>
      <status>unmodified</status>
      <modifiedWord/>
      <trackRevisions>false</trackRevisions>
    </reviewItem>
    <reviewItem>
      <errorID>4f8c4dbb-42c9-4783-96db-775cf9d0d340</errorID>
      <errorWord>（</errorWord>
      <group>L1_Format</group>
      <groupName>格式问题</groupName>
      <ability>L2_HalfPunc</ability>
      <abilityName>全半角检查</abilityName>
      <candidateList>
        <item>(</item>
      </candidateList>
      <explain>文本全半角错误。</explain>
      <paraID>4F1E4473</paraID>
      <start>1</start>
      <end>2</end>
      <status>unmodified</status>
      <modifiedWord/>
      <trackRevisions>false</trackRevisions>
    </reviewItem>
    <reviewItem>
      <errorID>b6f2c22b-9bfc-49c7-b399-c95f17e4ecc8</errorID>
      <errorWord>）</errorWord>
      <group>L1_Format</group>
      <groupName>格式问题</groupName>
      <ability>L2_HalfPunc</ability>
      <abilityName>全半角检查</abilityName>
      <candidateList>
        <item>)</item>
      </candidateList>
      <explain>文本全半角错误。</explain>
      <paraID>4F1E4473</paraID>
      <start>6</start>
      <end>7</end>
      <status>unmodified</status>
      <modifiedWord/>
      <trackRevisions>false</trackRevisions>
    </reviewItem>
    <reviewItem>
      <errorID>153ff1b6-2460-459b-878d-4f294cd54695</errorID>
      <errorWord>（</errorWord>
      <group>L1_Format</group>
      <groupName>格式问题</groupName>
      <ability>L2_HalfPunc</ability>
      <abilityName>全半角检查</abilityName>
      <candidateList>
        <item>(</item>
      </candidateList>
      <explain>文本全半角错误。</explain>
      <paraID>47B542A5</paraID>
      <start>1</start>
      <end>2</end>
      <status>unmodified</status>
      <modifiedWord/>
      <trackRevisions>false</trackRevisions>
    </reviewItem>
    <reviewItem>
      <errorID>95c205c0-f042-4c50-aa80-818a569922d1</errorID>
      <errorWord>）</errorWord>
      <group>L1_Format</group>
      <groupName>格式问题</groupName>
      <ability>L2_HalfPunc</ability>
      <abilityName>全半角检查</abilityName>
      <candidateList>
        <item>)</item>
      </candidateList>
      <explain>文本全半角错误。</explain>
      <paraID>47B542A5</paraID>
      <start>3</start>
      <end>4</end>
      <status>unmodified</status>
      <modifiedWord/>
      <trackRevisions>false</trackRevisions>
    </reviewItem>
    <reviewItem>
      <errorID>97e43227-f6a0-4150-b3f1-2f29c6644005</errorID>
      <errorWord>（</errorWord>
      <group>L1_Format</group>
      <groupName>格式问题</groupName>
      <ability>L2_HalfPunc</ability>
      <abilityName>全半角检查</abilityName>
      <candidateList>
        <item>(</item>
      </candidateList>
      <explain>文本全半角错误。</explain>
      <paraID>1D4A7FCD</paraID>
      <start>1</start>
      <end>2</end>
      <status>unmodified</status>
      <modifiedWord/>
      <trackRevisions>false</trackRevisions>
    </reviewItem>
    <reviewItem>
      <errorID>484f48f4-3c5d-40dc-ae9c-214c3f8621d3</errorID>
      <errorWord>）</errorWord>
      <group>L1_Format</group>
      <groupName>格式问题</groupName>
      <ability>L2_HalfPunc</ability>
      <abilityName>全半角检查</abilityName>
      <candidateList>
        <item>)</item>
      </candidateList>
      <explain>文本全半角错误。</explain>
      <paraID>1D4A7FCD</paraID>
      <start>3</start>
      <end>4</end>
      <status>unmodified</status>
      <modifiedWord/>
      <trackRevisions>false</trackRevisions>
    </reviewItem>
    <reviewItem>
      <errorID>21f179b7-1934-4ef3-b00f-5d7503d95fd3</errorID>
      <errorWord>（</errorWord>
      <group>L1_Format</group>
      <groupName>格式问题</groupName>
      <ability>L2_HalfPunc</ability>
      <abilityName>全半角检查</abilityName>
      <candidateList>
        <item>(</item>
      </candidateList>
      <explain>文本全半角错误。</explain>
      <paraID>14C8B4E7</paraID>
      <start>1</start>
      <end>2</end>
      <status>unmodified</status>
      <modifiedWord/>
      <trackRevisions>false</trackRevisions>
    </reviewItem>
    <reviewItem>
      <errorID>94c2a3f7-993c-4aff-ba1f-5836b51d51f1</errorID>
      <errorWord>）</errorWord>
      <group>L1_Format</group>
      <groupName>格式问题</groupName>
      <ability>L2_HalfPunc</ability>
      <abilityName>全半角检查</abilityName>
      <candidateList>
        <item>)</item>
      </candidateList>
      <explain>文本全半角错误。</explain>
      <paraID>14C8B4E7</paraID>
      <start>5</start>
      <end>6</end>
      <status>unmodified</status>
      <modifiedWord/>
      <trackRevisions>false</trackRevisions>
    </reviewItem>
    <reviewItem>
      <errorID>d632e67e-3c54-460a-bbed-6787452b5a04</errorID>
      <errorWord>（</errorWord>
      <group>L1_Format</group>
      <groupName>格式问题</groupName>
      <ability>L2_HalfPunc</ability>
      <abilityName>全半角检查</abilityName>
      <candidateList>
        <item>(</item>
      </candidateList>
      <explain>文本全半角错误。</explain>
      <paraID>11F80F18</paraID>
      <start>1</start>
      <end>2</end>
      <status>unmodified</status>
      <modifiedWord/>
      <trackRevisions>false</trackRevisions>
    </reviewItem>
    <reviewItem>
      <errorID>e8ec311f-34e1-4605-acc7-cd2c9536444b</errorID>
      <errorWord>）</errorWord>
      <group>L1_Format</group>
      <groupName>格式问题</groupName>
      <ability>L2_HalfPunc</ability>
      <abilityName>全半角检查</abilityName>
      <candidateList>
        <item>)</item>
      </candidateList>
      <explain>文本全半角错误。</explain>
      <paraID>11F80F18</paraID>
      <start>5</start>
      <end>6</end>
      <status>unmodified</status>
      <modifiedWord/>
      <trackRevisions>false</trackRevisions>
    </reviewItem>
    <reviewItem>
      <errorID>46231801-e2f5-4b6d-a238-aa3d5834a023</errorID>
      <errorWord>（</errorWord>
      <group>L1_Format</group>
      <groupName>格式问题</groupName>
      <ability>L2_HalfPunc</ability>
      <abilityName>全半角检查</abilityName>
      <candidateList>
        <item>(</item>
      </candidateList>
      <explain>文本全半角错误。</explain>
      <paraID>15BA6794</paraID>
      <start>2</start>
      <end>3</end>
      <status>unmodified</status>
      <modifiedWord/>
      <trackRevisions>false</trackRevisions>
    </reviewItem>
    <reviewItem>
      <errorID>00310e8b-50ea-4322-a022-54665baae8da</errorID>
      <errorWord>）</errorWord>
      <group>L1_Format</group>
      <groupName>格式问题</groupName>
      <ability>L2_HalfPunc</ability>
      <abilityName>全半角检查</abilityName>
      <candidateList>
        <item>)</item>
      </candidateList>
      <explain>文本全半角错误。</explain>
      <paraID>15BA6794</paraID>
      <start>7</start>
      <end>8</end>
      <status>unmodified</status>
      <modifiedWord/>
      <trackRevisions>false</trackRevisions>
    </reviewItem>
    <reviewItem>
      <errorID>9a966754-7b16-4b84-a4a5-be123e8af597</errorID>
      <errorWord>（</errorWord>
      <group>L1_Format</group>
      <groupName>格式问题</groupName>
      <ability>L2_HalfPunc</ability>
      <abilityName>全半角检查</abilityName>
      <candidateList>
        <item>(</item>
      </candidateList>
      <explain>文本全半角错误。</explain>
      <paraID>7F8835E4</paraID>
      <start>1</start>
      <end>2</end>
      <status>unmodified</status>
      <modifiedWord/>
      <trackRevisions>false</trackRevisions>
    </reviewItem>
    <reviewItem>
      <errorID>3c4449d1-216c-4eb0-8954-e453bc33cf46</errorID>
      <errorWord>）</errorWord>
      <group>L1_Format</group>
      <groupName>格式问题</groupName>
      <ability>L2_HalfPunc</ability>
      <abilityName>全半角检查</abilityName>
      <candidateList>
        <item>)</item>
      </candidateList>
      <explain>文本全半角错误。</explain>
      <paraID>7F8835E4</paraID>
      <start>6</start>
      <end>7</end>
      <status>unmodified</status>
      <modifiedWord/>
      <trackRevisions>false</trackRevisions>
    </reviewItem>
    <reviewItem>
      <errorID>ae23298a-cdb5-4dcf-878f-6084dd22b823</errorID>
      <errorWord>（</errorWord>
      <group>L1_Format</group>
      <groupName>格式问题</groupName>
      <ability>L2_HalfPunc</ability>
      <abilityName>全半角检查</abilityName>
      <candidateList>
        <item>(</item>
      </candidateList>
      <explain>文本全半角错误。</explain>
      <paraID>161D7E0F</paraID>
      <start>1</start>
      <end>2</end>
      <status>unmodified</status>
      <modifiedWord/>
      <trackRevisions>false</trackRevisions>
    </reviewItem>
    <reviewItem>
      <errorID>3ff7e8c9-e7b5-4632-adbf-b2f0838b9872</errorID>
      <errorWord>）</errorWord>
      <group>L1_Format</group>
      <groupName>格式问题</groupName>
      <ability>L2_HalfPunc</ability>
      <abilityName>全半角检查</abilityName>
      <candidateList>
        <item>)</item>
      </candidateList>
      <explain>文本全半角错误。</explain>
      <paraID>161D7E0F</paraID>
      <start>3</start>
      <end>4</end>
      <status>unmodified</status>
      <modifiedWord/>
      <trackRevisions>false</trackRevisions>
    </reviewItem>
    <reviewItem>
      <errorID>3fc8197f-3c92-4c49-9461-7fd46ea8a07b</errorID>
      <errorWord>（</errorWord>
      <group>L1_Format</group>
      <groupName>格式问题</groupName>
      <ability>L2_HalfPunc</ability>
      <abilityName>全半角检查</abilityName>
      <candidateList>
        <item>(</item>
      </candidateList>
      <explain>文本全半角错误。</explain>
      <paraID>70C6261A</paraID>
      <start>1</start>
      <end>2</end>
      <status>unmodified</status>
      <modifiedWord/>
      <trackRevisions>false</trackRevisions>
    </reviewItem>
    <reviewItem>
      <errorID>e3c5ac9d-c275-45e4-9188-d9e80c528813</errorID>
      <errorWord>）</errorWord>
      <group>L1_Format</group>
      <groupName>格式问题</groupName>
      <ability>L2_HalfPunc</ability>
      <abilityName>全半角检查</abilityName>
      <candidateList>
        <item>)</item>
      </candidateList>
      <explain>文本全半角错误。</explain>
      <paraID>70C6261A</paraID>
      <start>3</start>
      <end>4</end>
      <status>unmodified</status>
      <modifiedWord/>
      <trackRevisions>false</trackRevisions>
    </reviewItem>
    <reviewItem>
      <errorID>4d04695f-4ba7-4c2e-bb0a-d8142a2f1893</errorID>
      <errorWord>（</errorWord>
      <group>L1_Format</group>
      <groupName>格式问题</groupName>
      <ability>L2_HalfPunc</ability>
      <abilityName>全半角检查</abilityName>
      <candidateList>
        <item>(</item>
      </candidateList>
      <explain>文本全半角错误。</explain>
      <paraID>72C0D48E</paraID>
      <start>1</start>
      <end>2</end>
      <status>unmodified</status>
      <modifiedWord/>
      <trackRevisions>false</trackRevisions>
    </reviewItem>
    <reviewItem>
      <errorID>67b2b62b-1321-41a2-ae7e-6bc11fd43179</errorID>
      <errorWord>）</errorWord>
      <group>L1_Format</group>
      <groupName>格式问题</groupName>
      <ability>L2_HalfPunc</ability>
      <abilityName>全半角检查</abilityName>
      <candidateList>
        <item>)</item>
      </candidateList>
      <explain>文本全半角错误。</explain>
      <paraID>72C0D48E</paraID>
      <start>5</start>
      <end>6</end>
      <status>unmodified</status>
      <modifiedWord/>
      <trackRevisions>false</trackRevisions>
    </reviewItem>
    <reviewItem>
      <errorID>981c6eee-9fed-4dcb-94d8-02dc6d4d5369</errorID>
      <errorWord>（</errorWord>
      <group>L1_Format</group>
      <groupName>格式问题</groupName>
      <ability>L2_HalfPunc</ability>
      <abilityName>全半角检查</abilityName>
      <candidateList>
        <item>(</item>
      </candidateList>
      <explain>文本全半角错误。</explain>
      <paraID>3F1A968D</paraID>
      <start>1</start>
      <end>2</end>
      <status>unmodified</status>
      <modifiedWord/>
      <trackRevisions>false</trackRevisions>
    </reviewItem>
    <reviewItem>
      <errorID>5b9bfe22-bc0c-44d5-9e54-352ffd5c0d41</errorID>
      <errorWord>）</errorWord>
      <group>L1_Format</group>
      <groupName>格式问题</groupName>
      <ability>L2_HalfPunc</ability>
      <abilityName>全半角检查</abilityName>
      <candidateList>
        <item>)</item>
      </candidateList>
      <explain>文本全半角错误。</explain>
      <paraID>3F1A968D</paraID>
      <start>5</start>
      <end>6</end>
      <status>unmodified</status>
      <modifiedWord/>
      <trackRevisions>false</trackRevisions>
    </reviewItem>
    <reviewItem>
      <errorID>ae5eed44-6274-4610-8433-fb6a44059daa</errorID>
      <errorWord>（</errorWord>
      <group>L1_Format</group>
      <groupName>格式问题</groupName>
      <ability>L2_HalfPunc</ability>
      <abilityName>全半角检查</abilityName>
      <candidateList>
        <item>(</item>
      </candidateList>
      <explain>文本全半角错误。</explain>
      <paraID>5D9EB8D0</paraID>
      <start>2</start>
      <end>3</end>
      <status>unmodified</status>
      <modifiedWord/>
      <trackRevisions>false</trackRevisions>
    </reviewItem>
    <reviewItem>
      <errorID>048b0a78-da46-4f8b-9782-fe7eb6b67511</errorID>
      <errorWord>）</errorWord>
      <group>L1_Format</group>
      <groupName>格式问题</groupName>
      <ability>L2_HalfPunc</ability>
      <abilityName>全半角检查</abilityName>
      <candidateList>
        <item>)</item>
      </candidateList>
      <explain>文本全半角错误。</explain>
      <paraID>5D9EB8D0</paraID>
      <start>7</start>
      <end>8</end>
      <status>unmodified</status>
      <modifiedWord/>
      <trackRevisions>false</trackRevisions>
    </reviewItem>
    <reviewItem>
      <errorID>45da2fa8-c276-4da6-92e6-c793d08a7580</errorID>
      <errorWord>（</errorWord>
      <group>L1_Format</group>
      <groupName>格式问题</groupName>
      <ability>L2_HalfPunc</ability>
      <abilityName>全半角检查</abilityName>
      <candidateList>
        <item>(</item>
      </candidateList>
      <explain>文本全半角错误。</explain>
      <paraID>18EE7D56</paraID>
      <start>1</start>
      <end>2</end>
      <status>unmodified</status>
      <modifiedWord/>
      <trackRevisions>false</trackRevisions>
    </reviewItem>
    <reviewItem>
      <errorID>8cb3b3e3-a0c5-45da-baa8-f204c3513ef0</errorID>
      <errorWord>）</errorWord>
      <group>L1_Format</group>
      <groupName>格式问题</groupName>
      <ability>L2_HalfPunc</ability>
      <abilityName>全半角检查</abilityName>
      <candidateList>
        <item>)</item>
      </candidateList>
      <explain>文本全半角错误。</explain>
      <paraID>18EE7D56</paraID>
      <start>6</start>
      <end>7</end>
      <status>unmodified</status>
      <modifiedWord/>
      <trackRevisions>false</trackRevisions>
    </reviewItem>
    <reviewItem>
      <errorID>6b3971f3-d8f4-48d4-b63a-8c913ca1f59d</errorID>
      <errorWord>（</errorWord>
      <group>L1_Format</group>
      <groupName>格式问题</groupName>
      <ability>L2_HalfPunc</ability>
      <abilityName>全半角检查</abilityName>
      <candidateList>
        <item>(</item>
      </candidateList>
      <explain>文本全半角错误。</explain>
      <paraID>1EF303F5</paraID>
      <start>1</start>
      <end>2</end>
      <status>unmodified</status>
      <modifiedWord/>
      <trackRevisions>false</trackRevisions>
    </reviewItem>
    <reviewItem>
      <errorID>4a64e807-847b-46e0-89a0-b9a1eae629bb</errorID>
      <errorWord>）</errorWord>
      <group>L1_Format</group>
      <groupName>格式问题</groupName>
      <ability>L2_HalfPunc</ability>
      <abilityName>全半角检查</abilityName>
      <candidateList>
        <item>)</item>
      </candidateList>
      <explain>文本全半角错误。</explain>
      <paraID>1EF303F5</paraID>
      <start>3</start>
      <end>4</end>
      <status>unmodified</status>
      <modifiedWord/>
      <trackRevisions>false</trackRevisions>
    </reviewItem>
    <reviewItem>
      <errorID>2bf97f7f-4fa1-486c-9386-90729bef4b44</errorID>
      <errorWord>（</errorWord>
      <group>L1_Format</group>
      <groupName>格式问题</groupName>
      <ability>L2_HalfPunc</ability>
      <abilityName>全半角检查</abilityName>
      <candidateList>
        <item>(</item>
      </candidateList>
      <explain>文本全半角错误。</explain>
      <paraID>796A251C</paraID>
      <start>1</start>
      <end>2</end>
      <status>unmodified</status>
      <modifiedWord/>
      <trackRevisions>false</trackRevisions>
    </reviewItem>
    <reviewItem>
      <errorID>7b107b21-a9cb-4635-b134-67e0cd73318e</errorID>
      <errorWord>）</errorWord>
      <group>L1_Format</group>
      <groupName>格式问题</groupName>
      <ability>L2_HalfPunc</ability>
      <abilityName>全半角检查</abilityName>
      <candidateList>
        <item>)</item>
      </candidateList>
      <explain>文本全半角错误。</explain>
      <paraID>796A251C</paraID>
      <start>3</start>
      <end>4</end>
      <status>unmodified</status>
      <modifiedWord/>
      <trackRevisions>false</trackRevisions>
    </reviewItem>
    <reviewItem>
      <errorID>73c39c06-6f9c-43e5-b4b6-603c0d19c41f</errorID>
      <errorWord>（</errorWord>
      <group>L1_Format</group>
      <groupName>格式问题</groupName>
      <ability>L2_HalfPunc</ability>
      <abilityName>全半角检查</abilityName>
      <candidateList>
        <item>(</item>
      </candidateList>
      <explain>文本全半角错误。</explain>
      <paraID>43368D0A</paraID>
      <start>1</start>
      <end>2</end>
      <status>unmodified</status>
      <modifiedWord/>
      <trackRevisions>false</trackRevisions>
    </reviewItem>
    <reviewItem>
      <errorID>4ca0f962-5115-471a-bb00-b28eaa054559</errorID>
      <errorWord>）</errorWord>
      <group>L1_Format</group>
      <groupName>格式问题</groupName>
      <ability>L2_HalfPunc</ability>
      <abilityName>全半角检查</abilityName>
      <candidateList>
        <item>)</item>
      </candidateList>
      <explain>文本全半角错误。</explain>
      <paraID>43368D0A</paraID>
      <start>5</start>
      <end>6</end>
      <status>unmodified</status>
      <modifiedWord/>
      <trackRevisions>false</trackRevisions>
    </reviewItem>
    <reviewItem>
      <errorID>82687f4e-8f6c-4b1c-9155-fa090b4fc823</errorID>
      <errorWord>（</errorWord>
      <group>L1_Format</group>
      <groupName>格式问题</groupName>
      <ability>L2_HalfPunc</ability>
      <abilityName>全半角检查</abilityName>
      <candidateList>
        <item>(</item>
      </candidateList>
      <explain>文本全半角错误。</explain>
      <paraID>1F2BD9EB</paraID>
      <start>1</start>
      <end>2</end>
      <status>unmodified</status>
      <modifiedWord/>
      <trackRevisions>false</trackRevisions>
    </reviewItem>
    <reviewItem>
      <errorID>3885ae5d-1b7d-47c3-b554-ff7b4848b569</errorID>
      <errorWord>）</errorWord>
      <group>L1_Format</group>
      <groupName>格式问题</groupName>
      <ability>L2_HalfPunc</ability>
      <abilityName>全半角检查</abilityName>
      <candidateList>
        <item>)</item>
      </candidateList>
      <explain>文本全半角错误。</explain>
      <paraID>1F2BD9EB</paraID>
      <start>5</start>
      <end>6</end>
      <status>unmodified</status>
      <modifiedWord/>
      <trackRevisions>false</trackRevisions>
    </reviewItem>
    <reviewItem>
      <errorID>f1a23dd7-95bf-46bb-b8b2-7662fc7d6995</errorID>
      <errorWord>（</errorWord>
      <group>L1_Format</group>
      <groupName>格式问题</groupName>
      <ability>L2_HalfPunc</ability>
      <abilityName>全半角检查</abilityName>
      <candidateList>
        <item>(</item>
      </candidateList>
      <explain>文本全半角错误。</explain>
      <paraID>61B2BF92</paraID>
      <start>2</start>
      <end>3</end>
      <status>unmodified</status>
      <modifiedWord/>
      <trackRevisions>false</trackRevisions>
    </reviewItem>
    <reviewItem>
      <errorID>d2795af5-d61d-460b-bd0c-f4bcd69d9860</errorID>
      <errorWord>）</errorWord>
      <group>L1_Format</group>
      <groupName>格式问题</groupName>
      <ability>L2_HalfPunc</ability>
      <abilityName>全半角检查</abilityName>
      <candidateList>
        <item>)</item>
      </candidateList>
      <explain>文本全半角错误。</explain>
      <paraID>61B2BF92</paraID>
      <start>7</start>
      <end>8</end>
      <status>unmodified</status>
      <modifiedWord/>
      <trackRevisions>false</trackRevisions>
    </reviewItem>
    <reviewItem>
      <errorID>91843fa0-4ec7-4860-8d8e-c5f42184cab9</errorID>
      <errorWord>（</errorWord>
      <group>L1_Format</group>
      <groupName>格式问题</groupName>
      <ability>L2_HalfPunc</ability>
      <abilityName>全半角检查</abilityName>
      <candidateList>
        <item>(</item>
      </candidateList>
      <explain>文本全半角错误。</explain>
      <paraID>25101F8F</paraID>
      <start>1</start>
      <end>2</end>
      <status>unmodified</status>
      <modifiedWord/>
      <trackRevisions>false</trackRevisions>
    </reviewItem>
    <reviewItem>
      <errorID>cdd514e4-b639-46a6-9bc3-1633fa441f6a</errorID>
      <errorWord>）</errorWord>
      <group>L1_Format</group>
      <groupName>格式问题</groupName>
      <ability>L2_HalfPunc</ability>
      <abilityName>全半角检查</abilityName>
      <candidateList>
        <item>)</item>
      </candidateList>
      <explain>文本全半角错误。</explain>
      <paraID>25101F8F</paraID>
      <start>6</start>
      <end>7</end>
      <status>unmodified</status>
      <modifiedWord/>
      <trackRevisions>false</trackRevisions>
    </reviewItem>
    <reviewItem>
      <errorID>96815cc0-c25d-4d6f-bd35-388d59474d58</errorID>
      <errorWord>（</errorWord>
      <group>L1_Format</group>
      <groupName>格式问题</groupName>
      <ability>L2_HalfPunc</ability>
      <abilityName>全半角检查</abilityName>
      <candidateList>
        <item>(</item>
      </candidateList>
      <explain>文本全半角错误。</explain>
      <paraID>2DF70E73</paraID>
      <start>1</start>
      <end>2</end>
      <status>unmodified</status>
      <modifiedWord/>
      <trackRevisions>false</trackRevisions>
    </reviewItem>
    <reviewItem>
      <errorID>5cfabad6-15ce-4e7b-b85a-56f1a19a31b2</errorID>
      <errorWord>）</errorWord>
      <group>L1_Format</group>
      <groupName>格式问题</groupName>
      <ability>L2_HalfPunc</ability>
      <abilityName>全半角检查</abilityName>
      <candidateList>
        <item>)</item>
      </candidateList>
      <explain>文本全半角错误。</explain>
      <paraID>2DF70E73</paraID>
      <start>3</start>
      <end>4</end>
      <status>unmodified</status>
      <modifiedWord/>
      <trackRevisions>false</trackRevisions>
    </reviewItem>
    <reviewItem>
      <errorID>3bcbd5d9-2aa2-4ff0-98ad-06a0b44cccc0</errorID>
      <errorWord>（</errorWord>
      <group>L1_Format</group>
      <groupName>格式问题</groupName>
      <ability>L2_HalfPunc</ability>
      <abilityName>全半角检查</abilityName>
      <candidateList>
        <item>(</item>
      </candidateList>
      <explain>文本全半角错误。</explain>
      <paraID>61EB1874</paraID>
      <start>1</start>
      <end>2</end>
      <status>unmodified</status>
      <modifiedWord/>
      <trackRevisions>false</trackRevisions>
    </reviewItem>
    <reviewItem>
      <errorID>fa30dfd3-2421-43b1-9d68-b4cbb85129cb</errorID>
      <errorWord>）</errorWord>
      <group>L1_Format</group>
      <groupName>格式问题</groupName>
      <ability>L2_HalfPunc</ability>
      <abilityName>全半角检查</abilityName>
      <candidateList>
        <item>)</item>
      </candidateList>
      <explain>文本全半角错误。</explain>
      <paraID>61EB1874</paraID>
      <start>3</start>
      <end>4</end>
      <status>unmodified</status>
      <modifiedWord/>
      <trackRevisions>false</trackRevisions>
    </reviewItem>
    <reviewItem>
      <errorID>9255e275-7a93-4533-8846-c28450ffe414</errorID>
      <errorWord>（</errorWord>
      <group>L1_Format</group>
      <groupName>格式问题</groupName>
      <ability>L2_HalfPunc</ability>
      <abilityName>全半角检查</abilityName>
      <candidateList>
        <item>(</item>
      </candidateList>
      <explain>文本全半角错误。</explain>
      <paraID> B74E049</paraID>
      <start>1</start>
      <end>2</end>
      <status>unmodified</status>
      <modifiedWord/>
      <trackRevisions>false</trackRevisions>
    </reviewItem>
    <reviewItem>
      <errorID>443dbcc5-2e42-4f5f-aa75-fa8c02be5be6</errorID>
      <errorWord>）</errorWord>
      <group>L1_Format</group>
      <groupName>格式问题</groupName>
      <ability>L2_HalfPunc</ability>
      <abilityName>全半角检查</abilityName>
      <candidateList>
        <item>)</item>
      </candidateList>
      <explain>文本全半角错误。</explain>
      <paraID> B74E049</paraID>
      <start>5</start>
      <end>6</end>
      <status>unmodified</status>
      <modifiedWord/>
      <trackRevisions>false</trackRevisions>
    </reviewItem>
    <reviewItem>
      <errorID>d4b63057-f22f-4c6f-b37b-d025fedecc71</errorID>
      <errorWord>（</errorWord>
      <group>L1_Format</group>
      <groupName>格式问题</groupName>
      <ability>L2_HalfPunc</ability>
      <abilityName>全半角检查</abilityName>
      <candidateList>
        <item>(</item>
      </candidateList>
      <explain>文本全半角错误。</explain>
      <paraID>65EFDB50</paraID>
      <start>1</start>
      <end>2</end>
      <status>unmodified</status>
      <modifiedWord/>
      <trackRevisions>false</trackRevisions>
    </reviewItem>
    <reviewItem>
      <errorID>e6b6bfd5-4f41-4021-bfb5-e7cb51a5c603</errorID>
      <errorWord>）</errorWord>
      <group>L1_Format</group>
      <groupName>格式问题</groupName>
      <ability>L2_HalfPunc</ability>
      <abilityName>全半角检查</abilityName>
      <candidateList>
        <item>)</item>
      </candidateList>
      <explain>文本全半角错误。</explain>
      <paraID>65EFDB50</paraID>
      <start>5</start>
      <end>6</end>
      <status>unmodified</status>
      <modifiedWord/>
      <trackRevisions>false</trackRevisions>
    </reviewItem>
    <reviewItem>
      <errorID>f129dbaf-a6b0-449d-89cf-3ca8653a8fb3</errorID>
      <errorWord>（</errorWord>
      <group>L1_Format</group>
      <groupName>格式问题</groupName>
      <ability>L2_HalfPunc</ability>
      <abilityName>全半角检查</abilityName>
      <candidateList>
        <item>(</item>
      </candidateList>
      <explain>文本全半角错误。</explain>
      <paraID>24354804</paraID>
      <start>2</start>
      <end>3</end>
      <status>unmodified</status>
      <modifiedWord/>
      <trackRevisions>false</trackRevisions>
    </reviewItem>
    <reviewItem>
      <errorID>8c8488cc-1dcc-4678-a624-8a54834cd92d</errorID>
      <errorWord>）</errorWord>
      <group>L1_Format</group>
      <groupName>格式问题</groupName>
      <ability>L2_HalfPunc</ability>
      <abilityName>全半角检查</abilityName>
      <candidateList>
        <item>)</item>
      </candidateList>
      <explain>文本全半角错误。</explain>
      <paraID>24354804</paraID>
      <start>7</start>
      <end>8</end>
      <status>unmodified</status>
      <modifiedWord/>
      <trackRevisions>false</trackRevisions>
    </reviewItem>
    <reviewItem>
      <errorID>dfb95aa1-310b-4a2b-b560-b9a32d11fc55</errorID>
      <errorWord>（</errorWord>
      <group>L1_Format</group>
      <groupName>格式问题</groupName>
      <ability>L2_HalfPunc</ability>
      <abilityName>全半角检查</abilityName>
      <candidateList>
        <item>(</item>
      </candidateList>
      <explain>文本全半角错误。</explain>
      <paraID>32A6F3C4</paraID>
      <start>1</start>
      <end>2</end>
      <status>unmodified</status>
      <modifiedWord/>
      <trackRevisions>false</trackRevisions>
    </reviewItem>
    <reviewItem>
      <errorID>31068420-91d6-4978-919d-b6b9d1cf80b8</errorID>
      <errorWord>）</errorWord>
      <group>L1_Format</group>
      <groupName>格式问题</groupName>
      <ability>L2_HalfPunc</ability>
      <abilityName>全半角检查</abilityName>
      <candidateList>
        <item>)</item>
      </candidateList>
      <explain>文本全半角错误。</explain>
      <paraID>32A6F3C4</paraID>
      <start>6</start>
      <end>7</end>
      <status>unmodified</status>
      <modifiedWord/>
      <trackRevisions>false</trackRevisions>
    </reviewItem>
    <reviewItem>
      <errorID>9e373959-9558-4738-a85b-8ca801754a2a</errorID>
      <errorWord>（</errorWord>
      <group>L1_Format</group>
      <groupName>格式问题</groupName>
      <ability>L2_HalfPunc</ability>
      <abilityName>全半角检查</abilityName>
      <candidateList>
        <item>(</item>
      </candidateList>
      <explain>文本全半角错误。</explain>
      <paraID> 88F3345</paraID>
      <start>1</start>
      <end>2</end>
      <status>unmodified</status>
      <modifiedWord/>
      <trackRevisions>false</trackRevisions>
    </reviewItem>
    <reviewItem>
      <errorID>dde1de5a-c278-44f6-a051-f58bf8b3b768</errorID>
      <errorWord>）</errorWord>
      <group>L1_Format</group>
      <groupName>格式问题</groupName>
      <ability>L2_HalfPunc</ability>
      <abilityName>全半角检查</abilityName>
      <candidateList>
        <item>)</item>
      </candidateList>
      <explain>文本全半角错误。</explain>
      <paraID> 88F3345</paraID>
      <start>3</start>
      <end>4</end>
      <status>unmodified</status>
      <modifiedWord/>
      <trackRevisions>false</trackRevisions>
    </reviewItem>
    <reviewItem>
      <errorID>7c8c9c72-adfa-43f6-9a78-d244971e35c1</errorID>
      <errorWord>（</errorWord>
      <group>L1_Format</group>
      <groupName>格式问题</groupName>
      <ability>L2_HalfPunc</ability>
      <abilityName>全半角检查</abilityName>
      <candidateList>
        <item>(</item>
      </candidateList>
      <explain>文本全半角错误。</explain>
      <paraID>7E7F3696</paraID>
      <start>1</start>
      <end>2</end>
      <status>unmodified</status>
      <modifiedWord/>
      <trackRevisions>false</trackRevisions>
    </reviewItem>
    <reviewItem>
      <errorID>efd0f3b0-18ec-44bd-87ec-45daf89a2f5c</errorID>
      <errorWord>）</errorWord>
      <group>L1_Format</group>
      <groupName>格式问题</groupName>
      <ability>L2_HalfPunc</ability>
      <abilityName>全半角检查</abilityName>
      <candidateList>
        <item>)</item>
      </candidateList>
      <explain>文本全半角错误。</explain>
      <paraID>7E7F3696</paraID>
      <start>3</start>
      <end>4</end>
      <status>unmodified</status>
      <modifiedWord/>
      <trackRevisions>false</trackRevisions>
    </reviewItem>
    <reviewItem>
      <errorID>cc0763f4-81fa-46fa-8523-37532bd08106</errorID>
      <errorWord>（</errorWord>
      <group>L1_Format</group>
      <groupName>格式问题</groupName>
      <ability>L2_HalfPunc</ability>
      <abilityName>全半角检查</abilityName>
      <candidateList>
        <item>(</item>
      </candidateList>
      <explain>文本全半角错误。</explain>
      <paraID>75463F1D</paraID>
      <start>1</start>
      <end>2</end>
      <status>unmodified</status>
      <modifiedWord/>
      <trackRevisions>false</trackRevisions>
    </reviewItem>
    <reviewItem>
      <errorID>8c51985a-84ba-4080-9899-9ffdb16ce6f7</errorID>
      <errorWord>）</errorWord>
      <group>L1_Format</group>
      <groupName>格式问题</groupName>
      <ability>L2_HalfPunc</ability>
      <abilityName>全半角检查</abilityName>
      <candidateList>
        <item>)</item>
      </candidateList>
      <explain>文本全半角错误。</explain>
      <paraID>75463F1D</paraID>
      <start>5</start>
      <end>6</end>
      <status>unmodified</status>
      <modifiedWord/>
      <trackRevisions>false</trackRevisions>
    </reviewItem>
    <reviewItem>
      <errorID>0e715aab-1146-470c-bae4-141a867b08c4</errorID>
      <errorWord>（</errorWord>
      <group>L1_Format</group>
      <groupName>格式问题</groupName>
      <ability>L2_HalfPunc</ability>
      <abilityName>全半角检查</abilityName>
      <candidateList>
        <item>(</item>
      </candidateList>
      <explain>文本全半角错误。</explain>
      <paraID>294B1BA7</paraID>
      <start>1</start>
      <end>2</end>
      <status>unmodified</status>
      <modifiedWord/>
      <trackRevisions>false</trackRevisions>
    </reviewItem>
    <reviewItem>
      <errorID>90ae7702-891f-4122-8d15-9af097ce9256</errorID>
      <errorWord>）</errorWord>
      <group>L1_Format</group>
      <groupName>格式问题</groupName>
      <ability>L2_HalfPunc</ability>
      <abilityName>全半角检查</abilityName>
      <candidateList>
        <item>)</item>
      </candidateList>
      <explain>文本全半角错误。</explain>
      <paraID>294B1BA7</paraID>
      <start>5</start>
      <end>6</end>
      <status>unmodified</status>
      <modifiedWord/>
      <trackRevisions>false</trackRevisions>
    </reviewItem>
    <reviewItem>
      <errorID>174ba520-6b3c-4e62-8585-08243598765c</errorID>
      <errorWord>（</errorWord>
      <group>L1_Format</group>
      <groupName>格式问题</groupName>
      <ability>L2_HalfPunc</ability>
      <abilityName>全半角检查</abilityName>
      <candidateList>
        <item>(</item>
      </candidateList>
      <explain>文本全半角错误。</explain>
      <paraID>2043E9FC</paraID>
      <start>2</start>
      <end>3</end>
      <status>unmodified</status>
      <modifiedWord/>
      <trackRevisions>false</trackRevisions>
    </reviewItem>
    <reviewItem>
      <errorID>418d8603-22db-48b3-8807-6409ab0a4e79</errorID>
      <errorWord>）</errorWord>
      <group>L1_Format</group>
      <groupName>格式问题</groupName>
      <ability>L2_HalfPunc</ability>
      <abilityName>全半角检查</abilityName>
      <candidateList>
        <item>)</item>
      </candidateList>
      <explain>文本全半角错误。</explain>
      <paraID>2043E9FC</paraID>
      <start>7</start>
      <end>8</end>
      <status>unmodified</status>
      <modifiedWord/>
      <trackRevisions>false</trackRevisions>
    </reviewItem>
    <reviewItem>
      <errorID>4d11795f-5497-4d8b-b34f-8c079616e404</errorID>
      <errorWord>（</errorWord>
      <group>L1_Format</group>
      <groupName>格式问题</groupName>
      <ability>L2_HalfPunc</ability>
      <abilityName>全半角检查</abilityName>
      <candidateList>
        <item>(</item>
      </candidateList>
      <explain>文本全半角错误。</explain>
      <paraID>2C42A155</paraID>
      <start>1</start>
      <end>2</end>
      <status>unmodified</status>
      <modifiedWord/>
      <trackRevisions>false</trackRevisions>
    </reviewItem>
    <reviewItem>
      <errorID>f46b3067-4c49-4043-9de3-3b08706ff7f7</errorID>
      <errorWord>）</errorWord>
      <group>L1_Format</group>
      <groupName>格式问题</groupName>
      <ability>L2_HalfPunc</ability>
      <abilityName>全半角检查</abilityName>
      <candidateList>
        <item>)</item>
      </candidateList>
      <explain>文本全半角错误。</explain>
      <paraID>2C42A155</paraID>
      <start>6</start>
      <end>7</end>
      <status>unmodified</status>
      <modifiedWord/>
      <trackRevisions>false</trackRevisions>
    </reviewItem>
    <reviewItem>
      <errorID>b367d752-c50e-4a8e-9aa1-d1bba2f00dbd</errorID>
      <errorWord>（</errorWord>
      <group>L1_Format</group>
      <groupName>格式问题</groupName>
      <ability>L2_HalfPunc</ability>
      <abilityName>全半角检查</abilityName>
      <candidateList>
        <item>(</item>
      </candidateList>
      <explain>文本全半角错误。</explain>
      <paraID>475F3B79</paraID>
      <start>1</start>
      <end>2</end>
      <status>unmodified</status>
      <modifiedWord/>
      <trackRevisions>false</trackRevisions>
    </reviewItem>
    <reviewItem>
      <errorID>ab43f7a3-c3bc-4bdf-bffa-3e90d0fb1e41</errorID>
      <errorWord>）</errorWord>
      <group>L1_Format</group>
      <groupName>格式问题</groupName>
      <ability>L2_HalfPunc</ability>
      <abilityName>全半角检查</abilityName>
      <candidateList>
        <item>)</item>
      </candidateList>
      <explain>文本全半角错误。</explain>
      <paraID>475F3B79</paraID>
      <start>3</start>
      <end>4</end>
      <status>unmodified</status>
      <modifiedWord/>
      <trackRevisions>false</trackRevisions>
    </reviewItem>
    <reviewItem>
      <errorID>68bedc66-7e4f-4e81-820f-ae580998dc5d</errorID>
      <errorWord>（</errorWord>
      <group>L1_Format</group>
      <groupName>格式问题</groupName>
      <ability>L2_HalfPunc</ability>
      <abilityName>全半角检查</abilityName>
      <candidateList>
        <item>(</item>
      </candidateList>
      <explain>文本全半角错误。</explain>
      <paraID>396A41DC</paraID>
      <start>1</start>
      <end>2</end>
      <status>unmodified</status>
      <modifiedWord/>
      <trackRevisions>false</trackRevisions>
    </reviewItem>
    <reviewItem>
      <errorID>2befc12f-d8a0-4472-bab1-8d21217a2d21</errorID>
      <errorWord>）</errorWord>
      <group>L1_Format</group>
      <groupName>格式问题</groupName>
      <ability>L2_HalfPunc</ability>
      <abilityName>全半角检查</abilityName>
      <candidateList>
        <item>)</item>
      </candidateList>
      <explain>文本全半角错误。</explain>
      <paraID>396A41DC</paraID>
      <start>3</start>
      <end>4</end>
      <status>unmodified</status>
      <modifiedWord/>
      <trackRevisions>false</trackRevisions>
    </reviewItem>
    <reviewItem>
      <errorID>861c6545-ab2d-490b-bc54-81c484da8ef4</errorID>
      <errorWord>（</errorWord>
      <group>L1_Format</group>
      <groupName>格式问题</groupName>
      <ability>L2_HalfPunc</ability>
      <abilityName>全半角检查</abilityName>
      <candidateList>
        <item>(</item>
      </candidateList>
      <explain>文本全半角错误。</explain>
      <paraID>4FD8C1CB</paraID>
      <start>1</start>
      <end>2</end>
      <status>unmodified</status>
      <modifiedWord/>
      <trackRevisions>false</trackRevisions>
    </reviewItem>
    <reviewItem>
      <errorID>6e7ec1a4-3163-4057-8c2c-58278e0bbc84</errorID>
      <errorWord>）</errorWord>
      <group>L1_Format</group>
      <groupName>格式问题</groupName>
      <ability>L2_HalfPunc</ability>
      <abilityName>全半角检查</abilityName>
      <candidateList>
        <item>)</item>
      </candidateList>
      <explain>文本全半角错误。</explain>
      <paraID>4FD8C1CB</paraID>
      <start>5</start>
      <end>6</end>
      <status>unmodified</status>
      <modifiedWord/>
      <trackRevisions>false</trackRevisions>
    </reviewItem>
    <reviewItem>
      <errorID>5184e1c5-77ad-413d-9be1-5588cb9a32af</errorID>
      <errorWord>（</errorWord>
      <group>L1_Format</group>
      <groupName>格式问题</groupName>
      <ability>L2_HalfPunc</ability>
      <abilityName>全半角检查</abilityName>
      <candidateList>
        <item>(</item>
      </candidateList>
      <explain>文本全半角错误。</explain>
      <paraID>60E3AF0F</paraID>
      <start>1</start>
      <end>2</end>
      <status>unmodified</status>
      <modifiedWord/>
      <trackRevisions>false</trackRevisions>
    </reviewItem>
    <reviewItem>
      <errorID>743476e1-7998-464e-93d4-3bf61ae56663</errorID>
      <errorWord>）</errorWord>
      <group>L1_Format</group>
      <groupName>格式问题</groupName>
      <ability>L2_HalfPunc</ability>
      <abilityName>全半角检查</abilityName>
      <candidateList>
        <item>)</item>
      </candidateList>
      <explain>文本全半角错误。</explain>
      <paraID>60E3AF0F</paraID>
      <start>5</start>
      <end>6</end>
      <status>unmodified</status>
      <modifiedWord/>
      <trackRevisions>false</trackRevisions>
    </reviewItem>
    <reviewItem>
      <errorID>2de31adc-2cd9-4c94-93bf-41fd4908d02b</errorID>
      <errorWord>（</errorWord>
      <group>L1_Format</group>
      <groupName>格式问题</groupName>
      <ability>L2_HalfPunc</ability>
      <abilityName>全半角检查</abilityName>
      <candidateList>
        <item>(</item>
      </candidateList>
      <explain>文本全半角错误。</explain>
      <paraID>4D889682</paraID>
      <start>2</start>
      <end>3</end>
      <status>unmodified</status>
      <modifiedWord/>
      <trackRevisions>false</trackRevisions>
    </reviewItem>
    <reviewItem>
      <errorID>6d53d2a7-d8a6-464f-9257-732ddcbcdff1</errorID>
      <errorWord>）</errorWord>
      <group>L1_Format</group>
      <groupName>格式问题</groupName>
      <ability>L2_HalfPunc</ability>
      <abilityName>全半角检查</abilityName>
      <candidateList>
        <item>)</item>
      </candidateList>
      <explain>文本全半角错误。</explain>
      <paraID>4D889682</paraID>
      <start>7</start>
      <end>8</end>
      <status>unmodified</status>
      <modifiedWord/>
      <trackRevisions>false</trackRevisions>
    </reviewItem>
    <reviewItem>
      <errorID>9e87b008-b4cb-4fdf-aa8b-abef45d2d16a</errorID>
      <errorWord>（</errorWord>
      <group>L1_Format</group>
      <groupName>格式问题</groupName>
      <ability>L2_HalfPunc</ability>
      <abilityName>全半角检查</abilityName>
      <candidateList>
        <item>(</item>
      </candidateList>
      <explain>文本全半角错误。</explain>
      <paraID>38E138C1</paraID>
      <start>1</start>
      <end>2</end>
      <status>unmodified</status>
      <modifiedWord/>
      <trackRevisions>false</trackRevisions>
    </reviewItem>
    <reviewItem>
      <errorID>060b7079-943a-467d-b556-ccc0397177c3</errorID>
      <errorWord>）</errorWord>
      <group>L1_Format</group>
      <groupName>格式问题</groupName>
      <ability>L2_HalfPunc</ability>
      <abilityName>全半角检查</abilityName>
      <candidateList>
        <item>)</item>
      </candidateList>
      <explain>文本全半角错误。</explain>
      <paraID>38E138C1</paraID>
      <start>6</start>
      <end>7</end>
      <status>unmodified</status>
      <modifiedWord/>
      <trackRevisions>false</trackRevisions>
    </reviewItem>
    <reviewItem>
      <errorID>e507bd02-9421-4d94-8d7b-66c3cff7ca57</errorID>
      <errorWord>（</errorWord>
      <group>L1_Format</group>
      <groupName>格式问题</groupName>
      <ability>L2_HalfPunc</ability>
      <abilityName>全半角检查</abilityName>
      <candidateList>
        <item>(</item>
      </candidateList>
      <explain>文本全半角错误。</explain>
      <paraID>190C9916</paraID>
      <start>1</start>
      <end>2</end>
      <status>unmodified</status>
      <modifiedWord/>
      <trackRevisions>false</trackRevisions>
    </reviewItem>
    <reviewItem>
      <errorID>ff3b6bc7-8192-4c38-80d4-76580600f252</errorID>
      <errorWord>）</errorWord>
      <group>L1_Format</group>
      <groupName>格式问题</groupName>
      <ability>L2_HalfPunc</ability>
      <abilityName>全半角检查</abilityName>
      <candidateList>
        <item>)</item>
      </candidateList>
      <explain>文本全半角错误。</explain>
      <paraID>190C9916</paraID>
      <start>3</start>
      <end>4</end>
      <status>unmodified</status>
      <modifiedWord/>
      <trackRevisions>false</trackRevisions>
    </reviewItem>
    <reviewItem>
      <errorID>39102829-7698-4901-88cc-785d6f773ed3</errorID>
      <errorWord>（</errorWord>
      <group>L1_Format</group>
      <groupName>格式问题</groupName>
      <ability>L2_HalfPunc</ability>
      <abilityName>全半角检查</abilityName>
      <candidateList>
        <item>(</item>
      </candidateList>
      <explain>文本全半角错误。</explain>
      <paraID>4D49BC66</paraID>
      <start>1</start>
      <end>2</end>
      <status>unmodified</status>
      <modifiedWord/>
      <trackRevisions>false</trackRevisions>
    </reviewItem>
    <reviewItem>
      <errorID>513574be-0034-4aeb-af24-60d03c34ab7d</errorID>
      <errorWord>）</errorWord>
      <group>L1_Format</group>
      <groupName>格式问题</groupName>
      <ability>L2_HalfPunc</ability>
      <abilityName>全半角检查</abilityName>
      <candidateList>
        <item>)</item>
      </candidateList>
      <explain>文本全半角错误。</explain>
      <paraID>4D49BC66</paraID>
      <start>3</start>
      <end>4</end>
      <status>unmodified</status>
      <modifiedWord/>
      <trackRevisions>false</trackRevisions>
    </reviewItem>
    <reviewItem>
      <errorID>3cf33e64-4a42-4801-bc53-9ac4ffa4cead</errorID>
      <errorWord>（</errorWord>
      <group>L1_Format</group>
      <groupName>格式问题</groupName>
      <ability>L2_HalfPunc</ability>
      <abilityName>全半角检查</abilityName>
      <candidateList>
        <item>(</item>
      </candidateList>
      <explain>文本全半角错误。</explain>
      <paraID>1078A243</paraID>
      <start>1</start>
      <end>2</end>
      <status>unmodified</status>
      <modifiedWord/>
      <trackRevisions>false</trackRevisions>
    </reviewItem>
    <reviewItem>
      <errorID>714cf560-198c-4fc0-9444-588e9cd8f83b</errorID>
      <errorWord>）</errorWord>
      <group>L1_Format</group>
      <groupName>格式问题</groupName>
      <ability>L2_HalfPunc</ability>
      <abilityName>全半角检查</abilityName>
      <candidateList>
        <item>)</item>
      </candidateList>
      <explain>文本全半角错误。</explain>
      <paraID>1078A243</paraID>
      <start>5</start>
      <end>6</end>
      <status>unmodified</status>
      <modifiedWord/>
      <trackRevisions>false</trackRevisions>
    </reviewItem>
    <reviewItem>
      <errorID>24536742-3351-4ebb-a325-b612f1e33472</errorID>
      <errorWord>（</errorWord>
      <group>L1_Format</group>
      <groupName>格式问题</groupName>
      <ability>L2_HalfPunc</ability>
      <abilityName>全半角检查</abilityName>
      <candidateList>
        <item>(</item>
      </candidateList>
      <explain>文本全半角错误。</explain>
      <paraID>2FB07ABD</paraID>
      <start>1</start>
      <end>2</end>
      <status>unmodified</status>
      <modifiedWord/>
      <trackRevisions>false</trackRevisions>
    </reviewItem>
    <reviewItem>
      <errorID>6519c468-75c4-4d8b-8ca3-94b3c0847e7a</errorID>
      <errorWord>）</errorWord>
      <group>L1_Format</group>
      <groupName>格式问题</groupName>
      <ability>L2_HalfPunc</ability>
      <abilityName>全半角检查</abilityName>
      <candidateList>
        <item>)</item>
      </candidateList>
      <explain>文本全半角错误。</explain>
      <paraID>2FB07ABD</paraID>
      <start>5</start>
      <end>6</end>
      <status>unmodified</status>
      <modifiedWord/>
      <trackRevisions>false</trackRevisions>
    </reviewItem>
    <reviewItem>
      <errorID>61e2acd2-de81-4279-a014-c1b2b59a9542</errorID>
      <errorWord>（</errorWord>
      <group>L1_Format</group>
      <groupName>格式问题</groupName>
      <ability>L2_HalfPunc</ability>
      <abilityName>全半角检查</abilityName>
      <candidateList>
        <item>(</item>
      </candidateList>
      <explain>文本全半角错误。</explain>
      <paraID>76A7ED3E</paraID>
      <start>2</start>
      <end>3</end>
      <status>unmodified</status>
      <modifiedWord/>
      <trackRevisions>false</trackRevisions>
    </reviewItem>
    <reviewItem>
      <errorID>1f6b5384-c8e6-44e1-8a17-e9f6af9cc48d</errorID>
      <errorWord>）</errorWord>
      <group>L1_Format</group>
      <groupName>格式问题</groupName>
      <ability>L2_HalfPunc</ability>
      <abilityName>全半角检查</abilityName>
      <candidateList>
        <item>)</item>
      </candidateList>
      <explain>文本全半角错误。</explain>
      <paraID>76A7ED3E</paraID>
      <start>7</start>
      <end>8</end>
      <status>unmodified</status>
      <modifiedWord/>
      <trackRevisions>false</trackRevisions>
    </reviewItem>
    <reviewItem>
      <errorID>b82dfef6-2d00-47d9-b806-f759f5bcec19</errorID>
      <errorWord>（</errorWord>
      <group>L1_Format</group>
      <groupName>格式问题</groupName>
      <ability>L2_HalfPunc</ability>
      <abilityName>全半角检查</abilityName>
      <candidateList>
        <item>(</item>
      </candidateList>
      <explain>文本全半角错误。</explain>
      <paraID>61198C71</paraID>
      <start>1</start>
      <end>2</end>
      <status>unmodified</status>
      <modifiedWord/>
      <trackRevisions>false</trackRevisions>
    </reviewItem>
    <reviewItem>
      <errorID>7dfc1b9b-4882-431a-b544-cc481333f431</errorID>
      <errorWord>）</errorWord>
      <group>L1_Format</group>
      <groupName>格式问题</groupName>
      <ability>L2_HalfPunc</ability>
      <abilityName>全半角检查</abilityName>
      <candidateList>
        <item>)</item>
      </candidateList>
      <explain>文本全半角错误。</explain>
      <paraID>61198C71</paraID>
      <start>6</start>
      <end>7</end>
      <status>unmodified</status>
      <modifiedWord/>
      <trackRevisions>false</trackRevisions>
    </reviewItem>
    <reviewItem>
      <errorID>ee8067c8-fcdf-4ccd-a443-d3c886336334</errorID>
      <errorWord>（</errorWord>
      <group>L1_Format</group>
      <groupName>格式问题</groupName>
      <ability>L2_HalfPunc</ability>
      <abilityName>全半角检查</abilityName>
      <candidateList>
        <item>(</item>
      </candidateList>
      <explain>文本全半角错误。</explain>
      <paraID>517E1813</paraID>
      <start>1</start>
      <end>2</end>
      <status>unmodified</status>
      <modifiedWord/>
      <trackRevisions>false</trackRevisions>
    </reviewItem>
    <reviewItem>
      <errorID>e22e1af0-8dd4-43bc-a625-ebf063cb2e40</errorID>
      <errorWord>）</errorWord>
      <group>L1_Format</group>
      <groupName>格式问题</groupName>
      <ability>L2_HalfPunc</ability>
      <abilityName>全半角检查</abilityName>
      <candidateList>
        <item>)</item>
      </candidateList>
      <explain>文本全半角错误。</explain>
      <paraID>517E1813</paraID>
      <start>3</start>
      <end>4</end>
      <status>unmodified</status>
      <modifiedWord/>
      <trackRevisions>false</trackRevisions>
    </reviewItem>
    <reviewItem>
      <errorID>aff75ec3-aeea-4f73-b7b1-fc34cbe5bbd1</errorID>
      <errorWord>（</errorWord>
      <group>L1_Format</group>
      <groupName>格式问题</groupName>
      <ability>L2_HalfPunc</ability>
      <abilityName>全半角检查</abilityName>
      <candidateList>
        <item>(</item>
      </candidateList>
      <explain>文本全半角错误。</explain>
      <paraID>4E69E632</paraID>
      <start>1</start>
      <end>2</end>
      <status>unmodified</status>
      <modifiedWord/>
      <trackRevisions>false</trackRevisions>
    </reviewItem>
    <reviewItem>
      <errorID>5edff8b2-c25e-409e-9558-d5ab039f32d3</errorID>
      <errorWord>）</errorWord>
      <group>L1_Format</group>
      <groupName>格式问题</groupName>
      <ability>L2_HalfPunc</ability>
      <abilityName>全半角检查</abilityName>
      <candidateList>
        <item>)</item>
      </candidateList>
      <explain>文本全半角错误。</explain>
      <paraID>4E69E632</paraID>
      <start>3</start>
      <end>4</end>
      <status>unmodified</status>
      <modifiedWord/>
      <trackRevisions>false</trackRevisions>
    </reviewItem>
    <reviewItem>
      <errorID>c9c7eabc-1632-49dd-aba3-90e88cfa078a</errorID>
      <errorWord>（</errorWord>
      <group>L1_Format</group>
      <groupName>格式问题</groupName>
      <ability>L2_HalfPunc</ability>
      <abilityName>全半角检查</abilityName>
      <candidateList>
        <item>(</item>
      </candidateList>
      <explain>文本全半角错误。</explain>
      <paraID> B21F742</paraID>
      <start>1</start>
      <end>2</end>
      <status>unmodified</status>
      <modifiedWord/>
      <trackRevisions>false</trackRevisions>
    </reviewItem>
    <reviewItem>
      <errorID>545e9b9f-0846-407a-8354-5412eebe276d</errorID>
      <errorWord>）</errorWord>
      <group>L1_Format</group>
      <groupName>格式问题</groupName>
      <ability>L2_HalfPunc</ability>
      <abilityName>全半角检查</abilityName>
      <candidateList>
        <item>)</item>
      </candidateList>
      <explain>文本全半角错误。</explain>
      <paraID> B21F742</paraID>
      <start>5</start>
      <end>6</end>
      <status>unmodified</status>
      <modifiedWord/>
      <trackRevisions>false</trackRevisions>
    </reviewItem>
    <reviewItem>
      <errorID>89e49772-cddc-48c9-936e-1ba7f5f2f7a6</errorID>
      <errorWord>（</errorWord>
      <group>L1_Format</group>
      <groupName>格式问题</groupName>
      <ability>L2_HalfPunc</ability>
      <abilityName>全半角检查</abilityName>
      <candidateList>
        <item>(</item>
      </candidateList>
      <explain>文本全半角错误。</explain>
      <paraID>3157B550</paraID>
      <start>1</start>
      <end>2</end>
      <status>unmodified</status>
      <modifiedWord/>
      <trackRevisions>false</trackRevisions>
    </reviewItem>
    <reviewItem>
      <errorID>6f65193f-7d11-4a2f-b8bd-f97752520519</errorID>
      <errorWord>）</errorWord>
      <group>L1_Format</group>
      <groupName>格式问题</groupName>
      <ability>L2_HalfPunc</ability>
      <abilityName>全半角检查</abilityName>
      <candidateList>
        <item>)</item>
      </candidateList>
      <explain>文本全半角错误。</explain>
      <paraID>3157B550</paraID>
      <start>5</start>
      <end>6</end>
      <status>unmodified</status>
      <modifiedWord/>
      <trackRevisions>false</trackRevisions>
    </reviewItem>
    <reviewItem>
      <errorID>469ab7e4-9a9e-4811-b1b9-f046dda4fb69</errorID>
      <errorWord>（</errorWord>
      <group>L1_Format</group>
      <groupName>格式问题</groupName>
      <ability>L2_HalfPunc</ability>
      <abilityName>全半角检查</abilityName>
      <candidateList>
        <item>(</item>
      </candidateList>
      <explain>文本全半角错误。</explain>
      <paraID>3B8A1F6D</paraID>
      <start>2</start>
      <end>3</end>
      <status>unmodified</status>
      <modifiedWord/>
      <trackRevisions>false</trackRevisions>
    </reviewItem>
    <reviewItem>
      <errorID>7aba7184-fb05-4708-b779-4a9bec9fd81d</errorID>
      <errorWord>）</errorWord>
      <group>L1_Format</group>
      <groupName>格式问题</groupName>
      <ability>L2_HalfPunc</ability>
      <abilityName>全半角检查</abilityName>
      <candidateList>
        <item>)</item>
      </candidateList>
      <explain>文本全半角错误。</explain>
      <paraID>3B8A1F6D</paraID>
      <start>7</start>
      <end>8</end>
      <status>unmodified</status>
      <modifiedWord/>
      <trackRevisions>false</trackRevisions>
    </reviewItem>
    <reviewItem>
      <errorID>c2ddb91f-91f6-4991-8ae1-211119cd68e6</errorID>
      <errorWord>（</errorWord>
      <group>L1_Format</group>
      <groupName>格式问题</groupName>
      <ability>L2_HalfPunc</ability>
      <abilityName>全半角检查</abilityName>
      <candidateList>
        <item>(</item>
      </candidateList>
      <explain>文本全半角错误。</explain>
      <paraID>  F89028</paraID>
      <start>1</start>
      <end>2</end>
      <status>unmodified</status>
      <modifiedWord/>
      <trackRevisions>false</trackRevisions>
    </reviewItem>
    <reviewItem>
      <errorID>9c9c3602-f212-443c-9ff1-f404af20019e</errorID>
      <errorWord>）</errorWord>
      <group>L1_Format</group>
      <groupName>格式问题</groupName>
      <ability>L2_HalfPunc</ability>
      <abilityName>全半角检查</abilityName>
      <candidateList>
        <item>)</item>
      </candidateList>
      <explain>文本全半角错误。</explain>
      <paraID>  F89028</paraID>
      <start>6</start>
      <end>7</end>
      <status>unmodified</status>
      <modifiedWord/>
      <trackRevisions>false</trackRevisions>
    </reviewItem>
    <reviewItem>
      <errorID>36ab3e1a-5d9a-45f8-86b0-438d32af68b2</errorID>
      <errorWord>（</errorWord>
      <group>L1_Format</group>
      <groupName>格式问题</groupName>
      <ability>L2_HalfPunc</ability>
      <abilityName>全半角检查</abilityName>
      <candidateList>
        <item>(</item>
      </candidateList>
      <explain>文本全半角错误。</explain>
      <paraID>48FFC18D</paraID>
      <start>1</start>
      <end>2</end>
      <status>unmodified</status>
      <modifiedWord/>
      <trackRevisions>false</trackRevisions>
    </reviewItem>
    <reviewItem>
      <errorID>b902cd5a-4285-4690-a4e9-b9b11695849a</errorID>
      <errorWord>）</errorWord>
      <group>L1_Format</group>
      <groupName>格式问题</groupName>
      <ability>L2_HalfPunc</ability>
      <abilityName>全半角检查</abilityName>
      <candidateList>
        <item>)</item>
      </candidateList>
      <explain>文本全半角错误。</explain>
      <paraID>48FFC18D</paraID>
      <start>3</start>
      <end>4</end>
      <status>unmodified</status>
      <modifiedWord/>
      <trackRevisions>false</trackRevisions>
    </reviewItem>
    <reviewItem>
      <errorID>e7ae9782-18c2-4e46-a5f8-4a804a379e03</errorID>
      <errorWord>（</errorWord>
      <group>L1_Format</group>
      <groupName>格式问题</groupName>
      <ability>L2_HalfPunc</ability>
      <abilityName>全半角检查</abilityName>
      <candidateList>
        <item>(</item>
      </candidateList>
      <explain>文本全半角错误。</explain>
      <paraID>22A52D15</paraID>
      <start>1</start>
      <end>2</end>
      <status>unmodified</status>
      <modifiedWord/>
      <trackRevisions>false</trackRevisions>
    </reviewItem>
    <reviewItem>
      <errorID>f59887f0-de94-4b91-8a66-41c221177c28</errorID>
      <errorWord>）</errorWord>
      <group>L1_Format</group>
      <groupName>格式问题</groupName>
      <ability>L2_HalfPunc</ability>
      <abilityName>全半角检查</abilityName>
      <candidateList>
        <item>)</item>
      </candidateList>
      <explain>文本全半角错误。</explain>
      <paraID>22A52D15</paraID>
      <start>3</start>
      <end>4</end>
      <status>unmodified</status>
      <modifiedWord/>
      <trackRevisions>false</trackRevisions>
    </reviewItem>
    <reviewItem>
      <errorID>c7f6cf11-a0ff-473a-b406-d95ca29e0eab</errorID>
      <errorWord>（</errorWord>
      <group>L1_Format</group>
      <groupName>格式问题</groupName>
      <ability>L2_HalfPunc</ability>
      <abilityName>全半角检查</abilityName>
      <candidateList>
        <item>(</item>
      </candidateList>
      <explain>文本全半角错误。</explain>
      <paraID>6B36C3D9</paraID>
      <start>1</start>
      <end>2</end>
      <status>unmodified</status>
      <modifiedWord/>
      <trackRevisions>false</trackRevisions>
    </reviewItem>
    <reviewItem>
      <errorID>fb8bdab1-1f7a-44ef-b2ba-be2f38de6163</errorID>
      <errorWord>）</errorWord>
      <group>L1_Format</group>
      <groupName>格式问题</groupName>
      <ability>L2_HalfPunc</ability>
      <abilityName>全半角检查</abilityName>
      <candidateList>
        <item>)</item>
      </candidateList>
      <explain>文本全半角错误。</explain>
      <paraID>6B36C3D9</paraID>
      <start>5</start>
      <end>6</end>
      <status>unmodified</status>
      <modifiedWord/>
      <trackRevisions>false</trackRevisions>
    </reviewItem>
    <reviewItem>
      <errorID>d6df9a2d-d073-4ee5-987c-3ab48ea5b92e</errorID>
      <errorWord>（</errorWord>
      <group>L1_Format</group>
      <groupName>格式问题</groupName>
      <ability>L2_HalfPunc</ability>
      <abilityName>全半角检查</abilityName>
      <candidateList>
        <item>(</item>
      </candidateList>
      <explain>文本全半角错误。</explain>
      <paraID>715CF997</paraID>
      <start>1</start>
      <end>2</end>
      <status>unmodified</status>
      <modifiedWord/>
      <trackRevisions>false</trackRevisions>
    </reviewItem>
    <reviewItem>
      <errorID>eec9344d-d7de-4900-a5d4-388bb75cf502</errorID>
      <errorWord>）</errorWord>
      <group>L1_Format</group>
      <groupName>格式问题</groupName>
      <ability>L2_HalfPunc</ability>
      <abilityName>全半角检查</abilityName>
      <candidateList>
        <item>)</item>
      </candidateList>
      <explain>文本全半角错误。</explain>
      <paraID>715CF997</paraID>
      <start>5</start>
      <end>6</end>
      <status>unmodified</status>
      <modifiedWord/>
      <trackRevisions>false</trackRevisions>
    </reviewItem>
    <reviewItem>
      <errorID>50994e6b-c159-4109-a668-3269e34fe7a3</errorID>
      <errorWord>（</errorWord>
      <group>L1_Format</group>
      <groupName>格式问题</groupName>
      <ability>L2_HalfPunc</ability>
      <abilityName>全半角检查</abilityName>
      <candidateList>
        <item>(</item>
      </candidateList>
      <explain>文本全半角错误。</explain>
      <paraID>70219933</paraID>
      <start>2</start>
      <end>3</end>
      <status>unmodified</status>
      <modifiedWord/>
      <trackRevisions>false</trackRevisions>
    </reviewItem>
    <reviewItem>
      <errorID>9d24ab3d-0b62-4bad-a5f7-9ae59c436d1e</errorID>
      <errorWord>）</errorWord>
      <group>L1_Format</group>
      <groupName>格式问题</groupName>
      <ability>L2_HalfPunc</ability>
      <abilityName>全半角检查</abilityName>
      <candidateList>
        <item>)</item>
      </candidateList>
      <explain>文本全半角错误。</explain>
      <paraID>70219933</paraID>
      <start>7</start>
      <end>8</end>
      <status>unmodified</status>
      <modifiedWord/>
      <trackRevisions>false</trackRevisions>
    </reviewItem>
    <reviewItem>
      <errorID>6b668f8e-8d8a-4cde-91b0-7d971d1c710f</errorID>
      <errorWord>（</errorWord>
      <group>L1_Format</group>
      <groupName>格式问题</groupName>
      <ability>L2_HalfPunc</ability>
      <abilityName>全半角检查</abilityName>
      <candidateList>
        <item>(</item>
      </candidateList>
      <explain>文本全半角错误。</explain>
      <paraID>69D7505D</paraID>
      <start>1</start>
      <end>2</end>
      <status>unmodified</status>
      <modifiedWord/>
      <trackRevisions>false</trackRevisions>
    </reviewItem>
    <reviewItem>
      <errorID>3f2678c0-49de-4e08-8388-536222c738f1</errorID>
      <errorWord>）</errorWord>
      <group>L1_Format</group>
      <groupName>格式问题</groupName>
      <ability>L2_HalfPunc</ability>
      <abilityName>全半角检查</abilityName>
      <candidateList>
        <item>)</item>
      </candidateList>
      <explain>文本全半角错误。</explain>
      <paraID>69D7505D</paraID>
      <start>6</start>
      <end>7</end>
      <status>unmodified</status>
      <modifiedWord/>
      <trackRevisions>false</trackRevisions>
    </reviewItem>
    <reviewItem>
      <errorID>9c0cf795-f9ac-4fec-8020-2de020117027</errorID>
      <errorWord>（</errorWord>
      <group>L1_Format</group>
      <groupName>格式问题</groupName>
      <ability>L2_HalfPunc</ability>
      <abilityName>全半角检查</abilityName>
      <candidateList>
        <item>(</item>
      </candidateList>
      <explain>文本全半角错误。</explain>
      <paraID>3BE1796D</paraID>
      <start>1</start>
      <end>2</end>
      <status>unmodified</status>
      <modifiedWord/>
      <trackRevisions>false</trackRevisions>
    </reviewItem>
    <reviewItem>
      <errorID>5ca633e9-3527-4f67-a7c6-c930c0691f41</errorID>
      <errorWord>）</errorWord>
      <group>L1_Format</group>
      <groupName>格式问题</groupName>
      <ability>L2_HalfPunc</ability>
      <abilityName>全半角检查</abilityName>
      <candidateList>
        <item>)</item>
      </candidateList>
      <explain>文本全半角错误。</explain>
      <paraID>3BE1796D</paraID>
      <start>3</start>
      <end>4</end>
      <status>unmodified</status>
      <modifiedWord/>
      <trackRevisions>false</trackRevisions>
    </reviewItem>
    <reviewItem>
      <errorID>28d90c2c-4e81-4705-b6b2-55a42f685323</errorID>
      <errorWord>（</errorWord>
      <group>L1_Format</group>
      <groupName>格式问题</groupName>
      <ability>L2_HalfPunc</ability>
      <abilityName>全半角检查</abilityName>
      <candidateList>
        <item>(</item>
      </candidateList>
      <explain>文本全半角错误。</explain>
      <paraID>63E25F4C</paraID>
      <start>1</start>
      <end>2</end>
      <status>unmodified</status>
      <modifiedWord/>
      <trackRevisions>false</trackRevisions>
    </reviewItem>
    <reviewItem>
      <errorID>b8e56dd6-6ee9-4c77-8652-471fe2175c98</errorID>
      <errorWord>）</errorWord>
      <group>L1_Format</group>
      <groupName>格式问题</groupName>
      <ability>L2_HalfPunc</ability>
      <abilityName>全半角检查</abilityName>
      <candidateList>
        <item>)</item>
      </candidateList>
      <explain>文本全半角错误。</explain>
      <paraID>63E25F4C</paraID>
      <start>3</start>
      <end>4</end>
      <status>unmodified</status>
      <modifiedWord/>
      <trackRevisions>false</trackRevisions>
    </reviewItem>
    <reviewItem>
      <errorID>2522f9af-f47a-4db0-bad2-a8e4930c95da</errorID>
      <errorWord>（</errorWord>
      <group>L1_Format</group>
      <groupName>格式问题</groupName>
      <ability>L2_HalfPunc</ability>
      <abilityName>全半角检查</abilityName>
      <candidateList>
        <item>(</item>
      </candidateList>
      <explain>文本全半角错误。</explain>
      <paraID>4F67645E</paraID>
      <start>1</start>
      <end>2</end>
      <status>unmodified</status>
      <modifiedWord/>
      <trackRevisions>false</trackRevisions>
    </reviewItem>
    <reviewItem>
      <errorID>fb6ae1cc-58a6-448f-ae64-55cb72e001e2</errorID>
      <errorWord>）</errorWord>
      <group>L1_Format</group>
      <groupName>格式问题</groupName>
      <ability>L2_HalfPunc</ability>
      <abilityName>全半角检查</abilityName>
      <candidateList>
        <item>)</item>
      </candidateList>
      <explain>文本全半角错误。</explain>
      <paraID>4F67645E</paraID>
      <start>5</start>
      <end>6</end>
      <status>unmodified</status>
      <modifiedWord/>
      <trackRevisions>false</trackRevisions>
    </reviewItem>
    <reviewItem>
      <errorID>3db94b99-8a47-4b1f-a151-979352cd73a6</errorID>
      <errorWord>（</errorWord>
      <group>L1_Format</group>
      <groupName>格式问题</groupName>
      <ability>L2_HalfPunc</ability>
      <abilityName>全半角检查</abilityName>
      <candidateList>
        <item>(</item>
      </candidateList>
      <explain>文本全半角错误。</explain>
      <paraID> 4ADDDF5</paraID>
      <start>1</start>
      <end>2</end>
      <status>unmodified</status>
      <modifiedWord/>
      <trackRevisions>false</trackRevisions>
    </reviewItem>
    <reviewItem>
      <errorID>b8254731-6ae2-4d4a-ae59-5b8cf66c60e2</errorID>
      <errorWord>）</errorWord>
      <group>L1_Format</group>
      <groupName>格式问题</groupName>
      <ability>L2_HalfPunc</ability>
      <abilityName>全半角检查</abilityName>
      <candidateList>
        <item>)</item>
      </candidateList>
      <explain>文本全半角错误。</explain>
      <paraID> 4ADDDF5</paraID>
      <start>5</start>
      <end>6</end>
      <status>unmodified</status>
      <modifiedWord/>
      <trackRevisions>false</trackRevisions>
    </reviewItem>
    <reviewItem>
      <errorID>324ba2e3-2d5e-43c2-a82c-2bff19cc9f71</errorID>
      <errorWord>（</errorWord>
      <group>L1_Format</group>
      <groupName>格式问题</groupName>
      <ability>L2_HalfPunc</ability>
      <abilityName>全半角检查</abilityName>
      <candidateList>
        <item>(</item>
      </candidateList>
      <explain>文本全半角错误。</explain>
      <paraID>2A8F93DF</paraID>
      <start>2</start>
      <end>3</end>
      <status>unmodified</status>
      <modifiedWord/>
      <trackRevisions>false</trackRevisions>
    </reviewItem>
    <reviewItem>
      <errorID>910f50da-ff1d-4e83-a30f-fde73cd31f2c</errorID>
      <errorWord>）</errorWord>
      <group>L1_Format</group>
      <groupName>格式问题</groupName>
      <ability>L2_HalfPunc</ability>
      <abilityName>全半角检查</abilityName>
      <candidateList>
        <item>)</item>
      </candidateList>
      <explain>文本全半角错误。</explain>
      <paraID>2A8F93DF</paraID>
      <start>7</start>
      <end>8</end>
      <status>unmodified</status>
      <modifiedWord/>
      <trackRevisions>false</trackRevisions>
    </reviewItem>
    <reviewItem>
      <errorID>182c1486-b87a-411b-8984-ff41a82ee842</errorID>
      <errorWord>（</errorWord>
      <group>L1_Format</group>
      <groupName>格式问题</groupName>
      <ability>L2_HalfPunc</ability>
      <abilityName>全半角检查</abilityName>
      <candidateList>
        <item>(</item>
      </candidateList>
      <explain>文本全半角错误。</explain>
      <paraID>227DCE26</paraID>
      <start>1</start>
      <end>2</end>
      <status>unmodified</status>
      <modifiedWord/>
      <trackRevisions>false</trackRevisions>
    </reviewItem>
    <reviewItem>
      <errorID>998a12fa-69a1-4a45-bc48-72ce5e6966db</errorID>
      <errorWord>）</errorWord>
      <group>L1_Format</group>
      <groupName>格式问题</groupName>
      <ability>L2_HalfPunc</ability>
      <abilityName>全半角检查</abilityName>
      <candidateList>
        <item>)</item>
      </candidateList>
      <explain>文本全半角错误。</explain>
      <paraID>227DCE26</paraID>
      <start>6</start>
      <end>7</end>
      <status>unmodified</status>
      <modifiedWord/>
      <trackRevisions>false</trackRevisions>
    </reviewItem>
    <reviewItem>
      <errorID>2f793563-d6d7-4bca-9163-034b28420993</errorID>
      <errorWord>（</errorWord>
      <group>L1_Format</group>
      <groupName>格式问题</groupName>
      <ability>L2_HalfPunc</ability>
      <abilityName>全半角检查</abilityName>
      <candidateList>
        <item>(</item>
      </candidateList>
      <explain>文本全半角错误。</explain>
      <paraID>6CBDEC5C</paraID>
      <start>1</start>
      <end>2</end>
      <status>unmodified</status>
      <modifiedWord/>
      <trackRevisions>false</trackRevisions>
    </reviewItem>
    <reviewItem>
      <errorID>aecf7939-259f-4f7c-9cbd-e72f5f88128a</errorID>
      <errorWord>）</errorWord>
      <group>L1_Format</group>
      <groupName>格式问题</groupName>
      <ability>L2_HalfPunc</ability>
      <abilityName>全半角检查</abilityName>
      <candidateList>
        <item>)</item>
      </candidateList>
      <explain>文本全半角错误。</explain>
      <paraID>6CBDEC5C</paraID>
      <start>3</start>
      <end>4</end>
      <status>unmodified</status>
      <modifiedWord/>
      <trackRevisions>false</trackRevisions>
    </reviewItem>
    <reviewItem>
      <errorID>2cf006b9-7a8a-47f5-b9ee-5c7bdeceafa9</errorID>
      <errorWord>（</errorWord>
      <group>L1_Format</group>
      <groupName>格式问题</groupName>
      <ability>L2_HalfPunc</ability>
      <abilityName>全半角检查</abilityName>
      <candidateList>
        <item>(</item>
      </candidateList>
      <explain>文本全半角错误。</explain>
      <paraID> BE56731</paraID>
      <start>1</start>
      <end>2</end>
      <status>unmodified</status>
      <modifiedWord/>
      <trackRevisions>false</trackRevisions>
    </reviewItem>
    <reviewItem>
      <errorID>b6416565-6e08-45ae-ad7e-f20002b81907</errorID>
      <errorWord>）</errorWord>
      <group>L1_Format</group>
      <groupName>格式问题</groupName>
      <ability>L2_HalfPunc</ability>
      <abilityName>全半角检查</abilityName>
      <candidateList>
        <item>)</item>
      </candidateList>
      <explain>文本全半角错误。</explain>
      <paraID> BE56731</paraID>
      <start>3</start>
      <end>4</end>
      <status>unmodified</status>
      <modifiedWord/>
      <trackRevisions>false</trackRevisions>
    </reviewItem>
    <reviewItem>
      <errorID>357dc292-ba38-480b-b414-8bc6b0da8848</errorID>
      <errorWord>（</errorWord>
      <group>L1_Format</group>
      <groupName>格式问题</groupName>
      <ability>L2_HalfPunc</ability>
      <abilityName>全半角检查</abilityName>
      <candidateList>
        <item>(</item>
      </candidateList>
      <explain>文本全半角错误。</explain>
      <paraID>69C9A5E8</paraID>
      <start>1</start>
      <end>2</end>
      <status>unmodified</status>
      <modifiedWord/>
      <trackRevisions>false</trackRevisions>
    </reviewItem>
    <reviewItem>
      <errorID>317bbedc-9fa9-4303-8679-d83233bfbacc</errorID>
      <errorWord>）</errorWord>
      <group>L1_Format</group>
      <groupName>格式问题</groupName>
      <ability>L2_HalfPunc</ability>
      <abilityName>全半角检查</abilityName>
      <candidateList>
        <item>)</item>
      </candidateList>
      <explain>文本全半角错误。</explain>
      <paraID>69C9A5E8</paraID>
      <start>5</start>
      <end>6</end>
      <status>unmodified</status>
      <modifiedWord/>
      <trackRevisions>false</trackRevisions>
    </reviewItem>
    <reviewItem>
      <errorID>b572e165-9d28-4a5c-8c60-498c2db584c8</errorID>
      <errorWord>（</errorWord>
      <group>L1_Format</group>
      <groupName>格式问题</groupName>
      <ability>L2_HalfPunc</ability>
      <abilityName>全半角检查</abilityName>
      <candidateList>
        <item>(</item>
      </candidateList>
      <explain>文本全半角错误。</explain>
      <paraID>1D025BCE</paraID>
      <start>1</start>
      <end>2</end>
      <status>unmodified</status>
      <modifiedWord/>
      <trackRevisions>false</trackRevisions>
    </reviewItem>
    <reviewItem>
      <errorID>6c48c4b0-1995-4277-91fc-828f40093f6f</errorID>
      <errorWord>）</errorWord>
      <group>L1_Format</group>
      <groupName>格式问题</groupName>
      <ability>L2_HalfPunc</ability>
      <abilityName>全半角检查</abilityName>
      <candidateList>
        <item>)</item>
      </candidateList>
      <explain>文本全半角错误。</explain>
      <paraID>1D025BCE</paraID>
      <start>5</start>
      <end>6</end>
      <status>unmodified</status>
      <modifiedWord/>
      <trackRevisions>false</trackRevisions>
    </reviewItem>
    <reviewItem>
      <errorID>06bd7748-1fa9-4662-92f4-af83a32f3352</errorID>
      <errorWord>（</errorWord>
      <group>L1_Format</group>
      <groupName>格式问题</groupName>
      <ability>L2_HalfPunc</ability>
      <abilityName>全半角检查</abilityName>
      <candidateList>
        <item>(</item>
      </candidateList>
      <explain>文本全半角错误。</explain>
      <paraID>36C1D4F7</paraID>
      <start>2</start>
      <end>3</end>
      <status>unmodified</status>
      <modifiedWord/>
      <trackRevisions>false</trackRevisions>
    </reviewItem>
    <reviewItem>
      <errorID>d1f957a4-6011-4741-8f73-bb1ae8d13bcc</errorID>
      <errorWord>）</errorWord>
      <group>L1_Format</group>
      <groupName>格式问题</groupName>
      <ability>L2_HalfPunc</ability>
      <abilityName>全半角检查</abilityName>
      <candidateList>
        <item>)</item>
      </candidateList>
      <explain>文本全半角错误。</explain>
      <paraID>36C1D4F7</paraID>
      <start>7</start>
      <end>8</end>
      <status>unmodified</status>
      <modifiedWord/>
      <trackRevisions>false</trackRevisions>
    </reviewItem>
    <reviewItem>
      <errorID>c6372cea-2c5d-47c0-a877-95d0be0cf89f</errorID>
      <errorWord>（</errorWord>
      <group>L1_Format</group>
      <groupName>格式问题</groupName>
      <ability>L2_HalfPunc</ability>
      <abilityName>全半角检查</abilityName>
      <candidateList>
        <item>(</item>
      </candidateList>
      <explain>文本全半角错误。</explain>
      <paraID>75BC6872</paraID>
      <start>1</start>
      <end>2</end>
      <status>unmodified</status>
      <modifiedWord/>
      <trackRevisions>false</trackRevisions>
    </reviewItem>
    <reviewItem>
      <errorID>1ce739b2-3823-4b5a-ad5b-405891a0631a</errorID>
      <errorWord>）</errorWord>
      <group>L1_Format</group>
      <groupName>格式问题</groupName>
      <ability>L2_HalfPunc</ability>
      <abilityName>全半角检查</abilityName>
      <candidateList>
        <item>)</item>
      </candidateList>
      <explain>文本全半角错误。</explain>
      <paraID>75BC6872</paraID>
      <start>6</start>
      <end>7</end>
      <status>unmodified</status>
      <modifiedWord/>
      <trackRevisions>false</trackRevisions>
    </reviewItem>
    <reviewItem>
      <errorID>da8af7e4-e859-4b6a-83ed-6adbaa461204</errorID>
      <errorWord>（</errorWord>
      <group>L1_Format</group>
      <groupName>格式问题</groupName>
      <ability>L2_HalfPunc</ability>
      <abilityName>全半角检查</abilityName>
      <candidateList>
        <item>(</item>
      </candidateList>
      <explain>文本全半角错误。</explain>
      <paraID>55EA0BDC</paraID>
      <start>1</start>
      <end>2</end>
      <status>unmodified</status>
      <modifiedWord/>
      <trackRevisions>false</trackRevisions>
    </reviewItem>
    <reviewItem>
      <errorID>b5a5f981-766a-4fdc-bd0b-7bd4693c8cfc</errorID>
      <errorWord>）</errorWord>
      <group>L1_Format</group>
      <groupName>格式问题</groupName>
      <ability>L2_HalfPunc</ability>
      <abilityName>全半角检查</abilityName>
      <candidateList>
        <item>)</item>
      </candidateList>
      <explain>文本全半角错误。</explain>
      <paraID>55EA0BDC</paraID>
      <start>3</start>
      <end>4</end>
      <status>unmodified</status>
      <modifiedWord/>
      <trackRevisions>false</trackRevisions>
    </reviewItem>
    <reviewItem>
      <errorID>23863ade-05cc-4f7a-bcb6-d485bc2f0192</errorID>
      <errorWord>（</errorWord>
      <group>L1_Format</group>
      <groupName>格式问题</groupName>
      <ability>L2_HalfPunc</ability>
      <abilityName>全半角检查</abilityName>
      <candidateList>
        <item>(</item>
      </candidateList>
      <explain>文本全半角错误。</explain>
      <paraID>276534C1</paraID>
      <start>1</start>
      <end>2</end>
      <status>unmodified</status>
      <modifiedWord/>
      <trackRevisions>false</trackRevisions>
    </reviewItem>
    <reviewItem>
      <errorID>eb4df814-49e0-4ac7-ae26-785a99194ba4</errorID>
      <errorWord>）</errorWord>
      <group>L1_Format</group>
      <groupName>格式问题</groupName>
      <ability>L2_HalfPunc</ability>
      <abilityName>全半角检查</abilityName>
      <candidateList>
        <item>)</item>
      </candidateList>
      <explain>文本全半角错误。</explain>
      <paraID>276534C1</paraID>
      <start>3</start>
      <end>4</end>
      <status>unmodified</status>
      <modifiedWord/>
      <trackRevisions>false</trackRevisions>
    </reviewItem>
    <reviewItem>
      <errorID>e61a69ea-6f25-4bf4-8d5d-f4925437d709</errorID>
      <errorWord>（</errorWord>
      <group>L1_Format</group>
      <groupName>格式问题</groupName>
      <ability>L2_HalfPunc</ability>
      <abilityName>全半角检查</abilityName>
      <candidateList>
        <item>(</item>
      </candidateList>
      <explain>文本全半角错误。</explain>
      <paraID>7B987FD9</paraID>
      <start>1</start>
      <end>2</end>
      <status>unmodified</status>
      <modifiedWord/>
      <trackRevisions>false</trackRevisions>
    </reviewItem>
    <reviewItem>
      <errorID>3f2b0bd6-e926-48cc-bbdb-2c972eb9ec83</errorID>
      <errorWord>）</errorWord>
      <group>L1_Format</group>
      <groupName>格式问题</groupName>
      <ability>L2_HalfPunc</ability>
      <abilityName>全半角检查</abilityName>
      <candidateList>
        <item>)</item>
      </candidateList>
      <explain>文本全半角错误。</explain>
      <paraID>7B987FD9</paraID>
      <start>5</start>
      <end>6</end>
      <status>unmodified</status>
      <modifiedWord/>
      <trackRevisions>false</trackRevisions>
    </reviewItem>
    <reviewItem>
      <errorID>c96ba52c-d2aa-44e0-9ce2-7040c9a40a34</errorID>
      <errorWord>（</errorWord>
      <group>L1_Format</group>
      <groupName>格式问题</groupName>
      <ability>L2_HalfPunc</ability>
      <abilityName>全半角检查</abilityName>
      <candidateList>
        <item>(</item>
      </candidateList>
      <explain>文本全半角错误。</explain>
      <paraID>345137EE</paraID>
      <start>1</start>
      <end>2</end>
      <status>unmodified</status>
      <modifiedWord/>
      <trackRevisions>false</trackRevisions>
    </reviewItem>
    <reviewItem>
      <errorID>ceceffc7-8a54-4d7c-ae42-7a51f228ad60</errorID>
      <errorWord>）</errorWord>
      <group>L1_Format</group>
      <groupName>格式问题</groupName>
      <ability>L2_HalfPunc</ability>
      <abilityName>全半角检查</abilityName>
      <candidateList>
        <item>)</item>
      </candidateList>
      <explain>文本全半角错误。</explain>
      <paraID>345137EE</paraID>
      <start>5</start>
      <end>6</end>
      <status>unmodified</status>
      <modifiedWord/>
      <trackRevisions>false</trackRevisions>
    </reviewItem>
    <reviewItem>
      <errorID>848eaa65-3d44-449a-a101-9418c605dc8a</errorID>
      <errorWord>（</errorWord>
      <group>L1_Format</group>
      <groupName>格式问题</groupName>
      <ability>L2_HalfPunc</ability>
      <abilityName>全半角检查</abilityName>
      <candidateList>
        <item>(</item>
      </candidateList>
      <explain>文本全半角错误。</explain>
      <paraID>3F33A205</paraID>
      <start>2</start>
      <end>3</end>
      <status>unmodified</status>
      <modifiedWord/>
      <trackRevisions>false</trackRevisions>
    </reviewItem>
    <reviewItem>
      <errorID>7d4c3057-46a6-409b-ac1b-f7c24e8969c5</errorID>
      <errorWord>）</errorWord>
      <group>L1_Format</group>
      <groupName>格式问题</groupName>
      <ability>L2_HalfPunc</ability>
      <abilityName>全半角检查</abilityName>
      <candidateList>
        <item>)</item>
      </candidateList>
      <explain>文本全半角错误。</explain>
      <paraID>3F33A205</paraID>
      <start>7</start>
      <end>8</end>
      <status>unmodified</status>
      <modifiedWord/>
      <trackRevisions>false</trackRevisions>
    </reviewItem>
    <reviewItem>
      <errorID>5f7d5e89-8d00-451b-a952-95b9b97fde53</errorID>
      <errorWord>（</errorWord>
      <group>L1_Format</group>
      <groupName>格式问题</groupName>
      <ability>L2_HalfPunc</ability>
      <abilityName>全半角检查</abilityName>
      <candidateList>
        <item>(</item>
      </candidateList>
      <explain>文本全半角错误。</explain>
      <paraID>4C8C2EBF</paraID>
      <start>1</start>
      <end>2</end>
      <status>unmodified</status>
      <modifiedWord/>
      <trackRevisions>false</trackRevisions>
    </reviewItem>
    <reviewItem>
      <errorID>083765f8-2e44-4528-ab1b-f3e54a35de6b</errorID>
      <errorWord>）</errorWord>
      <group>L1_Format</group>
      <groupName>格式问题</groupName>
      <ability>L2_HalfPunc</ability>
      <abilityName>全半角检查</abilityName>
      <candidateList>
        <item>)</item>
      </candidateList>
      <explain>文本全半角错误。</explain>
      <paraID>4C8C2EBF</paraID>
      <start>6</start>
      <end>7</end>
      <status>unmodified</status>
      <modifiedWord/>
      <trackRevisions>false</trackRevisions>
    </reviewItem>
    <reviewItem>
      <errorID>83994114-a6c1-4f50-a9c8-576e907f0459</errorID>
      <errorWord>（</errorWord>
      <group>L1_Format</group>
      <groupName>格式问题</groupName>
      <ability>L2_HalfPunc</ability>
      <abilityName>全半角检查</abilityName>
      <candidateList>
        <item>(</item>
      </candidateList>
      <explain>文本全半角错误。</explain>
      <paraID>1D0D528D</paraID>
      <start>1</start>
      <end>2</end>
      <status>unmodified</status>
      <modifiedWord/>
      <trackRevisions>false</trackRevisions>
    </reviewItem>
    <reviewItem>
      <errorID>e29ef548-4609-4b00-a230-fb372fcb85c6</errorID>
      <errorWord>）</errorWord>
      <group>L1_Format</group>
      <groupName>格式问题</groupName>
      <ability>L2_HalfPunc</ability>
      <abilityName>全半角检查</abilityName>
      <candidateList>
        <item>)</item>
      </candidateList>
      <explain>文本全半角错误。</explain>
      <paraID>1D0D528D</paraID>
      <start>3</start>
      <end>4</end>
      <status>unmodified</status>
      <modifiedWord/>
      <trackRevisions>false</trackRevisions>
    </reviewItem>
    <reviewItem>
      <errorID>83e68b94-8368-4c53-824c-c3c48cd62529</errorID>
      <errorWord>（</errorWord>
      <group>L1_Format</group>
      <groupName>格式问题</groupName>
      <ability>L2_HalfPunc</ability>
      <abilityName>全半角检查</abilityName>
      <candidateList>
        <item>(</item>
      </candidateList>
      <explain>文本全半角错误。</explain>
      <paraID>3328AA11</paraID>
      <start>1</start>
      <end>2</end>
      <status>unmodified</status>
      <modifiedWord/>
      <trackRevisions>false</trackRevisions>
    </reviewItem>
    <reviewItem>
      <errorID>4b786cd3-fe33-490e-a9bf-7524152bda7b</errorID>
      <errorWord>）</errorWord>
      <group>L1_Format</group>
      <groupName>格式问题</groupName>
      <ability>L2_HalfPunc</ability>
      <abilityName>全半角检查</abilityName>
      <candidateList>
        <item>)</item>
      </candidateList>
      <explain>文本全半角错误。</explain>
      <paraID>3328AA11</paraID>
      <start>3</start>
      <end>4</end>
      <status>unmodified</status>
      <modifiedWord/>
      <trackRevisions>false</trackRevisions>
    </reviewItem>
    <reviewItem>
      <errorID>c3acbe16-5642-4593-ad11-6e0fdc8801b3</errorID>
      <errorWord>（</errorWord>
      <group>L1_Format</group>
      <groupName>格式问题</groupName>
      <ability>L2_HalfPunc</ability>
      <abilityName>全半角检查</abilityName>
      <candidateList>
        <item>(</item>
      </candidateList>
      <explain>文本全半角错误。</explain>
      <paraID>11C33566</paraID>
      <start>1</start>
      <end>2</end>
      <status>unmodified</status>
      <modifiedWord/>
      <trackRevisions>false</trackRevisions>
    </reviewItem>
    <reviewItem>
      <errorID>eb919b8a-8add-427f-ac83-1b8a22c06180</errorID>
      <errorWord>）</errorWord>
      <group>L1_Format</group>
      <groupName>格式问题</groupName>
      <ability>L2_HalfPunc</ability>
      <abilityName>全半角检查</abilityName>
      <candidateList>
        <item>)</item>
      </candidateList>
      <explain>文本全半角错误。</explain>
      <paraID>11C33566</paraID>
      <start>5</start>
      <end>6</end>
      <status>unmodified</status>
      <modifiedWord/>
      <trackRevisions>false</trackRevisions>
    </reviewItem>
    <reviewItem>
      <errorID>04f57fbe-9ba0-4ccd-aca9-b2aaddd7eeae</errorID>
      <errorWord>（</errorWord>
      <group>L1_Format</group>
      <groupName>格式问题</groupName>
      <ability>L2_HalfPunc</ability>
      <abilityName>全半角检查</abilityName>
      <candidateList>
        <item>(</item>
      </candidateList>
      <explain>文本全半角错误。</explain>
      <paraID>66AC5EFB</paraID>
      <start>1</start>
      <end>2</end>
      <status>unmodified</status>
      <modifiedWord/>
      <trackRevisions>false</trackRevisions>
    </reviewItem>
    <reviewItem>
      <errorID>3ec9b2ea-30ac-4ec5-88c9-b7973b1f31ff</errorID>
      <errorWord>）</errorWord>
      <group>L1_Format</group>
      <groupName>格式问题</groupName>
      <ability>L2_HalfPunc</ability>
      <abilityName>全半角检查</abilityName>
      <candidateList>
        <item>)</item>
      </candidateList>
      <explain>文本全半角错误。</explain>
      <paraID>66AC5EFB</paraID>
      <start>5</start>
      <end>6</end>
      <status>unmodified</status>
      <modifiedWord/>
      <trackRevisions>false</trackRevisions>
    </reviewItem>
    <reviewItem>
      <errorID>a793dec8-3e37-47b5-b6a7-cf1d957388a8</errorID>
      <errorWord>（</errorWord>
      <group>L1_Format</group>
      <groupName>格式问题</groupName>
      <ability>L2_HalfPunc</ability>
      <abilityName>全半角检查</abilityName>
      <candidateList>
        <item>(</item>
      </candidateList>
      <explain>文本全半角错误。</explain>
      <paraID>341313DD</paraID>
      <start>2</start>
      <end>3</end>
      <status>unmodified</status>
      <modifiedWord/>
      <trackRevisions>false</trackRevisions>
    </reviewItem>
    <reviewItem>
      <errorID>a866091a-2908-49f6-b07e-9029e27372be</errorID>
      <errorWord>）</errorWord>
      <group>L1_Format</group>
      <groupName>格式问题</groupName>
      <ability>L2_HalfPunc</ability>
      <abilityName>全半角检查</abilityName>
      <candidateList>
        <item>)</item>
      </candidateList>
      <explain>文本全半角错误。</explain>
      <paraID>341313DD</paraID>
      <start>7</start>
      <end>8</end>
      <status>unmodified</status>
      <modifiedWord/>
      <trackRevisions>false</trackRevisions>
    </reviewItem>
    <reviewItem>
      <errorID>f1176e75-4d8f-43c0-ac7c-a823e29dad6b</errorID>
      <errorWord>（</errorWord>
      <group>L1_Format</group>
      <groupName>格式问题</groupName>
      <ability>L2_HalfPunc</ability>
      <abilityName>全半角检查</abilityName>
      <candidateList>
        <item>(</item>
      </candidateList>
      <explain>文本全半角错误。</explain>
      <paraID>241F3717</paraID>
      <start>1</start>
      <end>2</end>
      <status>unmodified</status>
      <modifiedWord/>
      <trackRevisions>false</trackRevisions>
    </reviewItem>
    <reviewItem>
      <errorID>d93d0859-d2e5-45e4-b2db-271f8da9c926</errorID>
      <errorWord>）</errorWord>
      <group>L1_Format</group>
      <groupName>格式问题</groupName>
      <ability>L2_HalfPunc</ability>
      <abilityName>全半角检查</abilityName>
      <candidateList>
        <item>)</item>
      </candidateList>
      <explain>文本全半角错误。</explain>
      <paraID>241F3717</paraID>
      <start>6</start>
      <end>7</end>
      <status>unmodified</status>
      <modifiedWord/>
      <trackRevisions>false</trackRevisions>
    </reviewItem>
    <reviewItem>
      <errorID>01d439e9-6582-4229-ba55-a29bb1ac45c4</errorID>
      <errorWord>（</errorWord>
      <group>L1_Format</group>
      <groupName>格式问题</groupName>
      <ability>L2_HalfPunc</ability>
      <abilityName>全半角检查</abilityName>
      <candidateList>
        <item>(</item>
      </candidateList>
      <explain>文本全半角错误。</explain>
      <paraID>43B249E0</paraID>
      <start>1</start>
      <end>2</end>
      <status>unmodified</status>
      <modifiedWord/>
      <trackRevisions>false</trackRevisions>
    </reviewItem>
    <reviewItem>
      <errorID>00f87961-2213-49d9-903f-1bb74f7dc6c4</errorID>
      <errorWord>）</errorWord>
      <group>L1_Format</group>
      <groupName>格式问题</groupName>
      <ability>L2_HalfPunc</ability>
      <abilityName>全半角检查</abilityName>
      <candidateList>
        <item>)</item>
      </candidateList>
      <explain>文本全半角错误。</explain>
      <paraID>43B249E0</paraID>
      <start>3</start>
      <end>4</end>
      <status>unmodified</status>
      <modifiedWord/>
      <trackRevisions>false</trackRevisions>
    </reviewItem>
    <reviewItem>
      <errorID>2d6c00b9-9509-4140-b37b-d23b20c5fc46</errorID>
      <errorWord>（</errorWord>
      <group>L1_Format</group>
      <groupName>格式问题</groupName>
      <ability>L2_HalfPunc</ability>
      <abilityName>全半角检查</abilityName>
      <candidateList>
        <item>(</item>
      </candidateList>
      <explain>文本全半角错误。</explain>
      <paraID>1A50A08C</paraID>
      <start>1</start>
      <end>2</end>
      <status>unmodified</status>
      <modifiedWord/>
      <trackRevisions>false</trackRevisions>
    </reviewItem>
    <reviewItem>
      <errorID>a126d74a-7438-4f60-b5cb-15fdabbbde19</errorID>
      <errorWord>）</errorWord>
      <group>L1_Format</group>
      <groupName>格式问题</groupName>
      <ability>L2_HalfPunc</ability>
      <abilityName>全半角检查</abilityName>
      <candidateList>
        <item>)</item>
      </candidateList>
      <explain>文本全半角错误。</explain>
      <paraID>1A50A08C</paraID>
      <start>3</start>
      <end>4</end>
      <status>unmodified</status>
      <modifiedWord/>
      <trackRevisions>false</trackRevisions>
    </reviewItem>
    <reviewItem>
      <errorID>d2b757d3-f99c-495d-9d27-34459e1b57fd</errorID>
      <errorWord>（</errorWord>
      <group>L1_Format</group>
      <groupName>格式问题</groupName>
      <ability>L2_HalfPunc</ability>
      <abilityName>全半角检查</abilityName>
      <candidateList>
        <item>(</item>
      </candidateList>
      <explain>文本全半角错误。</explain>
      <paraID>26981714</paraID>
      <start>1</start>
      <end>2</end>
      <status>unmodified</status>
      <modifiedWord/>
      <trackRevisions>false</trackRevisions>
    </reviewItem>
    <reviewItem>
      <errorID>35b11995-53c3-4a28-9d1d-f85cb1806158</errorID>
      <errorWord>）</errorWord>
      <group>L1_Format</group>
      <groupName>格式问题</groupName>
      <ability>L2_HalfPunc</ability>
      <abilityName>全半角检查</abilityName>
      <candidateList>
        <item>)</item>
      </candidateList>
      <explain>文本全半角错误。</explain>
      <paraID>26981714</paraID>
      <start>5</start>
      <end>6</end>
      <status>unmodified</status>
      <modifiedWord/>
      <trackRevisions>false</trackRevisions>
    </reviewItem>
    <reviewItem>
      <errorID>5911fe54-4322-4052-8659-df1df0c4c507</errorID>
      <errorWord>（</errorWord>
      <group>L1_Format</group>
      <groupName>格式问题</groupName>
      <ability>L2_HalfPunc</ability>
      <abilityName>全半角检查</abilityName>
      <candidateList>
        <item>(</item>
      </candidateList>
      <explain>文本全半角错误。</explain>
      <paraID>71B321CC</paraID>
      <start>1</start>
      <end>2</end>
      <status>unmodified</status>
      <modifiedWord/>
      <trackRevisions>false</trackRevisions>
    </reviewItem>
    <reviewItem>
      <errorID>f47d9554-8db2-4b2c-99fb-865b4ba7b95b</errorID>
      <errorWord>）</errorWord>
      <group>L1_Format</group>
      <groupName>格式问题</groupName>
      <ability>L2_HalfPunc</ability>
      <abilityName>全半角检查</abilityName>
      <candidateList>
        <item>)</item>
      </candidateList>
      <explain>文本全半角错误。</explain>
      <paraID>71B321CC</paraID>
      <start>5</start>
      <end>6</end>
      <status>unmodified</status>
      <modifiedWord/>
      <trackRevisions>false</trackRevisions>
    </reviewItem>
    <reviewItem>
      <errorID>cbdf25d3-b155-4ea9-8f40-6551ede8c1c6</errorID>
      <errorWord>（</errorWord>
      <group>L1_Format</group>
      <groupName>格式问题</groupName>
      <ability>L2_HalfPunc</ability>
      <abilityName>全半角检查</abilityName>
      <candidateList>
        <item>(</item>
      </candidateList>
      <explain>文本全半角错误。</explain>
      <paraID>7EBEDBA0</paraID>
      <start>2</start>
      <end>3</end>
      <status>unmodified</status>
      <modifiedWord/>
      <trackRevisions>false</trackRevisions>
    </reviewItem>
    <reviewItem>
      <errorID>74591b9d-12e0-4600-928f-46cb0d156953</errorID>
      <errorWord>）</errorWord>
      <group>L1_Format</group>
      <groupName>格式问题</groupName>
      <ability>L2_HalfPunc</ability>
      <abilityName>全半角检查</abilityName>
      <candidateList>
        <item>)</item>
      </candidateList>
      <explain>文本全半角错误。</explain>
      <paraID>7EBEDBA0</paraID>
      <start>7</start>
      <end>8</end>
      <status>unmodified</status>
      <modifiedWord/>
      <trackRevisions>false</trackRevisions>
    </reviewItem>
    <reviewItem>
      <errorID>06d329a2-411a-453f-8ba4-056e4e47a893</errorID>
      <errorWord>（</errorWord>
      <group>L1_Format</group>
      <groupName>格式问题</groupName>
      <ability>L2_HalfPunc</ability>
      <abilityName>全半角检查</abilityName>
      <candidateList>
        <item>(</item>
      </candidateList>
      <explain>文本全半角错误。</explain>
      <paraID>4D65EB37</paraID>
      <start>1</start>
      <end>2</end>
      <status>unmodified</status>
      <modifiedWord/>
      <trackRevisions>false</trackRevisions>
    </reviewItem>
    <reviewItem>
      <errorID>9baee93c-e298-4fe5-a844-4a5c6bd75b46</errorID>
      <errorWord>）</errorWord>
      <group>L1_Format</group>
      <groupName>格式问题</groupName>
      <ability>L2_HalfPunc</ability>
      <abilityName>全半角检查</abilityName>
      <candidateList>
        <item>)</item>
      </candidateList>
      <explain>文本全半角错误。</explain>
      <paraID>4D65EB37</paraID>
      <start>6</start>
      <end>7</end>
      <status>unmodified</status>
      <modifiedWord/>
      <trackRevisions>false</trackRevisions>
    </reviewItem>
    <reviewItem>
      <errorID>e1f85598-c1cc-496a-b350-008d0ff52126</errorID>
      <errorWord>汇入至</errorWord>
      <group>L1_Word</group>
      <groupName>字词问题</groupName>
      <ability>L2_Typo</ability>
      <abilityName>字词错误</abilityName>
      <candidateList>
        <item>汇入</item>
      </candidateList>
      <explain/>
      <paraID>4063A0F9</paraID>
      <start>24</start>
      <end>27</end>
      <status>unmodified</status>
      <modifiedWord/>
      <trackRevisions>false</trackRevisions>
    </reviewItem>
    <reviewItem>
      <errorID>2c718d57-b4bc-4746-b2e6-8003a4e04ff1</errorID>
      <errorWord>（</errorWord>
      <group>L1_Format</group>
      <groupName>格式问题</groupName>
      <ability>L2_HalfPunc</ability>
      <abilityName>全半角检查</abilityName>
      <candidateList>
        <item>(</item>
      </candidateList>
      <explain>文本全半角错误。</explain>
      <paraID>51B86B4F</paraID>
      <start>1</start>
      <end>2</end>
      <status>unmodified</status>
      <modifiedWord/>
      <trackRevisions>false</trackRevisions>
    </reviewItem>
    <reviewItem>
      <errorID>282f0601-8302-42a3-bcac-e154ec0b5508</errorID>
      <errorWord>）</errorWord>
      <group>L1_Format</group>
      <groupName>格式问题</groupName>
      <ability>L2_HalfPunc</ability>
      <abilityName>全半角检查</abilityName>
      <candidateList>
        <item>)</item>
      </candidateList>
      <explain>文本全半角错误。</explain>
      <paraID>51B86B4F</paraID>
      <start>3</start>
      <end>4</end>
      <status>unmodified</status>
      <modifiedWord/>
      <trackRevisions>false</trackRevisions>
    </reviewItem>
    <reviewItem>
      <errorID>66bab72b-79bb-4184-9ed9-8f7c007c0f64</errorID>
      <errorWord>（</errorWord>
      <group>L1_Format</group>
      <groupName>格式问题</groupName>
      <ability>L2_HalfPunc</ability>
      <abilityName>全半角检查</abilityName>
      <candidateList>
        <item>(</item>
      </candidateList>
      <explain>文本全半角错误。</explain>
      <paraID>79693D7B</paraID>
      <start>1</start>
      <end>2</end>
      <status>unmodified</status>
      <modifiedWord/>
      <trackRevisions>false</trackRevisions>
    </reviewItem>
    <reviewItem>
      <errorID>a342547f-4b77-4a35-871d-baa29de7918f</errorID>
      <errorWord>）</errorWord>
      <group>L1_Format</group>
      <groupName>格式问题</groupName>
      <ability>L2_HalfPunc</ability>
      <abilityName>全半角检查</abilityName>
      <candidateList>
        <item>)</item>
      </candidateList>
      <explain>文本全半角错误。</explain>
      <paraID>79693D7B</paraID>
      <start>3</start>
      <end>4</end>
      <status>unmodified</status>
      <modifiedWord/>
      <trackRevisions>false</trackRevisions>
    </reviewItem>
    <reviewItem>
      <errorID>c3011e9a-309a-4f3d-9029-da7126046da6</errorID>
      <errorWord>（</errorWord>
      <group>L1_Format</group>
      <groupName>格式问题</groupName>
      <ability>L2_HalfPunc</ability>
      <abilityName>全半角检查</abilityName>
      <candidateList>
        <item>(</item>
      </candidateList>
      <explain>文本全半角错误。</explain>
      <paraID> 1DCEAD6</paraID>
      <start>1</start>
      <end>2</end>
      <status>unmodified</status>
      <modifiedWord/>
      <trackRevisions>false</trackRevisions>
    </reviewItem>
    <reviewItem>
      <errorID>63887077-bf80-4cd2-8f62-8fc66b23e759</errorID>
      <errorWord>）</errorWord>
      <group>L1_Format</group>
      <groupName>格式问题</groupName>
      <ability>L2_HalfPunc</ability>
      <abilityName>全半角检查</abilityName>
      <candidateList>
        <item>)</item>
      </candidateList>
      <explain>文本全半角错误。</explain>
      <paraID> 1DCEAD6</paraID>
      <start>3</start>
      <end>4</end>
      <status>unmodified</status>
      <modifiedWord/>
      <trackRevisions>false</trackRevisions>
    </reviewItem>
    <reviewItem>
      <errorID>4850bdcc-628f-4f90-b5ef-4c9f2d3e7628</errorID>
      <errorWord>（</errorWord>
      <group>L1_Format</group>
      <groupName>格式问题</groupName>
      <ability>L2_HalfPunc</ability>
      <abilityName>全半角检查</abilityName>
      <candidateList>
        <item>(</item>
      </candidateList>
      <explain>文本全半角错误。</explain>
      <paraID>2BF68B1A</paraID>
      <start>1</start>
      <end>2</end>
      <status>unmodified</status>
      <modifiedWord/>
      <trackRevisions>false</trackRevisions>
    </reviewItem>
    <reviewItem>
      <errorID>14da6045-c55b-42d7-a8a5-11416a2ad40e</errorID>
      <errorWord>）</errorWord>
      <group>L1_Format</group>
      <groupName>格式问题</groupName>
      <ability>L2_HalfPunc</ability>
      <abilityName>全半角检查</abilityName>
      <candidateList>
        <item>)</item>
      </candidateList>
      <explain>文本全半角错误。</explain>
      <paraID>2BF68B1A</paraID>
      <start>3</start>
      <end>4</end>
      <status>unmodified</status>
      <modifiedWord/>
      <trackRevisions>false</trackRevisions>
    </reviewItem>
    <reviewItem>
      <errorID>57462595-cf70-4596-b390-241097b5c777</errorID>
      <errorWord>（</errorWord>
      <group>L1_Format</group>
      <groupName>格式问题</groupName>
      <ability>L2_HalfPunc</ability>
      <abilityName>全半角检查</abilityName>
      <candidateList>
        <item>(</item>
      </candidateList>
      <explain>文本全半角错误。</explain>
      <paraID>4DF6BF1B</paraID>
      <start>1</start>
      <end>2</end>
      <status>unmodified</status>
      <modifiedWord/>
      <trackRevisions>false</trackRevisions>
    </reviewItem>
    <reviewItem>
      <errorID>e64b35fa-0d4d-4add-a531-ada4591d61fd</errorID>
      <errorWord>）</errorWord>
      <group>L1_Format</group>
      <groupName>格式问题</groupName>
      <ability>L2_HalfPunc</ability>
      <abilityName>全半角检查</abilityName>
      <candidateList>
        <item>)</item>
      </candidateList>
      <explain>文本全半角错误。</explain>
      <paraID>4DF6BF1B</paraID>
      <start>3</start>
      <end>4</end>
      <status>unmodified</status>
      <modifiedWord/>
      <trackRevisions>false</trackRevisions>
    </reviewItem>
    <reviewItem>
      <errorID>723170ac-d554-428d-804c-5c3008412e9c</errorID>
      <errorWord>（</errorWord>
      <group>L1_Format</group>
      <groupName>格式问题</groupName>
      <ability>L2_HalfPunc</ability>
      <abilityName>全半角检查</abilityName>
      <candidateList>
        <item>(</item>
      </candidateList>
      <explain>文本全半角错误。</explain>
      <paraID>720302C5</paraID>
      <start>1</start>
      <end>2</end>
      <status>unmodified</status>
      <modifiedWord/>
      <trackRevisions>false</trackRevisions>
    </reviewItem>
    <reviewItem>
      <errorID>6271e193-91e6-4910-9040-4a7f8e4e128a</errorID>
      <errorWord>）</errorWord>
      <group>L1_Format</group>
      <groupName>格式问题</groupName>
      <ability>L2_HalfPunc</ability>
      <abilityName>全半角检查</abilityName>
      <candidateList>
        <item>)</item>
      </candidateList>
      <explain>文本全半角错误。</explain>
      <paraID>720302C5</paraID>
      <start>3</start>
      <end>4</end>
      <status>unmodified</status>
      <modifiedWord/>
      <trackRevisions>false</trackRevisions>
    </reviewItem>
    <reviewItem>
      <errorID>77a1777c-8cbd-4e26-98a8-85edd1fb610d</errorID>
      <errorWord>（</errorWord>
      <group>L1_Format</group>
      <groupName>格式问题</groupName>
      <ability>L2_HalfPunc</ability>
      <abilityName>全半角检查</abilityName>
      <candidateList>
        <item>(</item>
      </candidateList>
      <explain>文本全半角错误。</explain>
      <paraID>4843166F</paraID>
      <start>1</start>
      <end>2</end>
      <status>unmodified</status>
      <modifiedWord/>
      <trackRevisions>false</trackRevisions>
    </reviewItem>
    <reviewItem>
      <errorID>89a44156-c19a-4544-bc73-682c38d33ef9</errorID>
      <errorWord>）</errorWord>
      <group>L1_Format</group>
      <groupName>格式问题</groupName>
      <ability>L2_HalfPunc</ability>
      <abilityName>全半角检查</abilityName>
      <candidateList>
        <item>)</item>
      </candidateList>
      <explain>文本全半角错误。</explain>
      <paraID>4843166F</paraID>
      <start>3</start>
      <end>4</end>
      <status>unmodified</status>
      <modifiedWord/>
      <trackRevisions>false</trackRevisions>
    </reviewItem>
    <reviewItem>
      <errorID>a60db440-bdce-4f44-8a65-893190ff884b</errorID>
      <errorWord>（</errorWord>
      <group>L1_Format</group>
      <groupName>格式问题</groupName>
      <ability>L2_HalfPunc</ability>
      <abilityName>全半角检查</abilityName>
      <candidateList>
        <item>(</item>
      </candidateList>
      <explain>文本全半角错误。</explain>
      <paraID>1E8FFE41</paraID>
      <start>1</start>
      <end>2</end>
      <status>unmodified</status>
      <modifiedWord/>
      <trackRevisions>false</trackRevisions>
    </reviewItem>
    <reviewItem>
      <errorID>08b45e2b-ba78-4efb-8e6a-b0815866b70b</errorID>
      <errorWord>）</errorWord>
      <group>L1_Format</group>
      <groupName>格式问题</groupName>
      <ability>L2_HalfPunc</ability>
      <abilityName>全半角检查</abilityName>
      <candidateList>
        <item>)</item>
      </candidateList>
      <explain>文本全半角错误。</explain>
      <paraID>1E8FFE41</paraID>
      <start>3</start>
      <end>4</end>
      <status>unmodified</status>
      <modifiedWord/>
      <trackRevisions>false</trackRevisions>
    </reviewItem>
    <reviewItem>
      <errorID>d1db2f90-6508-4eed-86c4-78276b0e9535</errorID>
      <errorWord>（</errorWord>
      <group>L1_Format</group>
      <groupName>格式问题</groupName>
      <ability>L2_HalfPunc</ability>
      <abilityName>全半角检查</abilityName>
      <candidateList>
        <item>(</item>
      </candidateList>
      <explain>文本全半角错误。</explain>
      <paraID>4FB35F6B</paraID>
      <start>1</start>
      <end>2</end>
      <status>unmodified</status>
      <modifiedWord/>
      <trackRevisions>false</trackRevisions>
    </reviewItem>
    <reviewItem>
      <errorID>c913029c-a36f-4043-ad60-74d980127708</errorID>
      <errorWord>）</errorWord>
      <group>L1_Format</group>
      <groupName>格式问题</groupName>
      <ability>L2_HalfPunc</ability>
      <abilityName>全半角检查</abilityName>
      <candidateList>
        <item>)</item>
      </candidateList>
      <explain>文本全半角错误。</explain>
      <paraID>4FB35F6B</paraID>
      <start>3</start>
      <end>4</end>
      <status>unmodified</status>
      <modifiedWord/>
      <trackRevisions>false</trackRevisions>
    </reviewItem>
    <reviewItem>
      <errorID>2f47f6eb-0313-41b9-bb86-d38e51307dea</errorID>
      <errorWord>（</errorWord>
      <group>L1_Format</group>
      <groupName>格式问题</groupName>
      <ability>L2_HalfPunc</ability>
      <abilityName>全半角检查</abilityName>
      <candidateList>
        <item>(</item>
      </candidateList>
      <explain>文本全半角错误。</explain>
      <paraID>50B1A19F</paraID>
      <start>1</start>
      <end>2</end>
      <status>unmodified</status>
      <modifiedWord/>
      <trackRevisions>false</trackRevisions>
    </reviewItem>
    <reviewItem>
      <errorID>618d7618-1a09-49b6-af92-3ccd37606cf8</errorID>
      <errorWord>）</errorWord>
      <group>L1_Format</group>
      <groupName>格式问题</groupName>
      <ability>L2_HalfPunc</ability>
      <abilityName>全半角检查</abilityName>
      <candidateList>
        <item>)</item>
      </candidateList>
      <explain>文本全半角错误。</explain>
      <paraID>50B1A19F</paraID>
      <start>3</start>
      <end>4</end>
      <status>unmodified</status>
      <modifiedWord/>
      <trackRevisions>false</trackRevisions>
    </reviewItem>
    <reviewItem>
      <errorID>938e4e56-5f19-4234-bd41-e2ece215209a</errorID>
      <errorWord>（</errorWord>
      <group>L1_Format</group>
      <groupName>格式问题</groupName>
      <ability>L2_HalfPunc</ability>
      <abilityName>全半角检查</abilityName>
      <candidateList>
        <item>(</item>
      </candidateList>
      <explain>文本全半角错误。</explain>
      <paraID>2D027D79</paraID>
      <start>1</start>
      <end>2</end>
      <status>unmodified</status>
      <modifiedWord/>
      <trackRevisions>false</trackRevisions>
    </reviewItem>
    <reviewItem>
      <errorID>676b8890-5165-44a4-8c4d-7504aeb0198f</errorID>
      <errorWord>）</errorWord>
      <group>L1_Format</group>
      <groupName>格式问题</groupName>
      <ability>L2_HalfPunc</ability>
      <abilityName>全半角检查</abilityName>
      <candidateList>
        <item>)</item>
      </candidateList>
      <explain>文本全半角错误。</explain>
      <paraID>2D027D79</paraID>
      <start>3</start>
      <end>4</end>
      <status>unmodified</status>
      <modifiedWord/>
      <trackRevisions>false</trackRevisions>
    </reviewItem>
    <reviewItem>
      <errorID>bd178a5f-f09c-4d71-a742-09422e9cc7a4</errorID>
      <errorWord>（</errorWord>
      <group>L1_Format</group>
      <groupName>格式问题</groupName>
      <ability>L2_HalfPunc</ability>
      <abilityName>全半角检查</abilityName>
      <candidateList>
        <item>(</item>
      </candidateList>
      <explain>文本全半角错误。</explain>
      <paraID>44D56811</paraID>
      <start>1</start>
      <end>2</end>
      <status>unmodified</status>
      <modifiedWord/>
      <trackRevisions>false</trackRevisions>
    </reviewItem>
    <reviewItem>
      <errorID>3f252f74-bf12-45cb-95f1-de9b1c10e352</errorID>
      <errorWord>）</errorWord>
      <group>L1_Format</group>
      <groupName>格式问题</groupName>
      <ability>L2_HalfPunc</ability>
      <abilityName>全半角检查</abilityName>
      <candidateList>
        <item>)</item>
      </candidateList>
      <explain>文本全半角错误。</explain>
      <paraID>44D56811</paraID>
      <start>3</start>
      <end>4</end>
      <status>unmodified</status>
      <modifiedWord/>
      <trackRevisions>false</trackRevisions>
    </reviewItem>
    <reviewItem>
      <errorID>ca8b8de0-a49d-489b-8623-0afe9696453b</errorID>
      <errorWord>（</errorWord>
      <group>L1_Format</group>
      <groupName>格式问题</groupName>
      <ability>L2_HalfPunc</ability>
      <abilityName>全半角检查</abilityName>
      <candidateList>
        <item>(</item>
      </candidateList>
      <explain>文本全半角错误。</explain>
      <paraID>17C4C06A</paraID>
      <start>1</start>
      <end>2</end>
      <status>unmodified</status>
      <modifiedWord/>
      <trackRevisions>false</trackRevisions>
    </reviewItem>
    <reviewItem>
      <errorID>1c07d10f-0bf1-4e32-8a72-1ff8f172c81d</errorID>
      <errorWord>）</errorWord>
      <group>L1_Format</group>
      <groupName>格式问题</groupName>
      <ability>L2_HalfPunc</ability>
      <abilityName>全半角检查</abilityName>
      <candidateList>
        <item>)</item>
      </candidateList>
      <explain>文本全半角错误。</explain>
      <paraID>17C4C06A</paraID>
      <start>3</start>
      <end>4</end>
      <status>unmodified</status>
      <modifiedWord/>
      <trackRevisions>false</trackRevisions>
    </reviewItem>
    <reviewItem>
      <errorID>b604b841-bf89-43af-9e18-128e856bf6dc</errorID>
      <errorWord>（</errorWord>
      <group>L1_Format</group>
      <groupName>格式问题</groupName>
      <ability>L2_HalfPunc</ability>
      <abilityName>全半角检查</abilityName>
      <candidateList>
        <item>(</item>
      </candidateList>
      <explain>文本全半角错误。</explain>
      <paraID>4243C482</paraID>
      <start>1</start>
      <end>2</end>
      <status>unmodified</status>
      <modifiedWord/>
      <trackRevisions>false</trackRevisions>
    </reviewItem>
    <reviewItem>
      <errorID>42da1d56-6da6-4c79-b550-8b6409dd5507</errorID>
      <errorWord>）</errorWord>
      <group>L1_Format</group>
      <groupName>格式问题</groupName>
      <ability>L2_HalfPunc</ability>
      <abilityName>全半角检查</abilityName>
      <candidateList>
        <item>)</item>
      </candidateList>
      <explain>文本全半角错误。</explain>
      <paraID>4243C482</paraID>
      <start>3</start>
      <end>4</end>
      <status>unmodified</status>
      <modifiedWord/>
      <trackRevisions>false</trackRevisions>
    </reviewItem>
    <reviewItem>
      <errorID>d38d1e1c-1904-4af4-a834-8ce0f2cff53e</errorID>
      <errorWord>（</errorWord>
      <group>L1_Format</group>
      <groupName>格式问题</groupName>
      <ability>L2_HalfPunc</ability>
      <abilityName>全半角检查</abilityName>
      <candidateList>
        <item>(</item>
      </candidateList>
      <explain>文本全半角错误。</explain>
      <paraID>2468F777</paraID>
      <start>1</start>
      <end>2</end>
      <status>unmodified</status>
      <modifiedWord/>
      <trackRevisions>false</trackRevisions>
    </reviewItem>
    <reviewItem>
      <errorID>18fcc968-57f4-4ff3-b258-435c1d1508a7</errorID>
      <errorWord>）</errorWord>
      <group>L1_Format</group>
      <groupName>格式问题</groupName>
      <ability>L2_HalfPunc</ability>
      <abilityName>全半角检查</abilityName>
      <candidateList>
        <item>)</item>
      </candidateList>
      <explain>文本全半角错误。</explain>
      <paraID>2468F777</paraID>
      <start>3</start>
      <end>4</end>
      <status>unmodified</status>
      <modifiedWord/>
      <trackRevisions>false</trackRevisions>
    </reviewItem>
    <reviewItem>
      <errorID>d6ad9580-4cc6-4e45-a404-5190fabd3156</errorID>
      <errorWord>（</errorWord>
      <group>L1_Format</group>
      <groupName>格式问题</groupName>
      <ability>L2_HalfPunc</ability>
      <abilityName>全半角检查</abilityName>
      <candidateList>
        <item>(</item>
      </candidateList>
      <explain>文本全半角错误。</explain>
      <paraID>70F202EE</paraID>
      <start>1</start>
      <end>2</end>
      <status>unmodified</status>
      <modifiedWord/>
      <trackRevisions>false</trackRevisions>
    </reviewItem>
    <reviewItem>
      <errorID>b4b41e73-cbf0-4401-a3fd-fc5dac5dda54</errorID>
      <errorWord>）</errorWord>
      <group>L1_Format</group>
      <groupName>格式问题</groupName>
      <ability>L2_HalfPunc</ability>
      <abilityName>全半角检查</abilityName>
      <candidateList>
        <item>)</item>
      </candidateList>
      <explain>文本全半角错误。</explain>
      <paraID>70F202EE</paraID>
      <start>3</start>
      <end>4</end>
      <status>unmodified</status>
      <modifiedWord/>
      <trackRevisions>false</trackRevisions>
    </reviewItem>
    <reviewItem>
      <errorID>e8c25319-2691-4763-9787-6a61e71a3173</errorID>
      <errorWord>（</errorWord>
      <group>L1_Format</group>
      <groupName>格式问题</groupName>
      <ability>L2_HalfPunc</ability>
      <abilityName>全半角检查</abilityName>
      <candidateList>
        <item>(</item>
      </candidateList>
      <explain>文本全半角错误。</explain>
      <paraID>5E64F50C</paraID>
      <start>1</start>
      <end>2</end>
      <status>unmodified</status>
      <modifiedWord/>
      <trackRevisions>false</trackRevisions>
    </reviewItem>
    <reviewItem>
      <errorID>04f11b36-6f7b-4d2e-8230-3cf1bb60cc20</errorID>
      <errorWord>）</errorWord>
      <group>L1_Format</group>
      <groupName>格式问题</groupName>
      <ability>L2_HalfPunc</ability>
      <abilityName>全半角检查</abilityName>
      <candidateList>
        <item>)</item>
      </candidateList>
      <explain>文本全半角错误。</explain>
      <paraID>5E64F50C</paraID>
      <start>3</start>
      <end>4</end>
      <status>unmodified</status>
      <modifiedWord/>
      <trackRevisions>false</trackRevisions>
    </reviewItem>
    <reviewItem>
      <errorID>902ca55f-f19c-4345-bfac-308755a5ec2c</errorID>
      <errorWord>（</errorWord>
      <group>L1_Format</group>
      <groupName>格式问题</groupName>
      <ability>L2_HalfPunc</ability>
      <abilityName>全半角检查</abilityName>
      <candidateList>
        <item>(</item>
      </candidateList>
      <explain>文本全半角错误。</explain>
      <paraID> 27B744A</paraID>
      <start>1</start>
      <end>2</end>
      <status>unmodified</status>
      <modifiedWord/>
      <trackRevisions>false</trackRevisions>
    </reviewItem>
    <reviewItem>
      <errorID>4bc46539-6e0c-4c67-a1ed-1b7867a916d4</errorID>
      <errorWord>）</errorWord>
      <group>L1_Format</group>
      <groupName>格式问题</groupName>
      <ability>L2_HalfPunc</ability>
      <abilityName>全半角检查</abilityName>
      <candidateList>
        <item>)</item>
      </candidateList>
      <explain>文本全半角错误。</explain>
      <paraID> 27B744A</paraID>
      <start>3</start>
      <end>4</end>
      <status>unmodified</status>
      <modifiedWord/>
      <trackRevisions>false</trackRevisions>
    </reviewItem>
    <reviewItem>
      <errorID>986c379e-ff4b-4509-874b-d112d02761b4</errorID>
      <errorWord>（</errorWord>
      <group>L1_Format</group>
      <groupName>格式问题</groupName>
      <ability>L2_HalfPunc</ability>
      <abilityName>全半角检查</abilityName>
      <candidateList>
        <item>(</item>
      </candidateList>
      <explain>文本全半角错误。</explain>
      <paraID>7741803E</paraID>
      <start>1</start>
      <end>2</end>
      <status>unmodified</status>
      <modifiedWord/>
      <trackRevisions>false</trackRevisions>
    </reviewItem>
    <reviewItem>
      <errorID>56dc436e-4179-4d7f-9706-23f49c7f718d</errorID>
      <errorWord>）</errorWord>
      <group>L1_Format</group>
      <groupName>格式问题</groupName>
      <ability>L2_HalfPunc</ability>
      <abilityName>全半角检查</abilityName>
      <candidateList>
        <item>)</item>
      </candidateList>
      <explain>文本全半角错误。</explain>
      <paraID>7741803E</paraID>
      <start>3</start>
      <end>4</end>
      <status>unmodified</status>
      <modifiedWord/>
      <trackRevisions>false</trackRevisions>
    </reviewItem>
    <reviewItem>
      <errorID>daa002de-d58b-42ea-a4a6-a4a4267eae8e</errorID>
      <errorWord>（</errorWord>
      <group>L1_Format</group>
      <groupName>格式问题</groupName>
      <ability>L2_HalfPunc</ability>
      <abilityName>全半角检查</abilityName>
      <candidateList>
        <item>(</item>
      </candidateList>
      <explain>文本全半角错误。</explain>
      <paraID>730BD817</paraID>
      <start>1</start>
      <end>2</end>
      <status>unmodified</status>
      <modifiedWord/>
      <trackRevisions>false</trackRevisions>
    </reviewItem>
    <reviewItem>
      <errorID>c30f50df-75de-456d-8b54-4f7b3d250c2f</errorID>
      <errorWord>）</errorWord>
      <group>L1_Format</group>
      <groupName>格式问题</groupName>
      <ability>L2_HalfPunc</ability>
      <abilityName>全半角检查</abilityName>
      <candidateList>
        <item>)</item>
      </candidateList>
      <explain>文本全半角错误。</explain>
      <paraID>730BD817</paraID>
      <start>3</start>
      <end>4</end>
      <status>unmodified</status>
      <modifiedWord/>
      <trackRevisions>false</trackRevisions>
    </reviewItem>
    <reviewItem>
      <errorID>d914f890-13dd-4be8-a066-40b78ede00a5</errorID>
      <errorWord>（</errorWord>
      <group>L1_Format</group>
      <groupName>格式问题</groupName>
      <ability>L2_HalfPunc</ability>
      <abilityName>全半角检查</abilityName>
      <candidateList>
        <item>(</item>
      </candidateList>
      <explain>文本全半角错误。</explain>
      <paraID>6C424D72</paraID>
      <start>1</start>
      <end>2</end>
      <status>unmodified</status>
      <modifiedWord/>
      <trackRevisions>false</trackRevisions>
    </reviewItem>
    <reviewItem>
      <errorID>4d85831f-773a-4b1d-b2c6-fc1efa98d746</errorID>
      <errorWord>）</errorWord>
      <group>L1_Format</group>
      <groupName>格式问题</groupName>
      <ability>L2_HalfPunc</ability>
      <abilityName>全半角检查</abilityName>
      <candidateList>
        <item>)</item>
      </candidateList>
      <explain>文本全半角错误。</explain>
      <paraID>6C424D72</paraID>
      <start>3</start>
      <end>4</end>
      <status>unmodified</status>
      <modifiedWord/>
      <trackRevisions>false</trackRevisions>
    </reviewItem>
    <reviewItem>
      <errorID>18e555fa-4f8c-4ee0-81ef-7cb3be19102f</errorID>
      <errorWord>（</errorWord>
      <group>L1_Format</group>
      <groupName>格式问题</groupName>
      <ability>L2_HalfPunc</ability>
      <abilityName>全半角检查</abilityName>
      <candidateList>
        <item>(</item>
      </candidateList>
      <explain>文本全半角错误。</explain>
      <paraID> 579411C</paraID>
      <start>1</start>
      <end>2</end>
      <status>unmodified</status>
      <modifiedWord/>
      <trackRevisions>false</trackRevisions>
    </reviewItem>
    <reviewItem>
      <errorID>54bddc50-4059-45f6-9c6a-f7f6ea549a4f</errorID>
      <errorWord>）</errorWord>
      <group>L1_Format</group>
      <groupName>格式问题</groupName>
      <ability>L2_HalfPunc</ability>
      <abilityName>全半角检查</abilityName>
      <candidateList>
        <item>)</item>
      </candidateList>
      <explain>文本全半角错误。</explain>
      <paraID> 579411C</paraID>
      <start>3</start>
      <end>4</end>
      <status>unmodified</status>
      <modifiedWord/>
      <trackRevisions>false</trackRevisions>
    </reviewItem>
    <reviewItem>
      <errorID>44113b34-25af-40ec-a4e1-02118040ac64</errorID>
      <errorWord>（</errorWord>
      <group>L1_Format</group>
      <groupName>格式问题</groupName>
      <ability>L2_HalfPunc</ability>
      <abilityName>全半角检查</abilityName>
      <candidateList>
        <item>(</item>
      </candidateList>
      <explain>文本全半角错误。</explain>
      <paraID> 55F4C5E</paraID>
      <start>1</start>
      <end>2</end>
      <status>unmodified</status>
      <modifiedWord/>
      <trackRevisions>false</trackRevisions>
    </reviewItem>
    <reviewItem>
      <errorID>8708c9ec-3541-48d1-bead-e9b9f5a155ed</errorID>
      <errorWord>）</errorWord>
      <group>L1_Format</group>
      <groupName>格式问题</groupName>
      <ability>L2_HalfPunc</ability>
      <abilityName>全半角检查</abilityName>
      <candidateList>
        <item>)</item>
      </candidateList>
      <explain>文本全半角错误。</explain>
      <paraID> 55F4C5E</paraID>
      <start>3</start>
      <end>4</end>
      <status>unmodified</status>
      <modifiedWord/>
      <trackRevisions>false</trackRevisions>
    </reviewItem>
    <reviewItem>
      <errorID>484671cc-c623-496c-9e9a-d7256eacf0b8</errorID>
      <errorWord>（</errorWord>
      <group>L1_Format</group>
      <groupName>格式问题</groupName>
      <ability>L2_HalfPunc</ability>
      <abilityName>全半角检查</abilityName>
      <candidateList>
        <item>(</item>
      </candidateList>
      <explain>文本全半角错误。</explain>
      <paraID>1278CDC5</paraID>
      <start>1</start>
      <end>2</end>
      <status>unmodified</status>
      <modifiedWord/>
      <trackRevisions>false</trackRevisions>
    </reviewItem>
    <reviewItem>
      <errorID>78df1b48-f8dd-4b8d-96f9-228699191bea</errorID>
      <errorWord>）</errorWord>
      <group>L1_Format</group>
      <groupName>格式问题</groupName>
      <ability>L2_HalfPunc</ability>
      <abilityName>全半角检查</abilityName>
      <candidateList>
        <item>)</item>
      </candidateList>
      <explain>文本全半角错误。</explain>
      <paraID>1278CDC5</paraID>
      <start>3</start>
      <end>4</end>
      <status>unmodified</status>
      <modifiedWord/>
      <trackRevisions>false</trackRevisions>
    </reviewItem>
    <reviewItem>
      <errorID>6d029f45-9eaf-495c-ba30-be24e7a248c3</errorID>
      <errorWord>（</errorWord>
      <group>L1_Format</group>
      <groupName>格式问题</groupName>
      <ability>L2_HalfPunc</ability>
      <abilityName>全半角检查</abilityName>
      <candidateList>
        <item>(</item>
      </candidateList>
      <explain>文本全半角错误。</explain>
      <paraID>18AC104F</paraID>
      <start>1</start>
      <end>2</end>
      <status>unmodified</status>
      <modifiedWord/>
      <trackRevisions>false</trackRevisions>
    </reviewItem>
    <reviewItem>
      <errorID>4bd76d62-aa6d-434c-8d58-04bc3cbfc1f4</errorID>
      <errorWord>）</errorWord>
      <group>L1_Format</group>
      <groupName>格式问题</groupName>
      <ability>L2_HalfPunc</ability>
      <abilityName>全半角检查</abilityName>
      <candidateList>
        <item>)</item>
      </candidateList>
      <explain>文本全半角错误。</explain>
      <paraID>18AC104F</paraID>
      <start>3</start>
      <end>4</end>
      <status>unmodified</status>
      <modifiedWord/>
      <trackRevisions>false</trackRevisions>
    </reviewItem>
    <reviewItem>
      <errorID>a617615b-147e-43a0-8c21-e171b347e5d7</errorID>
      <errorWord>（</errorWord>
      <group>L1_Format</group>
      <groupName>格式问题</groupName>
      <ability>L2_HalfPunc</ability>
      <abilityName>全半角检查</abilityName>
      <candidateList>
        <item>(</item>
      </candidateList>
      <explain>文本全半角错误。</explain>
      <paraID>380FB4F7</paraID>
      <start>1</start>
      <end>2</end>
      <status>unmodified</status>
      <modifiedWord/>
      <trackRevisions>false</trackRevisions>
    </reviewItem>
    <reviewItem>
      <errorID>b777eeb2-f8ba-433f-a334-47f602eca342</errorID>
      <errorWord>）</errorWord>
      <group>L1_Format</group>
      <groupName>格式问题</groupName>
      <ability>L2_HalfPunc</ability>
      <abilityName>全半角检查</abilityName>
      <candidateList>
        <item>)</item>
      </candidateList>
      <explain>文本全半角错误。</explain>
      <paraID>380FB4F7</paraID>
      <start>3</start>
      <end>4</end>
      <status>unmodified</status>
      <modifiedWord/>
      <trackRevisions>false</trackRevisions>
    </reviewItem>
    <reviewItem>
      <errorID>7484c6ff-ef45-4fd9-aa72-fa41c1529da3</errorID>
      <errorWord>（</errorWord>
      <group>L1_Format</group>
      <groupName>格式问题</groupName>
      <ability>L2_HalfPunc</ability>
      <abilityName>全半角检查</abilityName>
      <candidateList>
        <item>(</item>
      </candidateList>
      <explain>文本全半角错误。</explain>
      <paraID>24E44D61</paraID>
      <start>1</start>
      <end>2</end>
      <status>unmodified</status>
      <modifiedWord/>
      <trackRevisions>false</trackRevisions>
    </reviewItem>
    <reviewItem>
      <errorID>d6ce3a96-a52c-4287-8dda-d1853d058e1e</errorID>
      <errorWord>）</errorWord>
      <group>L1_Format</group>
      <groupName>格式问题</groupName>
      <ability>L2_HalfPunc</ability>
      <abilityName>全半角检查</abilityName>
      <candidateList>
        <item>)</item>
      </candidateList>
      <explain>文本全半角错误。</explain>
      <paraID>24E44D61</paraID>
      <start>3</start>
      <end>4</end>
      <status>unmodified</status>
      <modifiedWord/>
      <trackRevisions>false</trackRevisions>
    </reviewItem>
    <reviewItem>
      <errorID>ffa8cbe3-9eba-4fd6-9a64-3c7ccb41d3ec</errorID>
      <errorWord>（</errorWord>
      <group>L1_Format</group>
      <groupName>格式问题</groupName>
      <ability>L2_HalfPunc</ability>
      <abilityName>全半角检查</abilityName>
      <candidateList>
        <item>(</item>
      </candidateList>
      <explain>文本全半角错误。</explain>
      <paraID>26C9A865</paraID>
      <start>1</start>
      <end>2</end>
      <status>unmodified</status>
      <modifiedWord/>
      <trackRevisions>false</trackRevisions>
    </reviewItem>
    <reviewItem>
      <errorID>20595a6f-d7ff-43f2-a068-2028cb75f13f</errorID>
      <errorWord>）</errorWord>
      <group>L1_Format</group>
      <groupName>格式问题</groupName>
      <ability>L2_HalfPunc</ability>
      <abilityName>全半角检查</abilityName>
      <candidateList>
        <item>)</item>
      </candidateList>
      <explain>文本全半角错误。</explain>
      <paraID>26C9A865</paraID>
      <start>3</start>
      <end>4</end>
      <status>unmodified</status>
      <modifiedWord/>
      <trackRevisions>false</trackRevisions>
    </reviewItem>
    <reviewItem>
      <errorID>782ad8ee-1a6f-496a-9b92-eb43f418d719</errorID>
      <errorWord>（</errorWord>
      <group>L1_Format</group>
      <groupName>格式问题</groupName>
      <ability>L2_HalfPunc</ability>
      <abilityName>全半角检查</abilityName>
      <candidateList>
        <item>(</item>
      </candidateList>
      <explain>文本全半角错误。</explain>
      <paraID>5AAD8A13</paraID>
      <start>1</start>
      <end>2</end>
      <status>unmodified</status>
      <modifiedWord/>
      <trackRevisions>false</trackRevisions>
    </reviewItem>
    <reviewItem>
      <errorID>6e68370b-f22f-46d8-b97d-39c843a5fbca</errorID>
      <errorWord>）</errorWord>
      <group>L1_Format</group>
      <groupName>格式问题</groupName>
      <ability>L2_HalfPunc</ability>
      <abilityName>全半角检查</abilityName>
      <candidateList>
        <item>)</item>
      </candidateList>
      <explain>文本全半角错误。</explain>
      <paraID>5AAD8A13</paraID>
      <start>3</start>
      <end>4</end>
      <status>unmodified</status>
      <modifiedWord/>
      <trackRevisions>false</trackRevisions>
    </reviewItem>
    <reviewItem>
      <errorID>03e1e9f0-7bfa-43d5-9e13-c4d54e36dcf6</errorID>
      <errorWord>（</errorWord>
      <group>L1_Format</group>
      <groupName>格式问题</groupName>
      <ability>L2_HalfPunc</ability>
      <abilityName>全半角检查</abilityName>
      <candidateList>
        <item>(</item>
      </candidateList>
      <explain>文本全半角错误。</explain>
      <paraID>4EC7D4E4</paraID>
      <start>1</start>
      <end>2</end>
      <status>unmodified</status>
      <modifiedWord/>
      <trackRevisions>false</trackRevisions>
    </reviewItem>
    <reviewItem>
      <errorID>477ee4b0-79f4-413c-bcba-bbbc8e64aaa4</errorID>
      <errorWord>）</errorWord>
      <group>L1_Format</group>
      <groupName>格式问题</groupName>
      <ability>L2_HalfPunc</ability>
      <abilityName>全半角检查</abilityName>
      <candidateList>
        <item>)</item>
      </candidateList>
      <explain>文本全半角错误。</explain>
      <paraID>4EC7D4E4</paraID>
      <start>3</start>
      <end>4</end>
      <status>unmodified</status>
      <modifiedWord/>
      <trackRevisions>false</trackRevisions>
    </reviewItem>
    <reviewItem>
      <errorID>336a387d-a624-4e90-b78c-891b864100cf</errorID>
      <errorWord>（</errorWord>
      <group>L1_Format</group>
      <groupName>格式问题</groupName>
      <ability>L2_HalfPunc</ability>
      <abilityName>全半角检查</abilityName>
      <candidateList>
        <item>(</item>
      </candidateList>
      <explain>文本全半角错误。</explain>
      <paraID>69CACFA2</paraID>
      <start>1</start>
      <end>2</end>
      <status>unmodified</status>
      <modifiedWord/>
      <trackRevisions>false</trackRevisions>
    </reviewItem>
    <reviewItem>
      <errorID>88848590-8b40-40b4-b34c-dec9b7582f26</errorID>
      <errorWord>）</errorWord>
      <group>L1_Format</group>
      <groupName>格式问题</groupName>
      <ability>L2_HalfPunc</ability>
      <abilityName>全半角检查</abilityName>
      <candidateList>
        <item>)</item>
      </candidateList>
      <explain>文本全半角错误。</explain>
      <paraID>69CACFA2</paraID>
      <start>3</start>
      <end>4</end>
      <status>unmodified</status>
      <modifiedWord/>
      <trackRevisions>false</trackRevisions>
    </reviewItem>
    <reviewItem>
      <errorID>0bccd287-ba12-4d85-9974-df43b3ba571e</errorID>
      <errorWord>（</errorWord>
      <group>L1_Format</group>
      <groupName>格式问题</groupName>
      <ability>L2_HalfPunc</ability>
      <abilityName>全半角检查</abilityName>
      <candidateList>
        <item>(</item>
      </candidateList>
      <explain>文本全半角错误。</explain>
      <paraID>3B1A1DD2</paraID>
      <start>1</start>
      <end>2</end>
      <status>unmodified</status>
      <modifiedWord/>
      <trackRevisions>false</trackRevisions>
    </reviewItem>
    <reviewItem>
      <errorID>d0b22a08-0925-4a9f-9693-d885c39ae3b7</errorID>
      <errorWord>）</errorWord>
      <group>L1_Format</group>
      <groupName>格式问题</groupName>
      <ability>L2_HalfPunc</ability>
      <abilityName>全半角检查</abilityName>
      <candidateList>
        <item>)</item>
      </candidateList>
      <explain>文本全半角错误。</explain>
      <paraID>3B1A1DD2</paraID>
      <start>3</start>
      <end>4</end>
      <status>unmodified</status>
      <modifiedWord/>
      <trackRevisions>false</trackRevisions>
    </reviewItem>
    <reviewItem>
      <errorID>66e9cdd8-e866-4733-b353-de25880ab99e</errorID>
      <errorWord>见</errorWord>
      <group>L1_Word</group>
      <groupName>字词问题</groupName>
      <ability>L2_Typo</ability>
      <abilityName>字词错误</abilityName>
      <candidateList>
        <item>见下</item>
      </candidateList>
      <explain/>
      <paraID> 5F9EB3B</paraID>
      <start>187</start>
      <end>189</end>
      <status>modified</status>
      <modifiedWord>见下</modifiedWord>
      <trackRevisions>false</trackRevisions>
    </reviewItem>
    <reviewItem>
      <errorID>d1edbe4e-016b-4ad5-a95b-2fbabb133174</errorID>
      <errorWord>（</errorWord>
      <group>L1_Format</group>
      <groupName>格式问题</groupName>
      <ability>L2_HalfPunc</ability>
      <abilityName>全半角检查</abilityName>
      <candidateList>
        <item>(</item>
      </candidateList>
      <explain>文本全半角错误。</explain>
      <paraID>5C6E33F9</paraID>
      <start>1</start>
      <end>2</end>
      <status>unmodified</status>
      <modifiedWord/>
      <trackRevisions>false</trackRevisions>
    </reviewItem>
    <reviewItem>
      <errorID>77642695-6b6f-47de-9c88-aa683fe2022a</errorID>
      <errorWord>）</errorWord>
      <group>L1_Format</group>
      <groupName>格式问题</groupName>
      <ability>L2_HalfPunc</ability>
      <abilityName>全半角检查</abilityName>
      <candidateList>
        <item>)</item>
      </candidateList>
      <explain>文本全半角错误。</explain>
      <paraID>5C6E33F9</paraID>
      <start>3</start>
      <end>4</end>
      <status>unmodified</status>
      <modifiedWord/>
      <trackRevisions>false</trackRevisions>
    </reviewItem>
    <reviewItem>
      <errorID>5178e511-f151-46a3-8055-3f2c917747d2</errorID>
      <errorWord>（</errorWord>
      <group>L1_Format</group>
      <groupName>格式问题</groupName>
      <ability>L2_HalfPunc</ability>
      <abilityName>全半角检查</abilityName>
      <candidateList>
        <item>(</item>
      </candidateList>
      <explain>文本全半角错误。</explain>
      <paraID>53FEEE24</paraID>
      <start>1</start>
      <end>2</end>
      <status>unmodified</status>
      <modifiedWord/>
      <trackRevisions>false</trackRevisions>
    </reviewItem>
    <reviewItem>
      <errorID>f790742e-f1aa-4dd7-914c-8f55f8ed3502</errorID>
      <errorWord>）</errorWord>
      <group>L1_Format</group>
      <groupName>格式问题</groupName>
      <ability>L2_HalfPunc</ability>
      <abilityName>全半角检查</abilityName>
      <candidateList>
        <item>)</item>
      </candidateList>
      <explain>文本全半角错误。</explain>
      <paraID>53FEEE24</paraID>
      <start>3</start>
      <end>4</end>
      <status>unmodified</status>
      <modifiedWord/>
      <trackRevisions>false</trackRevisions>
    </reviewItem>
    <reviewItem>
      <errorID>f26a08f5-b302-4617-8914-3bc9e06a5ede</errorID>
      <errorWord>（</errorWord>
      <group>L1_Format</group>
      <groupName>格式问题</groupName>
      <ability>L2_HalfPunc</ability>
      <abilityName>全半角检查</abilityName>
      <candidateList>
        <item>(</item>
      </candidateList>
      <explain>文本全半角错误。</explain>
      <paraID>1AD15A65</paraID>
      <start>1</start>
      <end>2</end>
      <status>unmodified</status>
      <modifiedWord/>
      <trackRevisions>false</trackRevisions>
    </reviewItem>
    <reviewItem>
      <errorID>7fb2c89f-a5a5-48e6-8c3a-1a6914fb7670</errorID>
      <errorWord>）</errorWord>
      <group>L1_Format</group>
      <groupName>格式问题</groupName>
      <ability>L2_HalfPunc</ability>
      <abilityName>全半角检查</abilityName>
      <candidateList>
        <item>)</item>
      </candidateList>
      <explain>文本全半角错误。</explain>
      <paraID>1AD15A65</paraID>
      <start>5</start>
      <end>6</end>
      <status>unmodified</status>
      <modifiedWord/>
      <trackRevisions>false</trackRevisions>
    </reviewItem>
    <reviewItem>
      <errorID>5dbc200f-1cac-48b3-b95d-3bc0873ab657</errorID>
      <errorWord>（</errorWord>
      <group>L1_Format</group>
      <groupName>格式问题</groupName>
      <ability>L2_HalfPunc</ability>
      <abilityName>全半角检查</abilityName>
      <candidateList>
        <item>(</item>
      </candidateList>
      <explain>文本全半角错误。</explain>
      <paraID>345C523C</paraID>
      <start>1</start>
      <end>2</end>
      <status>unmodified</status>
      <modifiedWord/>
      <trackRevisions>false</trackRevisions>
    </reviewItem>
    <reviewItem>
      <errorID>3645a0d7-3864-428f-9af3-09c0323c99d0</errorID>
      <errorWord>）</errorWord>
      <group>L1_Format</group>
      <groupName>格式问题</groupName>
      <ability>L2_HalfPunc</ability>
      <abilityName>全半角检查</abilityName>
      <candidateList>
        <item>)</item>
      </candidateList>
      <explain>文本全半角错误。</explain>
      <paraID>345C523C</paraID>
      <start>5</start>
      <end>6</end>
      <status>unmodified</status>
      <modifiedWord/>
      <trackRevisions>false</trackRevisions>
    </reviewItem>
    <reviewItem>
      <errorID>a64ed11f-8cfa-4b3f-9420-6d80c45e2e1d</errorID>
      <errorWord>（</errorWord>
      <group>L1_Format</group>
      <groupName>格式问题</groupName>
      <ability>L2_HalfPunc</ability>
      <abilityName>全半角检查</abilityName>
      <candidateList>
        <item>(</item>
      </candidateList>
      <explain>文本全半角错误。</explain>
      <paraID>66C483BC</paraID>
      <start>2</start>
      <end>3</end>
      <status>unmodified</status>
      <modifiedWord/>
      <trackRevisions>false</trackRevisions>
    </reviewItem>
    <reviewItem>
      <errorID>bd014f3a-f7fa-4fd3-9959-57c55a84fcfc</errorID>
      <errorWord>）</errorWord>
      <group>L1_Format</group>
      <groupName>格式问题</groupName>
      <ability>L2_HalfPunc</ability>
      <abilityName>全半角检查</abilityName>
      <candidateList>
        <item>)</item>
      </candidateList>
      <explain>文本全半角错误。</explain>
      <paraID>66C483BC</paraID>
      <start>7</start>
      <end>8</end>
      <status>unmodified</status>
      <modifiedWord/>
      <trackRevisions>false</trackRevisions>
    </reviewItem>
    <reviewItem>
      <errorID>6b9f04a4-ad23-489d-81d0-587a8a612b63</errorID>
      <errorWord>（</errorWord>
      <group>L1_Format</group>
      <groupName>格式问题</groupName>
      <ability>L2_HalfPunc</ability>
      <abilityName>全半角检查</abilityName>
      <candidateList>
        <item>(</item>
      </candidateList>
      <explain>文本全半角错误。</explain>
      <paraID> 13C169E</paraID>
      <start>1</start>
      <end>2</end>
      <status>unmodified</status>
      <modifiedWord/>
      <trackRevisions>false</trackRevisions>
    </reviewItem>
    <reviewItem>
      <errorID>8c5d29a1-971e-4431-92f2-90236b03082c</errorID>
      <errorWord>）</errorWord>
      <group>L1_Format</group>
      <groupName>格式问题</groupName>
      <ability>L2_HalfPunc</ability>
      <abilityName>全半角检查</abilityName>
      <candidateList>
        <item>)</item>
      </candidateList>
      <explain>文本全半角错误。</explain>
      <paraID> 13C169E</paraID>
      <start>6</start>
      <end>7</end>
      <status>unmodified</status>
      <modifiedWord/>
      <trackRevisions>false</trackRevisions>
    </reviewItem>
    <reviewItem>
      <errorID>79aada4a-f154-47bf-bd1c-bb71b28661a5</errorID>
      <errorWord>（</errorWord>
      <group>L1_Format</group>
      <groupName>格式问题</groupName>
      <ability>L2_HalfPunc</ability>
      <abilityName>全半角检查</abilityName>
      <candidateList>
        <item>(</item>
      </candidateList>
      <explain>文本全半角错误。</explain>
      <paraID> 9872DF4</paraID>
      <start>1</start>
      <end>2</end>
      <status>unmodified</status>
      <modifiedWord/>
      <trackRevisions>false</trackRevisions>
    </reviewItem>
    <reviewItem>
      <errorID>7eb545f2-9e50-4e6e-bb2b-18c3aeab113e</errorID>
      <errorWord>）</errorWord>
      <group>L1_Format</group>
      <groupName>格式问题</groupName>
      <ability>L2_HalfPunc</ability>
      <abilityName>全半角检查</abilityName>
      <candidateList>
        <item>)</item>
      </candidateList>
      <explain>文本全半角错误。</explain>
      <paraID> 9872DF4</paraID>
      <start>3</start>
      <end>4</end>
      <status>unmodified</status>
      <modifiedWord/>
      <trackRevisions>false</trackRevisions>
    </reviewItem>
    <reviewItem>
      <errorID>3d110c5d-259a-4675-9781-6b6a86bb03df</errorID>
      <errorWord>（</errorWord>
      <group>L1_Format</group>
      <groupName>格式问题</groupName>
      <ability>L2_HalfPunc</ability>
      <abilityName>全半角检查</abilityName>
      <candidateList>
        <item>(</item>
      </candidateList>
      <explain>文本全半角错误。</explain>
      <paraID>65F8E727</paraID>
      <start>1</start>
      <end>2</end>
      <status>unmodified</status>
      <modifiedWord/>
      <trackRevisions>false</trackRevisions>
    </reviewItem>
    <reviewItem>
      <errorID>fcf49023-edda-49a4-8fd7-23358ee2d9ca</errorID>
      <errorWord>）</errorWord>
      <group>L1_Format</group>
      <groupName>格式问题</groupName>
      <ability>L2_HalfPunc</ability>
      <abilityName>全半角检查</abilityName>
      <candidateList>
        <item>)</item>
      </candidateList>
      <explain>文本全半角错误。</explain>
      <paraID>65F8E727</paraID>
      <start>3</start>
      <end>4</end>
      <status>unmodified</status>
      <modifiedWord/>
      <trackRevisions>false</trackRevisions>
    </reviewItem>
    <reviewItem>
      <errorID>8e494854-61d5-4b66-8a2b-9016cbecab77</errorID>
      <errorWord>（</errorWord>
      <group>L1_Format</group>
      <groupName>格式问题</groupName>
      <ability>L2_HalfPunc</ability>
      <abilityName>全半角检查</abilityName>
      <candidateList>
        <item>(</item>
      </candidateList>
      <explain>文本全半角错误。</explain>
      <paraID>5629CB88</paraID>
      <start>1</start>
      <end>2</end>
      <status>unmodified</status>
      <modifiedWord/>
      <trackRevisions>false</trackRevisions>
    </reviewItem>
    <reviewItem>
      <errorID>db055aa1-28e9-4574-af08-4b6e8904c04f</errorID>
      <errorWord>）</errorWord>
      <group>L1_Format</group>
      <groupName>格式问题</groupName>
      <ability>L2_HalfPunc</ability>
      <abilityName>全半角检查</abilityName>
      <candidateList>
        <item>)</item>
      </candidateList>
      <explain>文本全半角错误。</explain>
      <paraID>5629CB88</paraID>
      <start>5</start>
      <end>6</end>
      <status>unmodified</status>
      <modifiedWord/>
      <trackRevisions>false</trackRevisions>
    </reviewItem>
    <reviewItem>
      <errorID>b660868b-d77a-404e-a2ee-0ad12a9ff5fe</errorID>
      <errorWord>（</errorWord>
      <group>L1_Format</group>
      <groupName>格式问题</groupName>
      <ability>L2_HalfPunc</ability>
      <abilityName>全半角检查</abilityName>
      <candidateList>
        <item>(</item>
      </candidateList>
      <explain>文本全半角错误。</explain>
      <paraID>57317A19</paraID>
      <start>1</start>
      <end>2</end>
      <status>unmodified</status>
      <modifiedWord/>
      <trackRevisions>false</trackRevisions>
    </reviewItem>
    <reviewItem>
      <errorID>ebb9e48e-5625-4e67-aa67-502a651b4305</errorID>
      <errorWord>）</errorWord>
      <group>L1_Format</group>
      <groupName>格式问题</groupName>
      <ability>L2_HalfPunc</ability>
      <abilityName>全半角检查</abilityName>
      <candidateList>
        <item>)</item>
      </candidateList>
      <explain>文本全半角错误。</explain>
      <paraID>57317A19</paraID>
      <start>5</start>
      <end>6</end>
      <status>unmodified</status>
      <modifiedWord/>
      <trackRevisions>false</trackRevisions>
    </reviewItem>
    <reviewItem>
      <errorID>081abf45-b22d-426b-8623-3d24e257c539</errorID>
      <errorWord>（</errorWord>
      <group>L1_Format</group>
      <groupName>格式问题</groupName>
      <ability>L2_HalfPunc</ability>
      <abilityName>全半角检查</abilityName>
      <candidateList>
        <item>(</item>
      </candidateList>
      <explain>文本全半角错误。</explain>
      <paraID>19DE109E</paraID>
      <start>2</start>
      <end>3</end>
      <status>unmodified</status>
      <modifiedWord/>
      <trackRevisions>false</trackRevisions>
    </reviewItem>
    <reviewItem>
      <errorID>71975da5-2b85-451b-b2c3-63eeecd8e4e4</errorID>
      <errorWord>）</errorWord>
      <group>L1_Format</group>
      <groupName>格式问题</groupName>
      <ability>L2_HalfPunc</ability>
      <abilityName>全半角检查</abilityName>
      <candidateList>
        <item>)</item>
      </candidateList>
      <explain>文本全半角错误。</explain>
      <paraID>19DE109E</paraID>
      <start>7</start>
      <end>8</end>
      <status>unmodified</status>
      <modifiedWord/>
      <trackRevisions>false</trackRevisions>
    </reviewItem>
    <reviewItem>
      <errorID>7beeb522-323c-496a-afb0-27eeedcb52dd</errorID>
      <errorWord>（</errorWord>
      <group>L1_Format</group>
      <groupName>格式问题</groupName>
      <ability>L2_HalfPunc</ability>
      <abilityName>全半角检查</abilityName>
      <candidateList>
        <item>(</item>
      </candidateList>
      <explain>文本全半角错误。</explain>
      <paraID>45DF99C0</paraID>
      <start>1</start>
      <end>2</end>
      <status>unmodified</status>
      <modifiedWord/>
      <trackRevisions>false</trackRevisions>
    </reviewItem>
    <reviewItem>
      <errorID>6ef08511-7eeb-44d7-b053-332569feeed7</errorID>
      <errorWord>）</errorWord>
      <group>L1_Format</group>
      <groupName>格式问题</groupName>
      <ability>L2_HalfPunc</ability>
      <abilityName>全半角检查</abilityName>
      <candidateList>
        <item>)</item>
      </candidateList>
      <explain>文本全半角错误。</explain>
      <paraID>45DF99C0</paraID>
      <start>6</start>
      <end>7</end>
      <status>unmodified</status>
      <modifiedWord/>
      <trackRevisions>false</trackRevisions>
    </reviewItem>
    <reviewItem>
      <errorID>9841bde4-1bfe-4a2a-af19-17846d7266a3</errorID>
      <errorWord>（</errorWord>
      <group>L1_Format</group>
      <groupName>格式问题</groupName>
      <ability>L2_HalfPunc</ability>
      <abilityName>全半角检查</abilityName>
      <candidateList>
        <item>(</item>
      </candidateList>
      <explain>文本全半角错误。</explain>
      <paraID>17F2E952</paraID>
      <start>1</start>
      <end>2</end>
      <status>unmodified</status>
      <modifiedWord/>
      <trackRevisions>false</trackRevisions>
    </reviewItem>
    <reviewItem>
      <errorID>bd2c099c-1525-4eab-b467-256847c14a80</errorID>
      <errorWord>）</errorWord>
      <group>L1_Format</group>
      <groupName>格式问题</groupName>
      <ability>L2_HalfPunc</ability>
      <abilityName>全半角检查</abilityName>
      <candidateList>
        <item>)</item>
      </candidateList>
      <explain>文本全半角错误。</explain>
      <paraID>17F2E952</paraID>
      <start>3</start>
      <end>4</end>
      <status>unmodified</status>
      <modifiedWord/>
      <trackRevisions>false</trackRevisions>
    </reviewItem>
    <reviewItem>
      <errorID>d610ad9c-7c37-4981-8d19-7b85b4f7ed86</errorID>
      <errorWord>（</errorWord>
      <group>L1_Format</group>
      <groupName>格式问题</groupName>
      <ability>L2_HalfPunc</ability>
      <abilityName>全半角检查</abilityName>
      <candidateList>
        <item>(</item>
      </candidateList>
      <explain>文本全半角错误。</explain>
      <paraID>6AEDFA5B</paraID>
      <start>1</start>
      <end>2</end>
      <status>unmodified</status>
      <modifiedWord/>
      <trackRevisions>false</trackRevisions>
    </reviewItem>
    <reviewItem>
      <errorID>292031f2-13c7-45fd-9349-4cd495348a6a</errorID>
      <errorWord>）</errorWord>
      <group>L1_Format</group>
      <groupName>格式问题</groupName>
      <ability>L2_HalfPunc</ability>
      <abilityName>全半角检查</abilityName>
      <candidateList>
        <item>)</item>
      </candidateList>
      <explain>文本全半角错误。</explain>
      <paraID>6AEDFA5B</paraID>
      <start>3</start>
      <end>4</end>
      <status>unmodified</status>
      <modifiedWord/>
      <trackRevisions>false</trackRevisions>
    </reviewItem>
    <reviewItem>
      <errorID>e64eef20-5247-4464-8678-3cf36552d2e9</errorID>
      <errorWord>（</errorWord>
      <group>L1_Format</group>
      <groupName>格式问题</groupName>
      <ability>L2_HalfPunc</ability>
      <abilityName>全半角检查</abilityName>
      <candidateList>
        <item>(</item>
      </candidateList>
      <explain>文本全半角错误。</explain>
      <paraID>40EC0404</paraID>
      <start>1</start>
      <end>2</end>
      <status>unmodified</status>
      <modifiedWord/>
      <trackRevisions>false</trackRevisions>
    </reviewItem>
    <reviewItem>
      <errorID>e61d29ab-5b2a-4e12-b9ef-0dc0ad02c65a</errorID>
      <errorWord>）</errorWord>
      <group>L1_Format</group>
      <groupName>格式问题</groupName>
      <ability>L2_HalfPunc</ability>
      <abilityName>全半角检查</abilityName>
      <candidateList>
        <item>)</item>
      </candidateList>
      <explain>文本全半角错误。</explain>
      <paraID>40EC0404</paraID>
      <start>5</start>
      <end>6</end>
      <status>unmodified</status>
      <modifiedWord/>
      <trackRevisions>false</trackRevisions>
    </reviewItem>
    <reviewItem>
      <errorID>29a6e5cc-1d74-4f62-ad7f-c24380405e5c</errorID>
      <errorWord>（</errorWord>
      <group>L1_Format</group>
      <groupName>格式问题</groupName>
      <ability>L2_HalfPunc</ability>
      <abilityName>全半角检查</abilityName>
      <candidateList>
        <item>(</item>
      </candidateList>
      <explain>文本全半角错误。</explain>
      <paraID>73CEFDCC</paraID>
      <start>1</start>
      <end>2</end>
      <status>unmodified</status>
      <modifiedWord/>
      <trackRevisions>false</trackRevisions>
    </reviewItem>
    <reviewItem>
      <errorID>712e9c95-9410-4c8f-82fa-4f75ba06bd1c</errorID>
      <errorWord>）</errorWord>
      <group>L1_Format</group>
      <groupName>格式问题</groupName>
      <ability>L2_HalfPunc</ability>
      <abilityName>全半角检查</abilityName>
      <candidateList>
        <item>)</item>
      </candidateList>
      <explain>文本全半角错误。</explain>
      <paraID>73CEFDCC</paraID>
      <start>5</start>
      <end>6</end>
      <status>unmodified</status>
      <modifiedWord/>
      <trackRevisions>false</trackRevisions>
    </reviewItem>
    <reviewItem>
      <errorID>aab7e7fb-d5de-4200-a64e-ef1663717361</errorID>
      <errorWord>（</errorWord>
      <group>L1_Format</group>
      <groupName>格式问题</groupName>
      <ability>L2_HalfPunc</ability>
      <abilityName>全半角检查</abilityName>
      <candidateList>
        <item>(</item>
      </candidateList>
      <explain>文本全半角错误。</explain>
      <paraID>17C39854</paraID>
      <start>2</start>
      <end>3</end>
      <status>unmodified</status>
      <modifiedWord/>
      <trackRevisions>false</trackRevisions>
    </reviewItem>
    <reviewItem>
      <errorID>97a2d065-9d10-445d-abcd-b63b8f145edd</errorID>
      <errorWord>）</errorWord>
      <group>L1_Format</group>
      <groupName>格式问题</groupName>
      <ability>L2_HalfPunc</ability>
      <abilityName>全半角检查</abilityName>
      <candidateList>
        <item>)</item>
      </candidateList>
      <explain>文本全半角错误。</explain>
      <paraID>17C39854</paraID>
      <start>7</start>
      <end>8</end>
      <status>unmodified</status>
      <modifiedWord/>
      <trackRevisions>false</trackRevisions>
    </reviewItem>
    <reviewItem>
      <errorID>351ff12c-673a-491a-9a99-f8a2ecf832f9</errorID>
      <errorWord>（</errorWord>
      <group>L1_Format</group>
      <groupName>格式问题</groupName>
      <ability>L2_HalfPunc</ability>
      <abilityName>全半角检查</abilityName>
      <candidateList>
        <item>(</item>
      </candidateList>
      <explain>文本全半角错误。</explain>
      <paraID>3E952219</paraID>
      <start>1</start>
      <end>2</end>
      <status>unmodified</status>
      <modifiedWord/>
      <trackRevisions>false</trackRevisions>
    </reviewItem>
    <reviewItem>
      <errorID>7d6f1f58-4181-4deb-a834-14f60fd051ba</errorID>
      <errorWord>）</errorWord>
      <group>L1_Format</group>
      <groupName>格式问题</groupName>
      <ability>L2_HalfPunc</ability>
      <abilityName>全半角检查</abilityName>
      <candidateList>
        <item>)</item>
      </candidateList>
      <explain>文本全半角错误。</explain>
      <paraID>3E952219</paraID>
      <start>6</start>
      <end>7</end>
      <status>unmodified</status>
      <modifiedWord/>
      <trackRevisions>false</trackRevisions>
    </reviewItem>
    <reviewItem>
      <errorID>d4f3b4b1-087d-431c-9f20-30a77e84ebea</errorID>
      <errorWord>（</errorWord>
      <group>L1_Format</group>
      <groupName>格式问题</groupName>
      <ability>L2_HalfPunc</ability>
      <abilityName>全半角检查</abilityName>
      <candidateList>
        <item>(</item>
      </candidateList>
      <explain>文本全半角错误。</explain>
      <paraID>36B6A735</paraID>
      <start>1</start>
      <end>2</end>
      <status>unmodified</status>
      <modifiedWord/>
      <trackRevisions>false</trackRevisions>
    </reviewItem>
    <reviewItem>
      <errorID>8f60c370-faf2-4948-8d9f-f0e4522aa2d6</errorID>
      <errorWord>）</errorWord>
      <group>L1_Format</group>
      <groupName>格式问题</groupName>
      <ability>L2_HalfPunc</ability>
      <abilityName>全半角检查</abilityName>
      <candidateList>
        <item>)</item>
      </candidateList>
      <explain>文本全半角错误。</explain>
      <paraID>36B6A735</paraID>
      <start>3</start>
      <end>4</end>
      <status>unmodified</status>
      <modifiedWord/>
      <trackRevisions>false</trackRevisions>
    </reviewItem>
    <reviewItem>
      <errorID>4ed5f60b-8224-41d9-9db7-dfafb856680f</errorID>
      <errorWord>（</errorWord>
      <group>L1_Format</group>
      <groupName>格式问题</groupName>
      <ability>L2_HalfPunc</ability>
      <abilityName>全半角检查</abilityName>
      <candidateList>
        <item>(</item>
      </candidateList>
      <explain>文本全半角错误。</explain>
      <paraID>2F61C407</paraID>
      <start>1</start>
      <end>2</end>
      <status>unmodified</status>
      <modifiedWord/>
      <trackRevisions>false</trackRevisions>
    </reviewItem>
    <reviewItem>
      <errorID>8e8b1d1d-3425-4881-b92d-ebc2a2eae7c8</errorID>
      <errorWord>）</errorWord>
      <group>L1_Format</group>
      <groupName>格式问题</groupName>
      <ability>L2_HalfPunc</ability>
      <abilityName>全半角检查</abilityName>
      <candidateList>
        <item>)</item>
      </candidateList>
      <explain>文本全半角错误。</explain>
      <paraID>2F61C407</paraID>
      <start>3</start>
      <end>4</end>
      <status>unmodified</status>
      <modifiedWord/>
      <trackRevisions>false</trackRevisions>
    </reviewItem>
    <reviewItem>
      <errorID>92a9c0fd-a867-4924-a9c9-5d150cfe6dff</errorID>
      <errorWord>（</errorWord>
      <group>L1_Format</group>
      <groupName>格式问题</groupName>
      <ability>L2_HalfPunc</ability>
      <abilityName>全半角检查</abilityName>
      <candidateList>
        <item>(</item>
      </candidateList>
      <explain>文本全半角错误。</explain>
      <paraID>337FE74B</paraID>
      <start>1</start>
      <end>2</end>
      <status>unmodified</status>
      <modifiedWord/>
      <trackRevisions>false</trackRevisions>
    </reviewItem>
    <reviewItem>
      <errorID>b160618f-aa8b-4548-9790-27bcbdc1e78a</errorID>
      <errorWord>）</errorWord>
      <group>L1_Format</group>
      <groupName>格式问题</groupName>
      <ability>L2_HalfPunc</ability>
      <abilityName>全半角检查</abilityName>
      <candidateList>
        <item>)</item>
      </candidateList>
      <explain>文本全半角错误。</explain>
      <paraID>337FE74B</paraID>
      <start>5</start>
      <end>6</end>
      <status>unmodified</status>
      <modifiedWord/>
      <trackRevisions>false</trackRevisions>
    </reviewItem>
    <reviewItem>
      <errorID>4321fb2d-7a34-44d5-95cd-1b2a81a36f3e</errorID>
      <errorWord>（</errorWord>
      <group>L1_Format</group>
      <groupName>格式问题</groupName>
      <ability>L2_HalfPunc</ability>
      <abilityName>全半角检查</abilityName>
      <candidateList>
        <item>(</item>
      </candidateList>
      <explain>文本全半角错误。</explain>
      <paraID> 469D4DA</paraID>
      <start>1</start>
      <end>2</end>
      <status>unmodified</status>
      <modifiedWord/>
      <trackRevisions>false</trackRevisions>
    </reviewItem>
    <reviewItem>
      <errorID>7f827f66-8d64-4310-9a42-f27950519fd5</errorID>
      <errorWord>）</errorWord>
      <group>L1_Format</group>
      <groupName>格式问题</groupName>
      <ability>L2_HalfPunc</ability>
      <abilityName>全半角检查</abilityName>
      <candidateList>
        <item>)</item>
      </candidateList>
      <explain>文本全半角错误。</explain>
      <paraID> 469D4DA</paraID>
      <start>5</start>
      <end>6</end>
      <status>unmodified</status>
      <modifiedWord/>
      <trackRevisions>false</trackRevisions>
    </reviewItem>
    <reviewItem>
      <errorID>706b3304-34d7-4f60-a202-e6754ed1c23a</errorID>
      <errorWord>（</errorWord>
      <group>L1_Format</group>
      <groupName>格式问题</groupName>
      <ability>L2_HalfPunc</ability>
      <abilityName>全半角检查</abilityName>
      <candidateList>
        <item>(</item>
      </candidateList>
      <explain>文本全半角错误。</explain>
      <paraID>2C88E75A</paraID>
      <start>2</start>
      <end>3</end>
      <status>unmodified</status>
      <modifiedWord/>
      <trackRevisions>false</trackRevisions>
    </reviewItem>
    <reviewItem>
      <errorID>bae5599c-988d-4146-8021-9be11ab24eea</errorID>
      <errorWord>）</errorWord>
      <group>L1_Format</group>
      <groupName>格式问题</groupName>
      <ability>L2_HalfPunc</ability>
      <abilityName>全半角检查</abilityName>
      <candidateList>
        <item>)</item>
      </candidateList>
      <explain>文本全半角错误。</explain>
      <paraID>2C88E75A</paraID>
      <start>7</start>
      <end>8</end>
      <status>unmodified</status>
      <modifiedWord/>
      <trackRevisions>false</trackRevisions>
    </reviewItem>
    <reviewItem>
      <errorID>91b56a1c-62f1-4e13-8111-d9c071b6e646</errorID>
      <errorWord>（</errorWord>
      <group>L1_Format</group>
      <groupName>格式问题</groupName>
      <ability>L2_HalfPunc</ability>
      <abilityName>全半角检查</abilityName>
      <candidateList>
        <item>(</item>
      </candidateList>
      <explain>文本全半角错误。</explain>
      <paraID> 65C3EF9</paraID>
      <start>1</start>
      <end>2</end>
      <status>unmodified</status>
      <modifiedWord/>
      <trackRevisions>false</trackRevisions>
    </reviewItem>
    <reviewItem>
      <errorID>9a9ba6b6-cf18-425b-85aa-9c00bd29850c</errorID>
      <errorWord>）</errorWord>
      <group>L1_Format</group>
      <groupName>格式问题</groupName>
      <ability>L2_HalfPunc</ability>
      <abilityName>全半角检查</abilityName>
      <candidateList>
        <item>)</item>
      </candidateList>
      <explain>文本全半角错误。</explain>
      <paraID> 65C3EF9</paraID>
      <start>6</start>
      <end>7</end>
      <status>unmodified</status>
      <modifiedWord/>
      <trackRevisions>false</trackRevisions>
    </reviewItem>
    <reviewItem>
      <errorID>7de78c55-e942-476e-b881-41ec35714d35</errorID>
      <errorWord>（</errorWord>
      <group>L1_Format</group>
      <groupName>格式问题</groupName>
      <ability>L2_HalfPunc</ability>
      <abilityName>全半角检查</abilityName>
      <candidateList>
        <item>(</item>
      </candidateList>
      <explain>文本全半角错误。</explain>
      <paraID>795AE986</paraID>
      <start>1</start>
      <end>2</end>
      <status>unmodified</status>
      <modifiedWord/>
      <trackRevisions>false</trackRevisions>
    </reviewItem>
    <reviewItem>
      <errorID>d5e3ee1d-02eb-4af3-803f-b7e4f258db15</errorID>
      <errorWord>）</errorWord>
      <group>L1_Format</group>
      <groupName>格式问题</groupName>
      <ability>L2_HalfPunc</ability>
      <abilityName>全半角检查</abilityName>
      <candidateList>
        <item>)</item>
      </candidateList>
      <explain>文本全半角错误。</explain>
      <paraID>795AE986</paraID>
      <start>3</start>
      <end>4</end>
      <status>unmodified</status>
      <modifiedWord/>
      <trackRevisions>false</trackRevisions>
    </reviewItem>
    <reviewItem>
      <errorID>9b732f75-d4ba-4165-81c3-e31be0530c48</errorID>
      <errorWord>（</errorWord>
      <group>L1_Format</group>
      <groupName>格式问题</groupName>
      <ability>L2_HalfPunc</ability>
      <abilityName>全半角检查</abilityName>
      <candidateList>
        <item>(</item>
      </candidateList>
      <explain>文本全半角错误。</explain>
      <paraID>25CD374D</paraID>
      <start>1</start>
      <end>2</end>
      <status>unmodified</status>
      <modifiedWord/>
      <trackRevisions>false</trackRevisions>
    </reviewItem>
    <reviewItem>
      <errorID>7dc4a0ca-c935-41ee-8cf1-4aa9734b6eda</errorID>
      <errorWord>）</errorWord>
      <group>L1_Format</group>
      <groupName>格式问题</groupName>
      <ability>L2_HalfPunc</ability>
      <abilityName>全半角检查</abilityName>
      <candidateList>
        <item>)</item>
      </candidateList>
      <explain>文本全半角错误。</explain>
      <paraID>25CD374D</paraID>
      <start>3</start>
      <end>4</end>
      <status>unmodified</status>
      <modifiedWord/>
      <trackRevisions>false</trackRevisions>
    </reviewItem>
    <reviewItem>
      <errorID>7402694f-aa86-46b8-ba7e-0f5fb8e1114f</errorID>
      <errorWord>（</errorWord>
      <group>L1_Format</group>
      <groupName>格式问题</groupName>
      <ability>L2_HalfPunc</ability>
      <abilityName>全半角检查</abilityName>
      <candidateList>
        <item>(</item>
      </candidateList>
      <explain>文本全半角错误。</explain>
      <paraID>5290CB53</paraID>
      <start>1</start>
      <end>2</end>
      <status>unmodified</status>
      <modifiedWord/>
      <trackRevisions>false</trackRevisions>
    </reviewItem>
    <reviewItem>
      <errorID>fdc3edf7-f0b4-40ba-ac5d-3b8930d4e55e</errorID>
      <errorWord>）</errorWord>
      <group>L1_Format</group>
      <groupName>格式问题</groupName>
      <ability>L2_HalfPunc</ability>
      <abilityName>全半角检查</abilityName>
      <candidateList>
        <item>)</item>
      </candidateList>
      <explain>文本全半角错误。</explain>
      <paraID>5290CB53</paraID>
      <start>5</start>
      <end>6</end>
      <status>unmodified</status>
      <modifiedWord/>
      <trackRevisions>false</trackRevisions>
    </reviewItem>
    <reviewItem>
      <errorID>85f82059-b1a7-40db-9ba2-30975dad20a2</errorID>
      <errorWord>（</errorWord>
      <group>L1_Format</group>
      <groupName>格式问题</groupName>
      <ability>L2_HalfPunc</ability>
      <abilityName>全半角检查</abilityName>
      <candidateList>
        <item>(</item>
      </candidateList>
      <explain>文本全半角错误。</explain>
      <paraID>49F8363E</paraID>
      <start>1</start>
      <end>2</end>
      <status>unmodified</status>
      <modifiedWord/>
      <trackRevisions>false</trackRevisions>
    </reviewItem>
    <reviewItem>
      <errorID>68a965b2-9aac-47f8-922e-f03c397793fa</errorID>
      <errorWord>）</errorWord>
      <group>L1_Format</group>
      <groupName>格式问题</groupName>
      <ability>L2_HalfPunc</ability>
      <abilityName>全半角检查</abilityName>
      <candidateList>
        <item>)</item>
      </candidateList>
      <explain>文本全半角错误。</explain>
      <paraID>49F8363E</paraID>
      <start>5</start>
      <end>6</end>
      <status>unmodified</status>
      <modifiedWord/>
      <trackRevisions>false</trackRevisions>
    </reviewItem>
    <reviewItem>
      <errorID>912c0530-cc64-40dc-b2ed-8983852080c0</errorID>
      <errorWord>（</errorWord>
      <group>L1_Format</group>
      <groupName>格式问题</groupName>
      <ability>L2_HalfPunc</ability>
      <abilityName>全半角检查</abilityName>
      <candidateList>
        <item>(</item>
      </candidateList>
      <explain>文本全半角错误。</explain>
      <paraID>6788D873</paraID>
      <start>2</start>
      <end>3</end>
      <status>unmodified</status>
      <modifiedWord/>
      <trackRevisions>false</trackRevisions>
    </reviewItem>
    <reviewItem>
      <errorID>609ee28f-4bc4-471a-8dc8-4fd666e79971</errorID>
      <errorWord>）</errorWord>
      <group>L1_Format</group>
      <groupName>格式问题</groupName>
      <ability>L2_HalfPunc</ability>
      <abilityName>全半角检查</abilityName>
      <candidateList>
        <item>)</item>
      </candidateList>
      <explain>文本全半角错误。</explain>
      <paraID>6788D873</paraID>
      <start>7</start>
      <end>8</end>
      <status>unmodified</status>
      <modifiedWord/>
      <trackRevisions>false</trackRevisions>
    </reviewItem>
    <reviewItem>
      <errorID>ea1268d9-754a-4554-a0ea-3d042ec73c9e</errorID>
      <errorWord>（</errorWord>
      <group>L1_Format</group>
      <groupName>格式问题</groupName>
      <ability>L2_HalfPunc</ability>
      <abilityName>全半角检查</abilityName>
      <candidateList>
        <item>(</item>
      </candidateList>
      <explain>文本全半角错误。</explain>
      <paraID>100A0806</paraID>
      <start>1</start>
      <end>2</end>
      <status>unmodified</status>
      <modifiedWord/>
      <trackRevisions>false</trackRevisions>
    </reviewItem>
    <reviewItem>
      <errorID>ce0f83b7-686d-4315-99ee-4f6944262112</errorID>
      <errorWord>）</errorWord>
      <group>L1_Format</group>
      <groupName>格式问题</groupName>
      <ability>L2_HalfPunc</ability>
      <abilityName>全半角检查</abilityName>
      <candidateList>
        <item>)</item>
      </candidateList>
      <explain>文本全半角错误。</explain>
      <paraID>100A0806</paraID>
      <start>6</start>
      <end>7</end>
      <status>unmodified</status>
      <modifiedWord/>
      <trackRevisions>false</trackRevisions>
    </reviewItem>
    <reviewItem>
      <errorID>b5da220c-7850-44bf-af72-40f17876663b</errorID>
      <errorWord>（</errorWord>
      <group>L1_Format</group>
      <groupName>格式问题</groupName>
      <ability>L2_HalfPunc</ability>
      <abilityName>全半角检查</abilityName>
      <candidateList>
        <item>(</item>
      </candidateList>
      <explain>文本全半角错误。</explain>
      <paraID>220B15BB</paraID>
      <start>1</start>
      <end>2</end>
      <status>unmodified</status>
      <modifiedWord/>
      <trackRevisions>false</trackRevisions>
    </reviewItem>
    <reviewItem>
      <errorID>7abc46ff-ca02-4cdf-bbd3-2d5fd970cf7d</errorID>
      <errorWord>）</errorWord>
      <group>L1_Format</group>
      <groupName>格式问题</groupName>
      <ability>L2_HalfPunc</ability>
      <abilityName>全半角检查</abilityName>
      <candidateList>
        <item>)</item>
      </candidateList>
      <explain>文本全半角错误。</explain>
      <paraID>220B15BB</paraID>
      <start>3</start>
      <end>4</end>
      <status>unmodified</status>
      <modifiedWord/>
      <trackRevisions>false</trackRevisions>
    </reviewItem>
    <reviewItem>
      <errorID>7abf6cc6-f9d1-485b-b6b7-19264ef801d2</errorID>
      <errorWord>（</errorWord>
      <group>L1_Format</group>
      <groupName>格式问题</groupName>
      <ability>L2_HalfPunc</ability>
      <abilityName>全半角检查</abilityName>
      <candidateList>
        <item>(</item>
      </candidateList>
      <explain>文本全半角错误。</explain>
      <paraID> 355CC5A</paraID>
      <start>1</start>
      <end>2</end>
      <status>unmodified</status>
      <modifiedWord/>
      <trackRevisions>false</trackRevisions>
    </reviewItem>
    <reviewItem>
      <errorID>e403350c-929d-40a2-8568-6c52b50d1b2f</errorID>
      <errorWord>）</errorWord>
      <group>L1_Format</group>
      <groupName>格式问题</groupName>
      <ability>L2_HalfPunc</ability>
      <abilityName>全半角检查</abilityName>
      <candidateList>
        <item>)</item>
      </candidateList>
      <explain>文本全半角错误。</explain>
      <paraID> 355CC5A</paraID>
      <start>3</start>
      <end>4</end>
      <status>unmodified</status>
      <modifiedWord/>
      <trackRevisions>false</trackRevisions>
    </reviewItem>
    <reviewItem>
      <errorID>93937e34-815c-4ff8-a745-30c49efacdbb</errorID>
      <errorWord>（</errorWord>
      <group>L1_Format</group>
      <groupName>格式问题</groupName>
      <ability>L2_HalfPunc</ability>
      <abilityName>全半角检查</abilityName>
      <candidateList>
        <item>(</item>
      </candidateList>
      <explain>文本全半角错误。</explain>
      <paraID>18381D29</paraID>
      <start>1</start>
      <end>2</end>
      <status>unmodified</status>
      <modifiedWord/>
      <trackRevisions>false</trackRevisions>
    </reviewItem>
    <reviewItem>
      <errorID>ea6dc820-2758-43d6-b306-f6948bd55749</errorID>
      <errorWord>）</errorWord>
      <group>L1_Format</group>
      <groupName>格式问题</groupName>
      <ability>L2_HalfPunc</ability>
      <abilityName>全半角检查</abilityName>
      <candidateList>
        <item>)</item>
      </candidateList>
      <explain>文本全半角错误。</explain>
      <paraID>18381D29</paraID>
      <start>5</start>
      <end>6</end>
      <status>unmodified</status>
      <modifiedWord/>
      <trackRevisions>false</trackRevisions>
    </reviewItem>
    <reviewItem>
      <errorID>978f35c3-ebfe-49d9-9082-929b4edb9fb9</errorID>
      <errorWord>（</errorWord>
      <group>L1_Format</group>
      <groupName>格式问题</groupName>
      <ability>L2_HalfPunc</ability>
      <abilityName>全半角检查</abilityName>
      <candidateList>
        <item>(</item>
      </candidateList>
      <explain>文本全半角错误。</explain>
      <paraID>4D4BA22B</paraID>
      <start>1</start>
      <end>2</end>
      <status>unmodified</status>
      <modifiedWord/>
      <trackRevisions>false</trackRevisions>
    </reviewItem>
    <reviewItem>
      <errorID>fc18d8e1-9160-49ec-916d-442da00a36a3</errorID>
      <errorWord>）</errorWord>
      <group>L1_Format</group>
      <groupName>格式问题</groupName>
      <ability>L2_HalfPunc</ability>
      <abilityName>全半角检查</abilityName>
      <candidateList>
        <item>)</item>
      </candidateList>
      <explain>文本全半角错误。</explain>
      <paraID>4D4BA22B</paraID>
      <start>5</start>
      <end>6</end>
      <status>unmodified</status>
      <modifiedWord/>
      <trackRevisions>false</trackRevisions>
    </reviewItem>
    <reviewItem>
      <errorID>c10004ba-5e5a-4f70-808b-cc034687f016</errorID>
      <errorWord>（</errorWord>
      <group>L1_Format</group>
      <groupName>格式问题</groupName>
      <ability>L2_HalfPunc</ability>
      <abilityName>全半角检查</abilityName>
      <candidateList>
        <item>(</item>
      </candidateList>
      <explain>文本全半角错误。</explain>
      <paraID>2B20E48D</paraID>
      <start>2</start>
      <end>3</end>
      <status>unmodified</status>
      <modifiedWord/>
      <trackRevisions>false</trackRevisions>
    </reviewItem>
    <reviewItem>
      <errorID>cfa93a24-6c94-4090-a2a5-c788b36064a1</errorID>
      <errorWord>）</errorWord>
      <group>L1_Format</group>
      <groupName>格式问题</groupName>
      <ability>L2_HalfPunc</ability>
      <abilityName>全半角检查</abilityName>
      <candidateList>
        <item>)</item>
      </candidateList>
      <explain>文本全半角错误。</explain>
      <paraID>2B20E48D</paraID>
      <start>7</start>
      <end>8</end>
      <status>unmodified</status>
      <modifiedWord/>
      <trackRevisions>false</trackRevisions>
    </reviewItem>
    <reviewItem>
      <errorID>91ba9c61-e3a2-4e78-b84a-ad26cb66f838</errorID>
      <errorWord>（</errorWord>
      <group>L1_Format</group>
      <groupName>格式问题</groupName>
      <ability>L2_HalfPunc</ability>
      <abilityName>全半角检查</abilityName>
      <candidateList>
        <item>(</item>
      </candidateList>
      <explain>文本全半角错误。</explain>
      <paraID>589B0337</paraID>
      <start>1</start>
      <end>2</end>
      <status>unmodified</status>
      <modifiedWord/>
      <trackRevisions>false</trackRevisions>
    </reviewItem>
    <reviewItem>
      <errorID>2eb4c2da-97e5-4725-95fe-295d1849fe42</errorID>
      <errorWord>）</errorWord>
      <group>L1_Format</group>
      <groupName>格式问题</groupName>
      <ability>L2_HalfPunc</ability>
      <abilityName>全半角检查</abilityName>
      <candidateList>
        <item>)</item>
      </candidateList>
      <explain>文本全半角错误。</explain>
      <paraID>589B0337</paraID>
      <start>6</start>
      <end>7</end>
      <status>unmodified</status>
      <modifiedWord/>
      <trackRevisions>false</trackRevisions>
    </reviewItem>
    <reviewItem>
      <errorID>2dbf7c12-f1b6-4d80-a56c-a297c429e57e</errorID>
      <errorWord>（</errorWord>
      <group>L1_Format</group>
      <groupName>格式问题</groupName>
      <ability>L2_HalfPunc</ability>
      <abilityName>全半角检查</abilityName>
      <candidateList>
        <item>(</item>
      </candidateList>
      <explain>文本全半角错误。</explain>
      <paraID>3AFA0EEB</paraID>
      <start>1</start>
      <end>2</end>
      <status>unmodified</status>
      <modifiedWord/>
      <trackRevisions>false</trackRevisions>
    </reviewItem>
    <reviewItem>
      <errorID>c768b013-023f-49cd-abc0-99ed94ef0e83</errorID>
      <errorWord>）</errorWord>
      <group>L1_Format</group>
      <groupName>格式问题</groupName>
      <ability>L2_HalfPunc</ability>
      <abilityName>全半角检查</abilityName>
      <candidateList>
        <item>)</item>
      </candidateList>
      <explain>文本全半角错误。</explain>
      <paraID>3AFA0EEB</paraID>
      <start>3</start>
      <end>4</end>
      <status>unmodified</status>
      <modifiedWord/>
      <trackRevisions>false</trackRevisions>
    </reviewItem>
    <reviewItem>
      <errorID>300882f9-6603-4398-a516-121af26e347f</errorID>
      <errorWord>（</errorWord>
      <group>L1_Format</group>
      <groupName>格式问题</groupName>
      <ability>L2_HalfPunc</ability>
      <abilityName>全半角检查</abilityName>
      <candidateList>
        <item>(</item>
      </candidateList>
      <explain>文本全半角错误。</explain>
      <paraID> A9B096B</paraID>
      <start>1</start>
      <end>2</end>
      <status>unmodified</status>
      <modifiedWord/>
      <trackRevisions>false</trackRevisions>
    </reviewItem>
    <reviewItem>
      <errorID>4a2ff048-4a84-4b34-87df-89959fe2aafc</errorID>
      <errorWord>）</errorWord>
      <group>L1_Format</group>
      <groupName>格式问题</groupName>
      <ability>L2_HalfPunc</ability>
      <abilityName>全半角检查</abilityName>
      <candidateList>
        <item>)</item>
      </candidateList>
      <explain>文本全半角错误。</explain>
      <paraID> A9B096B</paraID>
      <start>3</start>
      <end>4</end>
      <status>unmodified</status>
      <modifiedWord/>
      <trackRevisions>false</trackRevisions>
    </reviewItem>
    <reviewItem>
      <errorID>3f3888dc-7e91-49ec-b4a1-eec462d2362e</errorID>
      <errorWord>（</errorWord>
      <group>L1_Format</group>
      <groupName>格式问题</groupName>
      <ability>L2_HalfPunc</ability>
      <abilityName>全半角检查</abilityName>
      <candidateList>
        <item>(</item>
      </candidateList>
      <explain>文本全半角错误。</explain>
      <paraID>10E1B465</paraID>
      <start>1</start>
      <end>2</end>
      <status>unmodified</status>
      <modifiedWord/>
      <trackRevisions>false</trackRevisions>
    </reviewItem>
    <reviewItem>
      <errorID>f53b25a7-583f-42a5-b066-34dae121906a</errorID>
      <errorWord>）</errorWord>
      <group>L1_Format</group>
      <groupName>格式问题</groupName>
      <ability>L2_HalfPunc</ability>
      <abilityName>全半角检查</abilityName>
      <candidateList>
        <item>)</item>
      </candidateList>
      <explain>文本全半角错误。</explain>
      <paraID>10E1B465</paraID>
      <start>5</start>
      <end>6</end>
      <status>unmodified</status>
      <modifiedWord/>
      <trackRevisions>false</trackRevisions>
    </reviewItem>
    <reviewItem>
      <errorID>b9685756-65ba-4445-aa52-90a89ceaff63</errorID>
      <errorWord>（</errorWord>
      <group>L1_Format</group>
      <groupName>格式问题</groupName>
      <ability>L2_HalfPunc</ability>
      <abilityName>全半角检查</abilityName>
      <candidateList>
        <item>(</item>
      </candidateList>
      <explain>文本全半角错误。</explain>
      <paraID>64944E6F</paraID>
      <start>1</start>
      <end>2</end>
      <status>unmodified</status>
      <modifiedWord/>
      <trackRevisions>false</trackRevisions>
    </reviewItem>
    <reviewItem>
      <errorID>78a1c1ce-720d-4fc5-a959-d5c6cf596795</errorID>
      <errorWord>）</errorWord>
      <group>L1_Format</group>
      <groupName>格式问题</groupName>
      <ability>L2_HalfPunc</ability>
      <abilityName>全半角检查</abilityName>
      <candidateList>
        <item>)</item>
      </candidateList>
      <explain>文本全半角错误。</explain>
      <paraID>64944E6F</paraID>
      <start>5</start>
      <end>6</end>
      <status>unmodified</status>
      <modifiedWord/>
      <trackRevisions>false</trackRevisions>
    </reviewItem>
    <reviewItem>
      <errorID>c9118f4b-bbd9-401a-b309-7ad0d60a7cbd</errorID>
      <errorWord>（</errorWord>
      <group>L1_Format</group>
      <groupName>格式问题</groupName>
      <ability>L2_HalfPunc</ability>
      <abilityName>全半角检查</abilityName>
      <candidateList>
        <item>(</item>
      </candidateList>
      <explain>文本全半角错误。</explain>
      <paraID> B4EA9AE</paraID>
      <start>2</start>
      <end>3</end>
      <status>unmodified</status>
      <modifiedWord/>
      <trackRevisions>false</trackRevisions>
    </reviewItem>
    <reviewItem>
      <errorID>24c10f4b-c31d-4f7a-b7fb-4428d1b9d3da</errorID>
      <errorWord>）</errorWord>
      <group>L1_Format</group>
      <groupName>格式问题</groupName>
      <ability>L2_HalfPunc</ability>
      <abilityName>全半角检查</abilityName>
      <candidateList>
        <item>)</item>
      </candidateList>
      <explain>文本全半角错误。</explain>
      <paraID> B4EA9AE</paraID>
      <start>7</start>
      <end>8</end>
      <status>unmodified</status>
      <modifiedWord/>
      <trackRevisions>false</trackRevisions>
    </reviewItem>
    <reviewItem>
      <errorID>be609c85-9d26-450d-beb8-27e81a52c488</errorID>
      <errorWord>（</errorWord>
      <group>L1_Format</group>
      <groupName>格式问题</groupName>
      <ability>L2_HalfPunc</ability>
      <abilityName>全半角检查</abilityName>
      <candidateList>
        <item>(</item>
      </candidateList>
      <explain>文本全半角错误。</explain>
      <paraID>480ACA7D</paraID>
      <start>1</start>
      <end>2</end>
      <status>unmodified</status>
      <modifiedWord/>
      <trackRevisions>false</trackRevisions>
    </reviewItem>
    <reviewItem>
      <errorID>f6bebfdb-a7af-422c-9740-70218e29dd61</errorID>
      <errorWord>）</errorWord>
      <group>L1_Format</group>
      <groupName>格式问题</groupName>
      <ability>L2_HalfPunc</ability>
      <abilityName>全半角检查</abilityName>
      <candidateList>
        <item>)</item>
      </candidateList>
      <explain>文本全半角错误。</explain>
      <paraID>480ACA7D</paraID>
      <start>6</start>
      <end>7</end>
      <status>unmodified</status>
      <modifiedWord/>
      <trackRevisions>false</trackRevisions>
    </reviewItem>
    <reviewItem>
      <errorID>ed622855-6376-48c6-ae22-3b465bffa86a</errorID>
      <errorWord>（</errorWord>
      <group>L1_Format</group>
      <groupName>格式问题</groupName>
      <ability>L2_HalfPunc</ability>
      <abilityName>全半角检查</abilityName>
      <candidateList>
        <item>(</item>
      </candidateList>
      <explain>文本全半角错误。</explain>
      <paraID>4064BFB0</paraID>
      <start>1</start>
      <end>2</end>
      <status>unmodified</status>
      <modifiedWord/>
      <trackRevisions>false</trackRevisions>
    </reviewItem>
    <reviewItem>
      <errorID>aeba1a42-102a-43dc-ba8a-91ceb674db4c</errorID>
      <errorWord>）</errorWord>
      <group>L1_Format</group>
      <groupName>格式问题</groupName>
      <ability>L2_HalfPunc</ability>
      <abilityName>全半角检查</abilityName>
      <candidateList>
        <item>)</item>
      </candidateList>
      <explain>文本全半角错误。</explain>
      <paraID>4064BFB0</paraID>
      <start>3</start>
      <end>4</end>
      <status>unmodified</status>
      <modifiedWord/>
      <trackRevisions>false</trackRevisions>
    </reviewItem>
    <reviewItem>
      <errorID>22dfa389-3803-43b1-ab29-1189958c3500</errorID>
      <errorWord>（</errorWord>
      <group>L1_Format</group>
      <groupName>格式问题</groupName>
      <ability>L2_HalfPunc</ability>
      <abilityName>全半角检查</abilityName>
      <candidateList>
        <item>(</item>
      </candidateList>
      <explain>文本全半角错误。</explain>
      <paraID>2662E4A7</paraID>
      <start>1</start>
      <end>2</end>
      <status>unmodified</status>
      <modifiedWord/>
      <trackRevisions>false</trackRevisions>
    </reviewItem>
    <reviewItem>
      <errorID>7b6ed306-4d60-40bc-9503-7d7a87e42877</errorID>
      <errorWord>）</errorWord>
      <group>L1_Format</group>
      <groupName>格式问题</groupName>
      <ability>L2_HalfPunc</ability>
      <abilityName>全半角检查</abilityName>
      <candidateList>
        <item>)</item>
      </candidateList>
      <explain>文本全半角错误。</explain>
      <paraID>2662E4A7</paraID>
      <start>3</start>
      <end>4</end>
      <status>unmodified</status>
      <modifiedWord/>
      <trackRevisions>false</trackRevisions>
    </reviewItem>
    <reviewItem>
      <errorID>54164c0f-4308-4ebe-9f26-9364deb5a43c</errorID>
      <errorWord>（</errorWord>
      <group>L1_Format</group>
      <groupName>格式问题</groupName>
      <ability>L2_HalfPunc</ability>
      <abilityName>全半角检查</abilityName>
      <candidateList>
        <item>(</item>
      </candidateList>
      <explain>文本全半角错误。</explain>
      <paraID>415C79E6</paraID>
      <start>1</start>
      <end>2</end>
      <status>unmodified</status>
      <modifiedWord/>
      <trackRevisions>false</trackRevisions>
    </reviewItem>
    <reviewItem>
      <errorID>b1b73e0d-40d5-40da-9336-3be4c84d513f</errorID>
      <errorWord>）</errorWord>
      <group>L1_Format</group>
      <groupName>格式问题</groupName>
      <ability>L2_HalfPunc</ability>
      <abilityName>全半角检查</abilityName>
      <candidateList>
        <item>)</item>
      </candidateList>
      <explain>文本全半角错误。</explain>
      <paraID>415C79E6</paraID>
      <start>5</start>
      <end>6</end>
      <status>unmodified</status>
      <modifiedWord/>
      <trackRevisions>false</trackRevisions>
    </reviewItem>
    <reviewItem>
      <errorID>c7c12478-54f9-4170-a042-fea068350ca1</errorID>
      <errorWord>（</errorWord>
      <group>L1_Format</group>
      <groupName>格式问题</groupName>
      <ability>L2_HalfPunc</ability>
      <abilityName>全半角检查</abilityName>
      <candidateList>
        <item>(</item>
      </candidateList>
      <explain>文本全半角错误。</explain>
      <paraID> 968E808</paraID>
      <start>1</start>
      <end>2</end>
      <status>unmodified</status>
      <modifiedWord/>
      <trackRevisions>false</trackRevisions>
    </reviewItem>
    <reviewItem>
      <errorID>23abd6a3-6ebf-4ce2-8af6-fead80a0188a</errorID>
      <errorWord>）</errorWord>
      <group>L1_Format</group>
      <groupName>格式问题</groupName>
      <ability>L2_HalfPunc</ability>
      <abilityName>全半角检查</abilityName>
      <candidateList>
        <item>)</item>
      </candidateList>
      <explain>文本全半角错误。</explain>
      <paraID> 968E808</paraID>
      <start>5</start>
      <end>6</end>
      <status>unmodified</status>
      <modifiedWord/>
      <trackRevisions>false</trackRevisions>
    </reviewItem>
    <reviewItem>
      <errorID>ab54ae63-7600-459d-b2b6-1b188481635c</errorID>
      <errorWord>（</errorWord>
      <group>L1_Format</group>
      <groupName>格式问题</groupName>
      <ability>L2_HalfPunc</ability>
      <abilityName>全半角检查</abilityName>
      <candidateList>
        <item>(</item>
      </candidateList>
      <explain>文本全半角错误。</explain>
      <paraID>1B326650</paraID>
      <start>2</start>
      <end>3</end>
      <status>unmodified</status>
      <modifiedWord/>
      <trackRevisions>false</trackRevisions>
    </reviewItem>
    <reviewItem>
      <errorID>afb1efe7-1ce1-4eb2-b3f6-2482aa994da6</errorID>
      <errorWord>）</errorWord>
      <group>L1_Format</group>
      <groupName>格式问题</groupName>
      <ability>L2_HalfPunc</ability>
      <abilityName>全半角检查</abilityName>
      <candidateList>
        <item>)</item>
      </candidateList>
      <explain>文本全半角错误。</explain>
      <paraID>1B326650</paraID>
      <start>7</start>
      <end>8</end>
      <status>unmodified</status>
      <modifiedWord/>
      <trackRevisions>false</trackRevisions>
    </reviewItem>
    <reviewItem>
      <errorID>a9170a73-af19-4f20-83d3-dab87656607f</errorID>
      <errorWord>（</errorWord>
      <group>L1_Format</group>
      <groupName>格式问题</groupName>
      <ability>L2_HalfPunc</ability>
      <abilityName>全半角检查</abilityName>
      <candidateList>
        <item>(</item>
      </candidateList>
      <explain>文本全半角错误。</explain>
      <paraID>1C5EFF1D</paraID>
      <start>1</start>
      <end>2</end>
      <status>unmodified</status>
      <modifiedWord/>
      <trackRevisions>false</trackRevisions>
    </reviewItem>
    <reviewItem>
      <errorID>1f507e0f-a15f-477e-8253-f7f40b7d0314</errorID>
      <errorWord>）</errorWord>
      <group>L1_Format</group>
      <groupName>格式问题</groupName>
      <ability>L2_HalfPunc</ability>
      <abilityName>全半角检查</abilityName>
      <candidateList>
        <item>)</item>
      </candidateList>
      <explain>文本全半角错误。</explain>
      <paraID>1C5EFF1D</paraID>
      <start>6</start>
      <end>7</end>
      <status>unmodified</status>
      <modifiedWord/>
      <trackRevisions>false</trackRevisions>
    </reviewItem>
    <reviewItem>
      <errorID>3689ac6e-9377-48ec-9f34-dbecef028833</errorID>
      <errorWord>（</errorWord>
      <group>L1_Format</group>
      <groupName>格式问题</groupName>
      <ability>L2_HalfPunc</ability>
      <abilityName>全半角检查</abilityName>
      <candidateList>
        <item>(</item>
      </candidateList>
      <explain>文本全半角错误。</explain>
      <paraID>40E593BE</paraID>
      <start>1</start>
      <end>2</end>
      <status>unmodified</status>
      <modifiedWord/>
      <trackRevisions>false</trackRevisions>
    </reviewItem>
    <reviewItem>
      <errorID>4f66f4f9-05c3-4d93-b541-ef72e9e1f1af</errorID>
      <errorWord>）</errorWord>
      <group>L1_Format</group>
      <groupName>格式问题</groupName>
      <ability>L2_HalfPunc</ability>
      <abilityName>全半角检查</abilityName>
      <candidateList>
        <item>)</item>
      </candidateList>
      <explain>文本全半角错误。</explain>
      <paraID>40E593BE</paraID>
      <start>3</start>
      <end>4</end>
      <status>unmodified</status>
      <modifiedWord/>
      <trackRevisions>false</trackRevisions>
    </reviewItem>
    <reviewItem>
      <errorID>23170770-196c-4579-ab12-28e2972cacd4</errorID>
      <errorWord>（</errorWord>
      <group>L1_Format</group>
      <groupName>格式问题</groupName>
      <ability>L2_HalfPunc</ability>
      <abilityName>全半角检查</abilityName>
      <candidateList>
        <item>(</item>
      </candidateList>
      <explain>文本全半角错误。</explain>
      <paraID>6225BDDC</paraID>
      <start>1</start>
      <end>2</end>
      <status>unmodified</status>
      <modifiedWord/>
      <trackRevisions>false</trackRevisions>
    </reviewItem>
    <reviewItem>
      <errorID>c044d3aa-080b-4f87-96be-44d275fafaef</errorID>
      <errorWord>）</errorWord>
      <group>L1_Format</group>
      <groupName>格式问题</groupName>
      <ability>L2_HalfPunc</ability>
      <abilityName>全半角检查</abilityName>
      <candidateList>
        <item>)</item>
      </candidateList>
      <explain>文本全半角错误。</explain>
      <paraID>6225BDDC</paraID>
      <start>3</start>
      <end>4</end>
      <status>unmodified</status>
      <modifiedWord/>
      <trackRevisions>false</trackRevisions>
    </reviewItem>
    <reviewItem>
      <errorID>913bde9a-0677-482a-aaa1-1a747eb1c0b3</errorID>
      <errorWord>（</errorWord>
      <group>L1_Format</group>
      <groupName>格式问题</groupName>
      <ability>L2_HalfPunc</ability>
      <abilityName>全半角检查</abilityName>
      <candidateList>
        <item>(</item>
      </candidateList>
      <explain>文本全半角错误。</explain>
      <paraID>772E655E</paraID>
      <start>1</start>
      <end>2</end>
      <status>unmodified</status>
      <modifiedWord/>
      <trackRevisions>false</trackRevisions>
    </reviewItem>
    <reviewItem>
      <errorID>15228e95-c9b2-40a9-bc2b-2c697af55266</errorID>
      <errorWord>）</errorWord>
      <group>L1_Format</group>
      <groupName>格式问题</groupName>
      <ability>L2_HalfPunc</ability>
      <abilityName>全半角检查</abilityName>
      <candidateList>
        <item>)</item>
      </candidateList>
      <explain>文本全半角错误。</explain>
      <paraID>772E655E</paraID>
      <start>5</start>
      <end>6</end>
      <status>unmodified</status>
      <modifiedWord/>
      <trackRevisions>false</trackRevisions>
    </reviewItem>
    <reviewItem>
      <errorID>83b135ad-51f4-4270-8c50-349740f23e64</errorID>
      <errorWord>（</errorWord>
      <group>L1_Format</group>
      <groupName>格式问题</groupName>
      <ability>L2_HalfPunc</ability>
      <abilityName>全半角检查</abilityName>
      <candidateList>
        <item>(</item>
      </candidateList>
      <explain>文本全半角错误。</explain>
      <paraID>7CA3D173</paraID>
      <start>1</start>
      <end>2</end>
      <status>unmodified</status>
      <modifiedWord/>
      <trackRevisions>false</trackRevisions>
    </reviewItem>
    <reviewItem>
      <errorID>9c42cc8f-e400-4c93-aec2-9ed222adee88</errorID>
      <errorWord>）</errorWord>
      <group>L1_Format</group>
      <groupName>格式问题</groupName>
      <ability>L2_HalfPunc</ability>
      <abilityName>全半角检查</abilityName>
      <candidateList>
        <item>)</item>
      </candidateList>
      <explain>文本全半角错误。</explain>
      <paraID>7CA3D173</paraID>
      <start>5</start>
      <end>6</end>
      <status>unmodified</status>
      <modifiedWord/>
      <trackRevisions>false</trackRevisions>
    </reviewItem>
    <reviewItem>
      <errorID>f536581e-b546-4be4-99f8-d4c075d2d70c</errorID>
      <errorWord>（</errorWord>
      <group>L1_Format</group>
      <groupName>格式问题</groupName>
      <ability>L2_HalfPunc</ability>
      <abilityName>全半角检查</abilityName>
      <candidateList>
        <item>(</item>
      </candidateList>
      <explain>文本全半角错误。</explain>
      <paraID>20B0F38C</paraID>
      <start>2</start>
      <end>3</end>
      <status>unmodified</status>
      <modifiedWord/>
      <trackRevisions>false</trackRevisions>
    </reviewItem>
    <reviewItem>
      <errorID>06640cc5-c6c9-4483-aa4c-1a3307216519</errorID>
      <errorWord>）</errorWord>
      <group>L1_Format</group>
      <groupName>格式问题</groupName>
      <ability>L2_HalfPunc</ability>
      <abilityName>全半角检查</abilityName>
      <candidateList>
        <item>)</item>
      </candidateList>
      <explain>文本全半角错误。</explain>
      <paraID>20B0F38C</paraID>
      <start>7</start>
      <end>8</end>
      <status>unmodified</status>
      <modifiedWord/>
      <trackRevisions>false</trackRevisions>
    </reviewItem>
    <reviewItem>
      <errorID>dea4fe2e-024a-4095-aac3-7aaeddb51dab</errorID>
      <errorWord>（</errorWord>
      <group>L1_Format</group>
      <groupName>格式问题</groupName>
      <ability>L2_HalfPunc</ability>
      <abilityName>全半角检查</abilityName>
      <candidateList>
        <item>(</item>
      </candidateList>
      <explain>文本全半角错误。</explain>
      <paraID>4DB28671</paraID>
      <start>1</start>
      <end>2</end>
      <status>unmodified</status>
      <modifiedWord/>
      <trackRevisions>false</trackRevisions>
    </reviewItem>
    <reviewItem>
      <errorID>373bfd31-8c84-4a82-bca3-d0f02180fecd</errorID>
      <errorWord>）</errorWord>
      <group>L1_Format</group>
      <groupName>格式问题</groupName>
      <ability>L2_HalfPunc</ability>
      <abilityName>全半角检查</abilityName>
      <candidateList>
        <item>)</item>
      </candidateList>
      <explain>文本全半角错误。</explain>
      <paraID>4DB28671</paraID>
      <start>6</start>
      <end>7</end>
      <status>unmodified</status>
      <modifiedWord/>
      <trackRevisions>false</trackRevisions>
    </reviewItem>
    <reviewItem>
      <errorID>55e23004-5ebe-4235-b55f-b6210f2f948f</errorID>
      <errorWord>（</errorWord>
      <group>L1_Format</group>
      <groupName>格式问题</groupName>
      <ability>L2_HalfPunc</ability>
      <abilityName>全半角检查</abilityName>
      <candidateList>
        <item>(</item>
      </candidateList>
      <explain>文本全半角错误。</explain>
      <paraID>1304A0BF</paraID>
      <start>1</start>
      <end>2</end>
      <status>unmodified</status>
      <modifiedWord/>
      <trackRevisions>false</trackRevisions>
    </reviewItem>
    <reviewItem>
      <errorID>ad3f3226-f365-41fd-a9d4-8f2a21436f6d</errorID>
      <errorWord>）</errorWord>
      <group>L1_Format</group>
      <groupName>格式问题</groupName>
      <ability>L2_HalfPunc</ability>
      <abilityName>全半角检查</abilityName>
      <candidateList>
        <item>)</item>
      </candidateList>
      <explain>文本全半角错误。</explain>
      <paraID>1304A0BF</paraID>
      <start>3</start>
      <end>4</end>
      <status>unmodified</status>
      <modifiedWord/>
      <trackRevisions>false</trackRevisions>
    </reviewItem>
    <reviewItem>
      <errorID>db22e40a-7425-4304-928d-a6c140acb5de</errorID>
      <errorWord>（</errorWord>
      <group>L1_Format</group>
      <groupName>格式问题</groupName>
      <ability>L2_HalfPunc</ability>
      <abilityName>全半角检查</abilityName>
      <candidateList>
        <item>(</item>
      </candidateList>
      <explain>文本全半角错误。</explain>
      <paraID>6ADB4D60</paraID>
      <start>1</start>
      <end>2</end>
      <status>unmodified</status>
      <modifiedWord/>
      <trackRevisions>false</trackRevisions>
    </reviewItem>
    <reviewItem>
      <errorID>9e2230b3-48a4-4e89-9754-9941e5453926</errorID>
      <errorWord>）</errorWord>
      <group>L1_Format</group>
      <groupName>格式问题</groupName>
      <ability>L2_HalfPunc</ability>
      <abilityName>全半角检查</abilityName>
      <candidateList>
        <item>)</item>
      </candidateList>
      <explain>文本全半角错误。</explain>
      <paraID>6ADB4D60</paraID>
      <start>3</start>
      <end>4</end>
      <status>unmodified</status>
      <modifiedWord/>
      <trackRevisions>false</trackRevisions>
    </reviewItem>
    <reviewItem>
      <errorID>6d2932f1-6d33-4dba-8215-b87c272a8520</errorID>
      <errorWord>（</errorWord>
      <group>L1_Format</group>
      <groupName>格式问题</groupName>
      <ability>L2_HalfPunc</ability>
      <abilityName>全半角检查</abilityName>
      <candidateList>
        <item>(</item>
      </candidateList>
      <explain>文本全半角错误。</explain>
      <paraID> 4D38734</paraID>
      <start>1</start>
      <end>2</end>
      <status>unmodified</status>
      <modifiedWord/>
      <trackRevisions>false</trackRevisions>
    </reviewItem>
    <reviewItem>
      <errorID>2416ac40-4e99-445a-8dd9-fda5963a4710</errorID>
      <errorWord>）</errorWord>
      <group>L1_Format</group>
      <groupName>格式问题</groupName>
      <ability>L2_HalfPunc</ability>
      <abilityName>全半角检查</abilityName>
      <candidateList>
        <item>)</item>
      </candidateList>
      <explain>文本全半角错误。</explain>
      <paraID> 4D38734</paraID>
      <start>5</start>
      <end>6</end>
      <status>unmodified</status>
      <modifiedWord/>
      <trackRevisions>false</trackRevisions>
    </reviewItem>
    <reviewItem>
      <errorID>e880b527-78ea-4604-8f88-210546fb11c3</errorID>
      <errorWord>（</errorWord>
      <group>L1_Format</group>
      <groupName>格式问题</groupName>
      <ability>L2_HalfPunc</ability>
      <abilityName>全半角检查</abilityName>
      <candidateList>
        <item>(</item>
      </candidateList>
      <explain>文本全半角错误。</explain>
      <paraID>1EFD07CF</paraID>
      <start>1</start>
      <end>2</end>
      <status>unmodified</status>
      <modifiedWord/>
      <trackRevisions>false</trackRevisions>
    </reviewItem>
    <reviewItem>
      <errorID>0a5c1399-fb6d-4283-a625-ee798a00af57</errorID>
      <errorWord>）</errorWord>
      <group>L1_Format</group>
      <groupName>格式问题</groupName>
      <ability>L2_HalfPunc</ability>
      <abilityName>全半角检查</abilityName>
      <candidateList>
        <item>)</item>
      </candidateList>
      <explain>文本全半角错误。</explain>
      <paraID>1EFD07CF</paraID>
      <start>5</start>
      <end>6</end>
      <status>unmodified</status>
      <modifiedWord/>
      <trackRevisions>false</trackRevisions>
    </reviewItem>
    <reviewItem>
      <errorID>0c086e96-3ba0-4ef4-a714-ce6e2800877b</errorID>
      <errorWord>（</errorWord>
      <group>L1_Format</group>
      <groupName>格式问题</groupName>
      <ability>L2_HalfPunc</ability>
      <abilityName>全半角检查</abilityName>
      <candidateList>
        <item>(</item>
      </candidateList>
      <explain>文本全半角错误。</explain>
      <paraID>5E8C4043</paraID>
      <start>2</start>
      <end>3</end>
      <status>unmodified</status>
      <modifiedWord/>
      <trackRevisions>false</trackRevisions>
    </reviewItem>
    <reviewItem>
      <errorID>39badee7-bf9b-4231-bd26-e75561efdb4d</errorID>
      <errorWord>）</errorWord>
      <group>L1_Format</group>
      <groupName>格式问题</groupName>
      <ability>L2_HalfPunc</ability>
      <abilityName>全半角检查</abilityName>
      <candidateList>
        <item>)</item>
      </candidateList>
      <explain>文本全半角错误。</explain>
      <paraID>5E8C4043</paraID>
      <start>7</start>
      <end>8</end>
      <status>unmodified</status>
      <modifiedWord/>
      <trackRevisions>false</trackRevisions>
    </reviewItem>
    <reviewItem>
      <errorID>bfdbfc12-4208-408d-9eaf-7d5df9066550</errorID>
      <errorWord>（</errorWord>
      <group>L1_Format</group>
      <groupName>格式问题</groupName>
      <ability>L2_HalfPunc</ability>
      <abilityName>全半角检查</abilityName>
      <candidateList>
        <item>(</item>
      </candidateList>
      <explain>文本全半角错误。</explain>
      <paraID>758BA90A</paraID>
      <start>1</start>
      <end>2</end>
      <status>unmodified</status>
      <modifiedWord/>
      <trackRevisions>false</trackRevisions>
    </reviewItem>
    <reviewItem>
      <errorID>54f462d8-bce4-4f53-b2e0-d3e30d806db7</errorID>
      <errorWord>）</errorWord>
      <group>L1_Format</group>
      <groupName>格式问题</groupName>
      <ability>L2_HalfPunc</ability>
      <abilityName>全半角检查</abilityName>
      <candidateList>
        <item>)</item>
      </candidateList>
      <explain>文本全半角错误。</explain>
      <paraID>758BA90A</paraID>
      <start>6</start>
      <end>7</end>
      <status>unmodified</status>
      <modifiedWord/>
      <trackRevisions>false</trackRevisions>
    </reviewItem>
    <reviewItem>
      <errorID>2157106f-a9c2-4a23-9ffa-725e18140218</errorID>
      <errorWord>（</errorWord>
      <group>L1_Format</group>
      <groupName>格式问题</groupName>
      <ability>L2_HalfPunc</ability>
      <abilityName>全半角检查</abilityName>
      <candidateList>
        <item>(</item>
      </candidateList>
      <explain>文本全半角错误。</explain>
      <paraID>3A3279E6</paraID>
      <start>1</start>
      <end>2</end>
      <status>unmodified</status>
      <modifiedWord/>
      <trackRevisions>false</trackRevisions>
    </reviewItem>
    <reviewItem>
      <errorID>3d1c2b0d-5982-4288-9201-55e91c8e091b</errorID>
      <errorWord>）</errorWord>
      <group>L1_Format</group>
      <groupName>格式问题</groupName>
      <ability>L2_HalfPunc</ability>
      <abilityName>全半角检查</abilityName>
      <candidateList>
        <item>)</item>
      </candidateList>
      <explain>文本全半角错误。</explain>
      <paraID>3A3279E6</paraID>
      <start>3</start>
      <end>4</end>
      <status>unmodified</status>
      <modifiedWord/>
      <trackRevisions>false</trackRevisions>
    </reviewItem>
    <reviewItem>
      <errorID>f34ad7c8-0ae0-4a11-9a72-a629c371efd1</errorID>
      <errorWord>（</errorWord>
      <group>L1_Format</group>
      <groupName>格式问题</groupName>
      <ability>L2_HalfPunc</ability>
      <abilityName>全半角检查</abilityName>
      <candidateList>
        <item>(</item>
      </candidateList>
      <explain>文本全半角错误。</explain>
      <paraID>54E19BA2</paraID>
      <start>1</start>
      <end>2</end>
      <status>unmodified</status>
      <modifiedWord/>
      <trackRevisions>false</trackRevisions>
    </reviewItem>
    <reviewItem>
      <errorID>76045fc9-8a9d-4d6f-b4e7-df3f6d298ebf</errorID>
      <errorWord>）</errorWord>
      <group>L1_Format</group>
      <groupName>格式问题</groupName>
      <ability>L2_HalfPunc</ability>
      <abilityName>全半角检查</abilityName>
      <candidateList>
        <item>)</item>
      </candidateList>
      <explain>文本全半角错误。</explain>
      <paraID>54E19BA2</paraID>
      <start>3</start>
      <end>4</end>
      <status>unmodified</status>
      <modifiedWord/>
      <trackRevisions>false</trackRevisions>
    </reviewItem>
    <reviewItem>
      <errorID>05210be6-3811-4b52-99df-fa3efe02fd58</errorID>
      <errorWord>（</errorWord>
      <group>L1_Format</group>
      <groupName>格式问题</groupName>
      <ability>L2_HalfPunc</ability>
      <abilityName>全半角检查</abilityName>
      <candidateList>
        <item>(</item>
      </candidateList>
      <explain>文本全半角错误。</explain>
      <paraID>1F91C88C</paraID>
      <start>1</start>
      <end>2</end>
      <status>unmodified</status>
      <modifiedWord/>
      <trackRevisions>false</trackRevisions>
    </reviewItem>
    <reviewItem>
      <errorID>e359b479-bfe0-4f7f-ba41-8e35fdf77865</errorID>
      <errorWord>）</errorWord>
      <group>L1_Format</group>
      <groupName>格式问题</groupName>
      <ability>L2_HalfPunc</ability>
      <abilityName>全半角检查</abilityName>
      <candidateList>
        <item>)</item>
      </candidateList>
      <explain>文本全半角错误。</explain>
      <paraID>1F91C88C</paraID>
      <start>5</start>
      <end>6</end>
      <status>unmodified</status>
      <modifiedWord/>
      <trackRevisions>false</trackRevisions>
    </reviewItem>
    <reviewItem>
      <errorID>c6efa9ef-5297-4893-af62-66039fa2787b</errorID>
      <errorWord>（</errorWord>
      <group>L1_Format</group>
      <groupName>格式问题</groupName>
      <ability>L2_HalfPunc</ability>
      <abilityName>全半角检查</abilityName>
      <candidateList>
        <item>(</item>
      </candidateList>
      <explain>文本全半角错误。</explain>
      <paraID>7E6A41C7</paraID>
      <start>1</start>
      <end>2</end>
      <status>unmodified</status>
      <modifiedWord/>
      <trackRevisions>false</trackRevisions>
    </reviewItem>
    <reviewItem>
      <errorID>4feae3cb-aa19-44eb-a123-4bc117f41af0</errorID>
      <errorWord>）</errorWord>
      <group>L1_Format</group>
      <groupName>格式问题</groupName>
      <ability>L2_HalfPunc</ability>
      <abilityName>全半角检查</abilityName>
      <candidateList>
        <item>)</item>
      </candidateList>
      <explain>文本全半角错误。</explain>
      <paraID>7E6A41C7</paraID>
      <start>5</start>
      <end>6</end>
      <status>unmodified</status>
      <modifiedWord/>
      <trackRevisions>false</trackRevisions>
    </reviewItem>
    <reviewItem>
      <errorID>29873fa9-64a3-4ef4-b412-abd168c6024e</errorID>
      <errorWord>（</errorWord>
      <group>L1_Format</group>
      <groupName>格式问题</groupName>
      <ability>L2_HalfPunc</ability>
      <abilityName>全半角检查</abilityName>
      <candidateList>
        <item>(</item>
      </candidateList>
      <explain>文本全半角错误。</explain>
      <paraID>1625EEA8</paraID>
      <start>2</start>
      <end>3</end>
      <status>unmodified</status>
      <modifiedWord/>
      <trackRevisions>false</trackRevisions>
    </reviewItem>
    <reviewItem>
      <errorID>8df51f7c-d0e7-4b2b-801e-16d0669a51c8</errorID>
      <errorWord>）</errorWord>
      <group>L1_Format</group>
      <groupName>格式问题</groupName>
      <ability>L2_HalfPunc</ability>
      <abilityName>全半角检查</abilityName>
      <candidateList>
        <item>)</item>
      </candidateList>
      <explain>文本全半角错误。</explain>
      <paraID>1625EEA8</paraID>
      <start>7</start>
      <end>8</end>
      <status>unmodified</status>
      <modifiedWord/>
      <trackRevisions>false</trackRevisions>
    </reviewItem>
    <reviewItem>
      <errorID>4790046a-3ef9-4980-beff-b0171f6fd978</errorID>
      <errorWord>（</errorWord>
      <group>L1_Format</group>
      <groupName>格式问题</groupName>
      <ability>L2_HalfPunc</ability>
      <abilityName>全半角检查</abilityName>
      <candidateList>
        <item>(</item>
      </candidateList>
      <explain>文本全半角错误。</explain>
      <paraID> 9C8102C</paraID>
      <start>1</start>
      <end>2</end>
      <status>unmodified</status>
      <modifiedWord/>
      <trackRevisions>false</trackRevisions>
    </reviewItem>
    <reviewItem>
      <errorID>e09e1e02-a50d-4a04-8820-ad2a087b84b5</errorID>
      <errorWord>）</errorWord>
      <group>L1_Format</group>
      <groupName>格式问题</groupName>
      <ability>L2_HalfPunc</ability>
      <abilityName>全半角检查</abilityName>
      <candidateList>
        <item>)</item>
      </candidateList>
      <explain>文本全半角错误。</explain>
      <paraID> 9C8102C</paraID>
      <start>6</start>
      <end>7</end>
      <status>unmodified</status>
      <modifiedWord/>
      <trackRevisions>false</trackRevisions>
    </reviewItem>
    <reviewItem>
      <errorID>de2acd2e-c462-4cee-9098-7408ae88b027</errorID>
      <errorWord>（</errorWord>
      <group>L1_Format</group>
      <groupName>格式问题</groupName>
      <ability>L2_HalfPunc</ability>
      <abilityName>全半角检查</abilityName>
      <candidateList>
        <item>(</item>
      </candidateList>
      <explain>文本全半角错误。</explain>
      <paraID>111DDF72</paraID>
      <start>1</start>
      <end>2</end>
      <status>unmodified</status>
      <modifiedWord/>
      <trackRevisions>false</trackRevisions>
    </reviewItem>
    <reviewItem>
      <errorID>b9217f0f-0b7f-4da2-9906-4c651691f046</errorID>
      <errorWord>）</errorWord>
      <group>L1_Format</group>
      <groupName>格式问题</groupName>
      <ability>L2_HalfPunc</ability>
      <abilityName>全半角检查</abilityName>
      <candidateList>
        <item>)</item>
      </candidateList>
      <explain>文本全半角错误。</explain>
      <paraID>111DDF72</paraID>
      <start>3</start>
      <end>4</end>
      <status>unmodified</status>
      <modifiedWord/>
      <trackRevisions>false</trackRevisions>
    </reviewItem>
    <reviewItem>
      <errorID>6a869990-280f-43f5-a9a6-a39771154c0f</errorID>
      <errorWord>（</errorWord>
      <group>L1_Format</group>
      <groupName>格式问题</groupName>
      <ability>L2_HalfPunc</ability>
      <abilityName>全半角检查</abilityName>
      <candidateList>
        <item>(</item>
      </candidateList>
      <explain>文本全半角错误。</explain>
      <paraID>3F457469</paraID>
      <start>1</start>
      <end>2</end>
      <status>unmodified</status>
      <modifiedWord/>
      <trackRevisions>false</trackRevisions>
    </reviewItem>
    <reviewItem>
      <errorID>bb82e06a-8765-4352-bb4f-90a3f1008b77</errorID>
      <errorWord>）</errorWord>
      <group>L1_Format</group>
      <groupName>格式问题</groupName>
      <ability>L2_HalfPunc</ability>
      <abilityName>全半角检查</abilityName>
      <candidateList>
        <item>)</item>
      </candidateList>
      <explain>文本全半角错误。</explain>
      <paraID>3F457469</paraID>
      <start>3</start>
      <end>4</end>
      <status>unmodified</status>
      <modifiedWord/>
      <trackRevisions>false</trackRevisions>
    </reviewItem>
    <reviewItem>
      <errorID>8f517800-440f-4c70-9713-f8d3fa743fe9</errorID>
      <errorWord>（</errorWord>
      <group>L1_Format</group>
      <groupName>格式问题</groupName>
      <ability>L2_HalfPunc</ability>
      <abilityName>全半角检查</abilityName>
      <candidateList>
        <item>(</item>
      </candidateList>
      <explain>文本全半角错误。</explain>
      <paraID>19FF944D</paraID>
      <start>1</start>
      <end>2</end>
      <status>unmodified</status>
      <modifiedWord/>
      <trackRevisions>false</trackRevisions>
    </reviewItem>
    <reviewItem>
      <errorID>29e617be-85ed-4f9f-8a0b-5d3aaba85c8a</errorID>
      <errorWord>）</errorWord>
      <group>L1_Format</group>
      <groupName>格式问题</groupName>
      <ability>L2_HalfPunc</ability>
      <abilityName>全半角检查</abilityName>
      <candidateList>
        <item>)</item>
      </candidateList>
      <explain>文本全半角错误。</explain>
      <paraID>19FF944D</paraID>
      <start>5</start>
      <end>6</end>
      <status>unmodified</status>
      <modifiedWord/>
      <trackRevisions>false</trackRevisions>
    </reviewItem>
    <reviewItem>
      <errorID>b8ceed65-7bbf-41ea-92af-e7dad91381d8</errorID>
      <errorWord>（</errorWord>
      <group>L1_Format</group>
      <groupName>格式问题</groupName>
      <ability>L2_HalfPunc</ability>
      <abilityName>全半角检查</abilityName>
      <candidateList>
        <item>(</item>
      </candidateList>
      <explain>文本全半角错误。</explain>
      <paraID>5B08D255</paraID>
      <start>1</start>
      <end>2</end>
      <status>unmodified</status>
      <modifiedWord/>
      <trackRevisions>false</trackRevisions>
    </reviewItem>
    <reviewItem>
      <errorID>bd66b1fa-f050-4268-b75a-9c02ff47c108</errorID>
      <errorWord>）</errorWord>
      <group>L1_Format</group>
      <groupName>格式问题</groupName>
      <ability>L2_HalfPunc</ability>
      <abilityName>全半角检查</abilityName>
      <candidateList>
        <item>)</item>
      </candidateList>
      <explain>文本全半角错误。</explain>
      <paraID>5B08D255</paraID>
      <start>5</start>
      <end>6</end>
      <status>unmodified</status>
      <modifiedWord/>
      <trackRevisions>false</trackRevisions>
    </reviewItem>
    <reviewItem>
      <errorID>4a7f6862-1690-444b-aebd-2a40304e1fc6</errorID>
      <errorWord>（</errorWord>
      <group>L1_Format</group>
      <groupName>格式问题</groupName>
      <ability>L2_HalfPunc</ability>
      <abilityName>全半角检查</abilityName>
      <candidateList>
        <item>(</item>
      </candidateList>
      <explain>文本全半角错误。</explain>
      <paraID>1332E49B</paraID>
      <start>2</start>
      <end>3</end>
      <status>unmodified</status>
      <modifiedWord/>
      <trackRevisions>false</trackRevisions>
    </reviewItem>
    <reviewItem>
      <errorID>7fd0bcfb-23b4-44ee-8d02-df87ca317670</errorID>
      <errorWord>）</errorWord>
      <group>L1_Format</group>
      <groupName>格式问题</groupName>
      <ability>L2_HalfPunc</ability>
      <abilityName>全半角检查</abilityName>
      <candidateList>
        <item>)</item>
      </candidateList>
      <explain>文本全半角错误。</explain>
      <paraID>1332E49B</paraID>
      <start>7</start>
      <end>8</end>
      <status>unmodified</status>
      <modifiedWord/>
      <trackRevisions>false</trackRevisions>
    </reviewItem>
    <reviewItem>
      <errorID>3884ded3-2367-4ca6-871e-d14db19b407d</errorID>
      <errorWord>（</errorWord>
      <group>L1_Format</group>
      <groupName>格式问题</groupName>
      <ability>L2_HalfPunc</ability>
      <abilityName>全半角检查</abilityName>
      <candidateList>
        <item>(</item>
      </candidateList>
      <explain>文本全半角错误。</explain>
      <paraID>1236DFA3</paraID>
      <start>1</start>
      <end>2</end>
      <status>unmodified</status>
      <modifiedWord/>
      <trackRevisions>false</trackRevisions>
    </reviewItem>
    <reviewItem>
      <errorID>c76b71e1-6c93-4e2b-81ac-26ba57a16abb</errorID>
      <errorWord>）</errorWord>
      <group>L1_Format</group>
      <groupName>格式问题</groupName>
      <ability>L2_HalfPunc</ability>
      <abilityName>全半角检查</abilityName>
      <candidateList>
        <item>)</item>
      </candidateList>
      <explain>文本全半角错误。</explain>
      <paraID>1236DFA3</paraID>
      <start>6</start>
      <end>7</end>
      <status>unmodified</status>
      <modifiedWord/>
      <trackRevisions>false</trackRevisions>
    </reviewItem>
    <reviewItem>
      <errorID>72f7f743-88f8-4dc6-9fb5-d13751ed4b72</errorID>
      <errorWord>（</errorWord>
      <group>L1_Format</group>
      <groupName>格式问题</groupName>
      <ability>L2_HalfPunc</ability>
      <abilityName>全半角检查</abilityName>
      <candidateList>
        <item>(</item>
      </candidateList>
      <explain>文本全半角错误。</explain>
      <paraID>17FBDDA2</paraID>
      <start>1</start>
      <end>2</end>
      <status>unmodified</status>
      <modifiedWord/>
      <trackRevisions>false</trackRevisions>
    </reviewItem>
    <reviewItem>
      <errorID>bfd1d2c3-8c68-4675-b6f9-6b1ead3c78bd</errorID>
      <errorWord>）</errorWord>
      <group>L1_Format</group>
      <groupName>格式问题</groupName>
      <ability>L2_HalfPunc</ability>
      <abilityName>全半角检查</abilityName>
      <candidateList>
        <item>)</item>
      </candidateList>
      <explain>文本全半角错误。</explain>
      <paraID>17FBDDA2</paraID>
      <start>3</start>
      <end>4</end>
      <status>unmodified</status>
      <modifiedWord/>
      <trackRevisions>false</trackRevisions>
    </reviewItem>
    <reviewItem>
      <errorID>293a6cfc-1513-4098-b3d1-aae8ea397c2b</errorID>
      <errorWord>（</errorWord>
      <group>L1_Format</group>
      <groupName>格式问题</groupName>
      <ability>L2_HalfPunc</ability>
      <abilityName>全半角检查</abilityName>
      <candidateList>
        <item>(</item>
      </candidateList>
      <explain>文本全半角错误。</explain>
      <paraID>5819D00B</paraID>
      <start>1</start>
      <end>2</end>
      <status>unmodified</status>
      <modifiedWord/>
      <trackRevisions>false</trackRevisions>
    </reviewItem>
    <reviewItem>
      <errorID>c0e1e7cd-e828-428a-aaf2-1b1b99d65644</errorID>
      <errorWord>）</errorWord>
      <group>L1_Format</group>
      <groupName>格式问题</groupName>
      <ability>L2_HalfPunc</ability>
      <abilityName>全半角检查</abilityName>
      <candidateList>
        <item>)</item>
      </candidateList>
      <explain>文本全半角错误。</explain>
      <paraID>5819D00B</paraID>
      <start>3</start>
      <end>4</end>
      <status>unmodified</status>
      <modifiedWord/>
      <trackRevisions>false</trackRevisions>
    </reviewItem>
    <reviewItem>
      <errorID>3f6d0977-8913-4bdb-a6be-fd06cb78d01c</errorID>
      <errorWord>（</errorWord>
      <group>L1_Format</group>
      <groupName>格式问题</groupName>
      <ability>L2_HalfPunc</ability>
      <abilityName>全半角检查</abilityName>
      <candidateList>
        <item>(</item>
      </candidateList>
      <explain>文本全半角错误。</explain>
      <paraID>1673B4CD</paraID>
      <start>1</start>
      <end>2</end>
      <status>unmodified</status>
      <modifiedWord/>
      <trackRevisions>false</trackRevisions>
    </reviewItem>
    <reviewItem>
      <errorID>7a15a609-272c-4424-a66e-cddd57239714</errorID>
      <errorWord>）</errorWord>
      <group>L1_Format</group>
      <groupName>格式问题</groupName>
      <ability>L2_HalfPunc</ability>
      <abilityName>全半角检查</abilityName>
      <candidateList>
        <item>)</item>
      </candidateList>
      <explain>文本全半角错误。</explain>
      <paraID>1673B4CD</paraID>
      <start>5</start>
      <end>6</end>
      <status>unmodified</status>
      <modifiedWord/>
      <trackRevisions>false</trackRevisions>
    </reviewItem>
    <reviewItem>
      <errorID>4dee97f8-e189-4111-babf-6a0db5c5e944</errorID>
      <errorWord>（</errorWord>
      <group>L1_Format</group>
      <groupName>格式问题</groupName>
      <ability>L2_HalfPunc</ability>
      <abilityName>全半角检查</abilityName>
      <candidateList>
        <item>(</item>
      </candidateList>
      <explain>文本全半角错误。</explain>
      <paraID>18388BDB</paraID>
      <start>1</start>
      <end>2</end>
      <status>unmodified</status>
      <modifiedWord/>
      <trackRevisions>false</trackRevisions>
    </reviewItem>
    <reviewItem>
      <errorID>66f9eba8-060e-4e75-af20-b6063a677157</errorID>
      <errorWord>）</errorWord>
      <group>L1_Format</group>
      <groupName>格式问题</groupName>
      <ability>L2_HalfPunc</ability>
      <abilityName>全半角检查</abilityName>
      <candidateList>
        <item>)</item>
      </candidateList>
      <explain>文本全半角错误。</explain>
      <paraID>18388BDB</paraID>
      <start>5</start>
      <end>6</end>
      <status>unmodified</status>
      <modifiedWord/>
      <trackRevisions>false</trackRevisions>
    </reviewItem>
    <reviewItem>
      <errorID>952bef03-98c1-4b4c-a261-056600b93c8e</errorID>
      <errorWord>（</errorWord>
      <group>L1_Format</group>
      <groupName>格式问题</groupName>
      <ability>L2_HalfPunc</ability>
      <abilityName>全半角检查</abilityName>
      <candidateList>
        <item>(</item>
      </candidateList>
      <explain>文本全半角错误。</explain>
      <paraID>2F38A6F1</paraID>
      <start>2</start>
      <end>3</end>
      <status>unmodified</status>
      <modifiedWord/>
      <trackRevisions>false</trackRevisions>
    </reviewItem>
    <reviewItem>
      <errorID>a541c394-6077-4d4c-a202-7a51230a607b</errorID>
      <errorWord>）</errorWord>
      <group>L1_Format</group>
      <groupName>格式问题</groupName>
      <ability>L2_HalfPunc</ability>
      <abilityName>全半角检查</abilityName>
      <candidateList>
        <item>)</item>
      </candidateList>
      <explain>文本全半角错误。</explain>
      <paraID>2F38A6F1</paraID>
      <start>7</start>
      <end>8</end>
      <status>unmodified</status>
      <modifiedWord/>
      <trackRevisions>false</trackRevisions>
    </reviewItem>
    <reviewItem>
      <errorID>066e0089-45ce-451f-85cd-c12c8a50cc74</errorID>
      <errorWord>（</errorWord>
      <group>L1_Format</group>
      <groupName>格式问题</groupName>
      <ability>L2_HalfPunc</ability>
      <abilityName>全半角检查</abilityName>
      <candidateList>
        <item>(</item>
      </candidateList>
      <explain>文本全半角错误。</explain>
      <paraID>401EDACB</paraID>
      <start>1</start>
      <end>2</end>
      <status>unmodified</status>
      <modifiedWord/>
      <trackRevisions>false</trackRevisions>
    </reviewItem>
    <reviewItem>
      <errorID>b51a4a5c-7be5-417b-a031-edb93d52c254</errorID>
      <errorWord>）</errorWord>
      <group>L1_Format</group>
      <groupName>格式问题</groupName>
      <ability>L2_HalfPunc</ability>
      <abilityName>全半角检查</abilityName>
      <candidateList>
        <item>)</item>
      </candidateList>
      <explain>文本全半角错误。</explain>
      <paraID>401EDACB</paraID>
      <start>6</start>
      <end>7</end>
      <status>unmodified</status>
      <modifiedWord/>
      <trackRevisions>false</trackRevisions>
    </reviewItem>
    <reviewItem>
      <errorID>5ba83a44-a5b7-4fe4-bd3a-6cb6aed32214</errorID>
      <errorWord>（</errorWord>
      <group>L1_Format</group>
      <groupName>格式问题</groupName>
      <ability>L2_HalfPunc</ability>
      <abilityName>全半角检查</abilityName>
      <candidateList>
        <item>(</item>
      </candidateList>
      <explain>文本全半角错误。</explain>
      <paraID>503B50F4</paraID>
      <start>1</start>
      <end>2</end>
      <status>unmodified</status>
      <modifiedWord/>
      <trackRevisions>false</trackRevisions>
    </reviewItem>
    <reviewItem>
      <errorID>37e329e9-5249-4b47-8897-c7313b66a907</errorID>
      <errorWord>）</errorWord>
      <group>L1_Format</group>
      <groupName>格式问题</groupName>
      <ability>L2_HalfPunc</ability>
      <abilityName>全半角检查</abilityName>
      <candidateList>
        <item>)</item>
      </candidateList>
      <explain>文本全半角错误。</explain>
      <paraID>503B50F4</paraID>
      <start>3</start>
      <end>4</end>
      <status>unmodified</status>
      <modifiedWord/>
      <trackRevisions>false</trackRevisions>
    </reviewItem>
    <reviewItem>
      <errorID>06d48b43-f6bd-495b-8373-4c5726625f0c</errorID>
      <errorWord>（</errorWord>
      <group>L1_Format</group>
      <groupName>格式问题</groupName>
      <ability>L2_HalfPunc</ability>
      <abilityName>全半角检查</abilityName>
      <candidateList>
        <item>(</item>
      </candidateList>
      <explain>文本全半角错误。</explain>
      <paraID>5778545D</paraID>
      <start>1</start>
      <end>2</end>
      <status>unmodified</status>
      <modifiedWord/>
      <trackRevisions>false</trackRevisions>
    </reviewItem>
    <reviewItem>
      <errorID>f82c4b6f-e8d1-4d57-9a2d-e68d5bd1df20</errorID>
      <errorWord>）</errorWord>
      <group>L1_Format</group>
      <groupName>格式问题</groupName>
      <ability>L2_HalfPunc</ability>
      <abilityName>全半角检查</abilityName>
      <candidateList>
        <item>)</item>
      </candidateList>
      <explain>文本全半角错误。</explain>
      <paraID>5778545D</paraID>
      <start>3</start>
      <end>4</end>
      <status>unmodified</status>
      <modifiedWord/>
      <trackRevisions>false</trackRevisions>
    </reviewItem>
    <reviewItem>
      <errorID>cc4bd6d6-df2c-4d67-b3fa-50447dd7054a</errorID>
      <errorWord>（</errorWord>
      <group>L1_Format</group>
      <groupName>格式问题</groupName>
      <ability>L2_HalfPunc</ability>
      <abilityName>全半角检查</abilityName>
      <candidateList>
        <item>(</item>
      </candidateList>
      <explain>文本全半角错误。</explain>
      <paraID>2E9C7CCB</paraID>
      <start>1</start>
      <end>2</end>
      <status>unmodified</status>
      <modifiedWord/>
      <trackRevisions>false</trackRevisions>
    </reviewItem>
    <reviewItem>
      <errorID>96ad2a01-67d6-4af7-8db6-7de62164901a</errorID>
      <errorWord>）</errorWord>
      <group>L1_Format</group>
      <groupName>格式问题</groupName>
      <ability>L2_HalfPunc</ability>
      <abilityName>全半角检查</abilityName>
      <candidateList>
        <item>)</item>
      </candidateList>
      <explain>文本全半角错误。</explain>
      <paraID>2E9C7CCB</paraID>
      <start>5</start>
      <end>6</end>
      <status>unmodified</status>
      <modifiedWord/>
      <trackRevisions>false</trackRevisions>
    </reviewItem>
    <reviewItem>
      <errorID>cd941299-c912-4f2f-9588-fffa5e236a83</errorID>
      <errorWord>（</errorWord>
      <group>L1_Format</group>
      <groupName>格式问题</groupName>
      <ability>L2_HalfPunc</ability>
      <abilityName>全半角检查</abilityName>
      <candidateList>
        <item>(</item>
      </candidateList>
      <explain>文本全半角错误。</explain>
      <paraID>33ACA5D5</paraID>
      <start>1</start>
      <end>2</end>
      <status>unmodified</status>
      <modifiedWord/>
      <trackRevisions>false</trackRevisions>
    </reviewItem>
    <reviewItem>
      <errorID>aff739d9-7068-4496-a5be-8ab6fde3e741</errorID>
      <errorWord>）</errorWord>
      <group>L1_Format</group>
      <groupName>格式问题</groupName>
      <ability>L2_HalfPunc</ability>
      <abilityName>全半角检查</abilityName>
      <candidateList>
        <item>)</item>
      </candidateList>
      <explain>文本全半角错误。</explain>
      <paraID>33ACA5D5</paraID>
      <start>5</start>
      <end>6</end>
      <status>unmodified</status>
      <modifiedWord/>
      <trackRevisions>false</trackRevisions>
    </reviewItem>
    <reviewItem>
      <errorID>254d59b4-f4b3-44be-83af-7ee2ee719a1d</errorID>
      <errorWord>（</errorWord>
      <group>L1_Format</group>
      <groupName>格式问题</groupName>
      <ability>L2_HalfPunc</ability>
      <abilityName>全半角检查</abilityName>
      <candidateList>
        <item>(</item>
      </candidateList>
      <explain>文本全半角错误。</explain>
      <paraID>7BD8551C</paraID>
      <start>2</start>
      <end>3</end>
      <status>unmodified</status>
      <modifiedWord/>
      <trackRevisions>false</trackRevisions>
    </reviewItem>
    <reviewItem>
      <errorID>73e9f567-cd5c-496b-be69-e496276be167</errorID>
      <errorWord>）</errorWord>
      <group>L1_Format</group>
      <groupName>格式问题</groupName>
      <ability>L2_HalfPunc</ability>
      <abilityName>全半角检查</abilityName>
      <candidateList>
        <item>)</item>
      </candidateList>
      <explain>文本全半角错误。</explain>
      <paraID>7BD8551C</paraID>
      <start>7</start>
      <end>8</end>
      <status>unmodified</status>
      <modifiedWord/>
      <trackRevisions>false</trackRevisions>
    </reviewItem>
    <reviewItem>
      <errorID>855ec0cc-1d8d-428f-95bb-86f0d15d2a38</errorID>
      <errorWord>（</errorWord>
      <group>L1_Format</group>
      <groupName>格式问题</groupName>
      <ability>L2_HalfPunc</ability>
      <abilityName>全半角检查</abilityName>
      <candidateList>
        <item>(</item>
      </candidateList>
      <explain>文本全半角错误。</explain>
      <paraID>1A3B8552</paraID>
      <start>1</start>
      <end>2</end>
      <status>unmodified</status>
      <modifiedWord/>
      <trackRevisions>false</trackRevisions>
    </reviewItem>
    <reviewItem>
      <errorID>c009c2c9-99de-4608-888b-c601243f226a</errorID>
      <errorWord>）</errorWord>
      <group>L1_Format</group>
      <groupName>格式问题</groupName>
      <ability>L2_HalfPunc</ability>
      <abilityName>全半角检查</abilityName>
      <candidateList>
        <item>)</item>
      </candidateList>
      <explain>文本全半角错误。</explain>
      <paraID>1A3B8552</paraID>
      <start>6</start>
      <end>7</end>
      <status>unmodified</status>
      <modifiedWord/>
      <trackRevisions>false</trackRevisions>
    </reviewItem>
    <reviewItem>
      <errorID>ecccb3ee-2650-4892-af69-610fd1e306a2</errorID>
      <errorWord>（</errorWord>
      <group>L1_Format</group>
      <groupName>格式问题</groupName>
      <ability>L2_HalfPunc</ability>
      <abilityName>全半角检查</abilityName>
      <candidateList>
        <item>(</item>
      </candidateList>
      <explain>文本全半角错误。</explain>
      <paraID>588590BF</paraID>
      <start>1</start>
      <end>2</end>
      <status>unmodified</status>
      <modifiedWord/>
      <trackRevisions>false</trackRevisions>
    </reviewItem>
    <reviewItem>
      <errorID>65c07767-df3a-4b80-80ea-7106b3bdb35b</errorID>
      <errorWord>）</errorWord>
      <group>L1_Format</group>
      <groupName>格式问题</groupName>
      <ability>L2_HalfPunc</ability>
      <abilityName>全半角检查</abilityName>
      <candidateList>
        <item>)</item>
      </candidateList>
      <explain>文本全半角错误。</explain>
      <paraID>588590BF</paraID>
      <start>3</start>
      <end>4</end>
      <status>unmodified</status>
      <modifiedWord/>
      <trackRevisions>false</trackRevisions>
    </reviewItem>
    <reviewItem>
      <errorID>8b8a466e-baf3-46d9-8f17-8fe08ab7ffe4</errorID>
      <errorWord>（</errorWord>
      <group>L1_Format</group>
      <groupName>格式问题</groupName>
      <ability>L2_HalfPunc</ability>
      <abilityName>全半角检查</abilityName>
      <candidateList>
        <item>(</item>
      </candidateList>
      <explain>文本全半角错误。</explain>
      <paraID>20DF6514</paraID>
      <start>1</start>
      <end>2</end>
      <status>unmodified</status>
      <modifiedWord/>
      <trackRevisions>false</trackRevisions>
    </reviewItem>
    <reviewItem>
      <errorID>b9795603-2c2d-4062-834c-0b24aabb90c2</errorID>
      <errorWord>）</errorWord>
      <group>L1_Format</group>
      <groupName>格式问题</groupName>
      <ability>L2_HalfPunc</ability>
      <abilityName>全半角检查</abilityName>
      <candidateList>
        <item>)</item>
      </candidateList>
      <explain>文本全半角错误。</explain>
      <paraID>20DF6514</paraID>
      <start>3</start>
      <end>4</end>
      <status>unmodified</status>
      <modifiedWord/>
      <trackRevisions>false</trackRevisions>
    </reviewItem>
    <reviewItem>
      <errorID>3614a8f6-80e3-4f5c-9dc7-f7937a09cd7e</errorID>
      <errorWord>（</errorWord>
      <group>L1_Format</group>
      <groupName>格式问题</groupName>
      <ability>L2_HalfPunc</ability>
      <abilityName>全半角检查</abilityName>
      <candidateList>
        <item>(</item>
      </candidateList>
      <explain>文本全半角错误。</explain>
      <paraID>3B825774</paraID>
      <start>1</start>
      <end>2</end>
      <status>unmodified</status>
      <modifiedWord/>
      <trackRevisions>false</trackRevisions>
    </reviewItem>
    <reviewItem>
      <errorID>cdb01842-7910-44ff-913b-47d59b1f2cf8</errorID>
      <errorWord>）</errorWord>
      <group>L1_Format</group>
      <groupName>格式问题</groupName>
      <ability>L2_HalfPunc</ability>
      <abilityName>全半角检查</abilityName>
      <candidateList>
        <item>)</item>
      </candidateList>
      <explain>文本全半角错误。</explain>
      <paraID>3B825774</paraID>
      <start>5</start>
      <end>6</end>
      <status>unmodified</status>
      <modifiedWord/>
      <trackRevisions>false</trackRevisions>
    </reviewItem>
    <reviewItem>
      <errorID>30242148-cbba-4685-ae43-157a8c74d8e4</errorID>
      <errorWord>（</errorWord>
      <group>L1_Format</group>
      <groupName>格式问题</groupName>
      <ability>L2_HalfPunc</ability>
      <abilityName>全半角检查</abilityName>
      <candidateList>
        <item>(</item>
      </candidateList>
      <explain>文本全半角错误。</explain>
      <paraID>5336355A</paraID>
      <start>1</start>
      <end>2</end>
      <status>unmodified</status>
      <modifiedWord/>
      <trackRevisions>false</trackRevisions>
    </reviewItem>
    <reviewItem>
      <errorID>0a1e3e22-fd24-4684-94b2-e1495a684e07</errorID>
      <errorWord>）</errorWord>
      <group>L1_Format</group>
      <groupName>格式问题</groupName>
      <ability>L2_HalfPunc</ability>
      <abilityName>全半角检查</abilityName>
      <candidateList>
        <item>)</item>
      </candidateList>
      <explain>文本全半角错误。</explain>
      <paraID>5336355A</paraID>
      <start>5</start>
      <end>6</end>
      <status>unmodified</status>
      <modifiedWord/>
      <trackRevisions>false</trackRevisions>
    </reviewItem>
    <reviewItem>
      <errorID>e46f8720-5118-407f-a238-5e3b2183c450</errorID>
      <errorWord>（</errorWord>
      <group>L1_Format</group>
      <groupName>格式问题</groupName>
      <ability>L2_HalfPunc</ability>
      <abilityName>全半角检查</abilityName>
      <candidateList>
        <item>(</item>
      </candidateList>
      <explain>文本全半角错误。</explain>
      <paraID>25F5533A</paraID>
      <start>2</start>
      <end>3</end>
      <status>unmodified</status>
      <modifiedWord/>
      <trackRevisions>false</trackRevisions>
    </reviewItem>
    <reviewItem>
      <errorID>d89472c9-2bea-4247-8698-52da8023fac0</errorID>
      <errorWord>）</errorWord>
      <group>L1_Format</group>
      <groupName>格式问题</groupName>
      <ability>L2_HalfPunc</ability>
      <abilityName>全半角检查</abilityName>
      <candidateList>
        <item>)</item>
      </candidateList>
      <explain>文本全半角错误。</explain>
      <paraID>25F5533A</paraID>
      <start>7</start>
      <end>8</end>
      <status>unmodified</status>
      <modifiedWord/>
      <trackRevisions>false</trackRevisions>
    </reviewItem>
    <reviewItem>
      <errorID>9ece29cc-eed6-4689-a814-57aa393b2b3f</errorID>
      <errorWord>（</errorWord>
      <group>L1_Format</group>
      <groupName>格式问题</groupName>
      <ability>L2_HalfPunc</ability>
      <abilityName>全半角检查</abilityName>
      <candidateList>
        <item>(</item>
      </candidateList>
      <explain>文本全半角错误。</explain>
      <paraID>21A7A95B</paraID>
      <start>1</start>
      <end>2</end>
      <status>unmodified</status>
      <modifiedWord/>
      <trackRevisions>false</trackRevisions>
    </reviewItem>
    <reviewItem>
      <errorID>67da1f28-82ce-486f-bb15-2c2637c46ff3</errorID>
      <errorWord>）</errorWord>
      <group>L1_Format</group>
      <groupName>格式问题</groupName>
      <ability>L2_HalfPunc</ability>
      <abilityName>全半角检查</abilityName>
      <candidateList>
        <item>)</item>
      </candidateList>
      <explain>文本全半角错误。</explain>
      <paraID>21A7A95B</paraID>
      <start>6</start>
      <end>7</end>
      <status>unmodified</status>
      <modifiedWord/>
      <trackRevisions>false</trackRevisions>
    </reviewItem>
    <reviewItem>
      <errorID>2d12b159-7ede-404d-9e6d-390d2777ff4a</errorID>
      <errorWord>（</errorWord>
      <group>L1_Format</group>
      <groupName>格式问题</groupName>
      <ability>L2_HalfPunc</ability>
      <abilityName>全半角检查</abilityName>
      <candidateList>
        <item>(</item>
      </candidateList>
      <explain>文本全半角错误。</explain>
      <paraID>4DED8E2A</paraID>
      <start>1</start>
      <end>2</end>
      <status>unmodified</status>
      <modifiedWord/>
      <trackRevisions>false</trackRevisions>
    </reviewItem>
    <reviewItem>
      <errorID>6a6f980c-9294-4ea8-855e-c8211963ea4f</errorID>
      <errorWord>）</errorWord>
      <group>L1_Format</group>
      <groupName>格式问题</groupName>
      <ability>L2_HalfPunc</ability>
      <abilityName>全半角检查</abilityName>
      <candidateList>
        <item>)</item>
      </candidateList>
      <explain>文本全半角错误。</explain>
      <paraID>4DED8E2A</paraID>
      <start>3</start>
      <end>4</end>
      <status>unmodified</status>
      <modifiedWord/>
      <trackRevisions>false</trackRevisions>
    </reviewItem>
    <reviewItem>
      <errorID>32231b0d-4e69-4fd7-8908-104f720bab71</errorID>
      <errorWord>（</errorWord>
      <group>L1_Format</group>
      <groupName>格式问题</groupName>
      <ability>L2_HalfPunc</ability>
      <abilityName>全半角检查</abilityName>
      <candidateList>
        <item>(</item>
      </candidateList>
      <explain>文本全半角错误。</explain>
      <paraID>3F553CE7</paraID>
      <start>1</start>
      <end>2</end>
      <status>unmodified</status>
      <modifiedWord/>
      <trackRevisions>false</trackRevisions>
    </reviewItem>
    <reviewItem>
      <errorID>31ea8e78-f80a-45e9-8bde-3dc247462bc7</errorID>
      <errorWord>）</errorWord>
      <group>L1_Format</group>
      <groupName>格式问题</groupName>
      <ability>L2_HalfPunc</ability>
      <abilityName>全半角检查</abilityName>
      <candidateList>
        <item>)</item>
      </candidateList>
      <explain>文本全半角错误。</explain>
      <paraID>3F553CE7</paraID>
      <start>3</start>
      <end>4</end>
      <status>unmodified</status>
      <modifiedWord/>
      <trackRevisions>false</trackRevisions>
    </reviewItem>
    <reviewItem>
      <errorID>3f7d4f47-ab05-4eac-be9a-9414585aafb4</errorID>
      <errorWord>（</errorWord>
      <group>L1_Format</group>
      <groupName>格式问题</groupName>
      <ability>L2_HalfPunc</ability>
      <abilityName>全半角检查</abilityName>
      <candidateList>
        <item>(</item>
      </candidateList>
      <explain>文本全半角错误。</explain>
      <paraID>2504AC09</paraID>
      <start>1</start>
      <end>2</end>
      <status>unmodified</status>
      <modifiedWord/>
      <trackRevisions>false</trackRevisions>
    </reviewItem>
    <reviewItem>
      <errorID>ced4b9ec-5b78-4c57-8648-625d866cbd76</errorID>
      <errorWord>）</errorWord>
      <group>L1_Format</group>
      <groupName>格式问题</groupName>
      <ability>L2_HalfPunc</ability>
      <abilityName>全半角检查</abilityName>
      <candidateList>
        <item>)</item>
      </candidateList>
      <explain>文本全半角错误。</explain>
      <paraID>2504AC09</paraID>
      <start>5</start>
      <end>6</end>
      <status>unmodified</status>
      <modifiedWord/>
      <trackRevisions>false</trackRevisions>
    </reviewItem>
    <reviewItem>
      <errorID>7c7db7d5-18c0-4573-b13d-cce73e1cfba5</errorID>
      <errorWord>（</errorWord>
      <group>L1_Format</group>
      <groupName>格式问题</groupName>
      <ability>L2_HalfPunc</ability>
      <abilityName>全半角检查</abilityName>
      <candidateList>
        <item>(</item>
      </candidateList>
      <explain>文本全半角错误。</explain>
      <paraID>3AF0AC24</paraID>
      <start>1</start>
      <end>2</end>
      <status>unmodified</status>
      <modifiedWord/>
      <trackRevisions>false</trackRevisions>
    </reviewItem>
    <reviewItem>
      <errorID>ada4a360-8128-4a63-9106-21b06929c7ba</errorID>
      <errorWord>）</errorWord>
      <group>L1_Format</group>
      <groupName>格式问题</groupName>
      <ability>L2_HalfPunc</ability>
      <abilityName>全半角检查</abilityName>
      <candidateList>
        <item>)</item>
      </candidateList>
      <explain>文本全半角错误。</explain>
      <paraID>3AF0AC24</paraID>
      <start>5</start>
      <end>6</end>
      <status>unmodified</status>
      <modifiedWord/>
      <trackRevisions>false</trackRevisions>
    </reviewItem>
    <reviewItem>
      <errorID>b5591a17-6113-4ab8-b3cd-7b4d0a16b293</errorID>
      <errorWord>（</errorWord>
      <group>L1_Format</group>
      <groupName>格式问题</groupName>
      <ability>L2_HalfPunc</ability>
      <abilityName>全半角检查</abilityName>
      <candidateList>
        <item>(</item>
      </candidateList>
      <explain>文本全半角错误。</explain>
      <paraID>2F08AC96</paraID>
      <start>2</start>
      <end>3</end>
      <status>unmodified</status>
      <modifiedWord/>
      <trackRevisions>false</trackRevisions>
    </reviewItem>
    <reviewItem>
      <errorID>82a8cdf4-f7a2-40af-9709-bbd429c7096f</errorID>
      <errorWord>）</errorWord>
      <group>L1_Format</group>
      <groupName>格式问题</groupName>
      <ability>L2_HalfPunc</ability>
      <abilityName>全半角检查</abilityName>
      <candidateList>
        <item>)</item>
      </candidateList>
      <explain>文本全半角错误。</explain>
      <paraID>2F08AC96</paraID>
      <start>7</start>
      <end>8</end>
      <status>unmodified</status>
      <modifiedWord/>
      <trackRevisions>false</trackRevisions>
    </reviewItem>
    <reviewItem>
      <errorID>c0a7b46a-de93-4eeb-a543-bf476308f970</errorID>
      <errorWord>（</errorWord>
      <group>L1_Format</group>
      <groupName>格式问题</groupName>
      <ability>L2_HalfPunc</ability>
      <abilityName>全半角检查</abilityName>
      <candidateList>
        <item>(</item>
      </candidateList>
      <explain>文本全半角错误。</explain>
      <paraID>60CCF9DE</paraID>
      <start>1</start>
      <end>2</end>
      <status>unmodified</status>
      <modifiedWord/>
      <trackRevisions>false</trackRevisions>
    </reviewItem>
    <reviewItem>
      <errorID>b37d8796-f096-4c1f-8365-81587552c17d</errorID>
      <errorWord>）</errorWord>
      <group>L1_Format</group>
      <groupName>格式问题</groupName>
      <ability>L2_HalfPunc</ability>
      <abilityName>全半角检查</abilityName>
      <candidateList>
        <item>)</item>
      </candidateList>
      <explain>文本全半角错误。</explain>
      <paraID>60CCF9DE</paraID>
      <start>6</start>
      <end>7</end>
      <status>unmodified</status>
      <modifiedWord/>
      <trackRevisions>false</trackRevisions>
    </reviewItem>
    <reviewItem>
      <errorID>db12f1e1-0942-4e5a-8cf5-92e325e86bd0</errorID>
      <errorWord>8、</errorWord>
      <group>L1_Format</group>
      <groupName>格式问题</groupName>
      <ability>L2_Ordinal</ability>
      <abilityName>序号格式</abilityName>
      <candidateList>
        <item>8.</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34683062</paraID>
      <start>0</start>
      <end>2</end>
      <status>unmodified</status>
      <modifiedWord/>
      <trackRevisions>false</trackRevisions>
    </reviewItem>
    <reviewItem>
      <errorID>f4629903-c38e-4781-9660-41a0bf18cb37</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142D3AD0</paraID>
      <start>117</start>
      <end>118</end>
      <status>unmodified</status>
      <modifiedWord/>
      <trackRevisions>false</trackRevisions>
    </reviewItem>
    <reviewItem>
      <errorID>fe6c2853-2916-4b96-8146-9e902df2b591</errorID>
      <errorWord>9、</errorWord>
      <group>L1_Format</group>
      <groupName>格式问题</groupName>
      <ability>L2_Ordinal</ability>
      <abilityName>序号格式</abilityName>
      <candidateList>
        <item>9.</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6AE9D3C7</paraID>
      <start>0</start>
      <end>2</end>
      <status>unmodified</status>
      <modifiedWord/>
      <trackRevisions>false</trackRevisions>
    </reviewItem>
    <reviewItem>
      <errorID>1cee3f78-1228-44c5-ae6e-6bca44ffc6d7</errorID>
      <errorWord>10、</errorWord>
      <group>L1_Format</group>
      <groupName>格式问题</groupName>
      <ability>L2_Ordinal</ability>
      <abilityName>序号格式</abilityName>
      <candidateList>
        <item>10.</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5AA87986</paraID>
      <start>0</start>
      <end>3</end>
      <status>unmodified</status>
      <modifiedWord/>
      <trackRevisions>false</trackRevisions>
    </reviewItem>
    <reviewItem>
      <errorID>e29d488c-ff77-4100-ab43-27b57f7bc9b4</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1CB6CC4</paraID>
      <start>207</start>
      <end>208</end>
      <status>unmodified</status>
      <modifiedWord/>
      <trackRevisions>false</trackRevisions>
    </reviewItem>
    <reviewItem>
      <errorID>9bfab124-c76d-48e2-bcdb-d04f78a1162b</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1CB6CC4</paraID>
      <start>228</start>
      <end>229</end>
      <status>unmodified</status>
      <modifiedWord/>
      <trackRevisions>false</trackRevisions>
    </reviewItem>
    <reviewItem>
      <errorID>c10b5047-3a6f-4078-b5ae-2ef983a4ad0d</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6AB5A424</paraID>
      <start>94</start>
      <end>95</end>
      <status>unmodified</status>
      <modifiedWord/>
      <trackRevisions>false</trackRevisions>
    </reviewItem>
    <reviewItem>
      <errorID>fac91a49-614b-48e1-8223-0e867c025f33</errorID>
      <errorWord>35%-40%</errorWord>
      <group>L1_Knowledge</group>
      <groupName>知识性问题</groupName>
      <ability>L2_Knowledge</ability>
      <abilityName>其他知识</abilityName>
      <candidateList>
        <item>35%—40%</item>
      </candidateList>
      <explain>1. “35%-40%”中的单位“%”仅出现在后一个数字上，容易引起歧义；根据《现代汉语标点符号数字用法规范手册》，数字表示范围两边需要使用统一的格式。2. 根据标点国标 4.13 中的规则，数字、时间或地域连接符应使用（视觉上更长的）“—”或“～”。</explain>
      <paraID>6AB5A424</paraID>
      <start>150</start>
      <end>157</end>
      <status>unmodified</status>
      <modifiedWord/>
      <trackRevisions>false</trackRevisions>
    </reviewItem>
    <reviewItem>
      <errorID>7414c548-7411-4bc9-b45d-5ff17de188d8</errorID>
      <errorWord>扰动底质</errorWord>
      <group>L1_Word</group>
      <groupName>字词问题</groupName>
      <ability>L2_Typo</ability>
      <abilityName>字词错误</abilityName>
      <candidateList>
        <item>扰动地质</item>
      </candidateList>
      <explain/>
      <paraID>70D27743</paraID>
      <start>40</start>
      <end>44</end>
      <status>unmodified</status>
      <modifiedWord/>
      <trackRevisions>false</trackRevisions>
    </reviewItem>
    <reviewItem>
      <errorID>c42c52b9-737b-4daf-be8c-1eede0de0d21</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70D27743</paraID>
      <start>69</start>
      <end>70</end>
      <status>unmodified</status>
      <modifiedWord/>
      <trackRevisions>false</trackRevisions>
    </reviewItem>
    <reviewItem>
      <errorID>8659c79d-8bf9-42ea-b019-48c2254380d6</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70D27743</paraID>
      <start>133</start>
      <end>134</end>
      <status>unmodified</status>
      <modifiedWord/>
      <trackRevisions>false</trackRevisions>
    </reviewItem>
    <reviewItem>
      <errorID>40b0ac82-47ce-4ab8-8313-1241edc60ae6</errorID>
      <errorWord>./</errorWord>
      <group>L1_Punc</group>
      <groupName>标点问题</groupName>
      <ability>L2_Punc</ability>
      <abilityName>标点符号检查</abilityName>
      <candidateList>
        <item>.</item>
      </candidateList>
      <explain/>
      <paraID>70D27743</paraID>
      <start>210</start>
      <end>212</end>
      <status>unmodified</status>
      <modifiedWord/>
      <trackRevisions>false</trackRevisions>
    </reviewItem>
    <reviewItem>
      <errorID>f15d233d-5f3b-44bb-a8f8-b05b494adee8</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3D87A5EF</paraID>
      <start>69</start>
      <end>70</end>
      <status>unmodified</status>
      <modifiedWord/>
      <trackRevisions>false</trackRevisions>
    </reviewItem>
    <reviewItem>
      <errorID>fd850de9-4801-4253-ad93-687d88feb655</errorID>
      <errorWord>25%-30%</errorWord>
      <group>L1_Knowledge</group>
      <groupName>知识性问题</groupName>
      <ability>L2_Knowledge</ability>
      <abilityName>其他知识</abilityName>
      <candidateList>
        <item>25%—30%</item>
      </candidateList>
      <explain>1. “25%-30%”中的单位“%”仅出现在后一个数字上，容易引起歧义；根据《现代汉语标点符号数字用法规范手册》，数字表示范围两边需要使用统一的格式。2. 根据标点国标 4.13 中的规则，数字、时间或地域连接符应使用（视觉上更长的）“—”或“～”。</explain>
      <paraID>3D87A5EF</paraID>
      <start>156</start>
      <end>163</end>
      <status>unmodified</status>
      <modifiedWord/>
      <trackRevisions>false</trackRevisions>
    </reviewItem>
    <reviewItem>
      <errorID>5fbd32a9-b577-43d3-8681-c083353dcd9c</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3D87A5EF</paraID>
      <start>171</start>
      <end>172</end>
      <status>unmodified</status>
      <modifiedWord/>
      <trackRevisions>false</trackRevisions>
    </reviewItem>
    <reviewItem>
      <errorID>54cb649b-ffde-46c0-92f6-314bf4f785e2</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3C3AC16A</paraID>
      <start>230</start>
      <end>231</end>
      <status>unmodified</status>
      <modifiedWord/>
      <trackRevisions>false</trackRevisions>
    </reviewItem>
    <reviewItem>
      <errorID>680ec212-4d30-4905-a8b8-117fd8a267b4</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3C3AC16A</paraID>
      <start>249</start>
      <end>250</end>
      <status>unmodified</status>
      <modifiedWord/>
      <trackRevisions>false</trackRevisions>
    </reviewItem>
    <reviewItem>
      <errorID>899f3f22-a321-494e-9121-1f5f3d09d0d0</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3C3AC16A</paraID>
      <start>280</start>
      <end>281</end>
      <status>unmodified</status>
      <modifiedWord/>
      <trackRevisions>false</trackRevisions>
    </reviewItem>
    <reviewItem>
      <errorID>e2b4a4c0-fefb-41c6-9de0-67823dceb9e5</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3C3AC16A</paraID>
      <start>301</start>
      <end>302</end>
      <status>unmodified</status>
      <modifiedWord/>
      <trackRevisions>false</trackRevisions>
    </reviewItem>
    <reviewItem>
      <errorID>f43d694a-fd1a-4cb5-b125-4764bbe54d4f</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597EB8B1</paraID>
      <start>0</start>
      <end>2</end>
      <status>unmodified</status>
      <modifiedWord/>
      <trackRevisions>false</trackRevisions>
    </reviewItem>
    <reviewItem>
      <errorID>0e4dce0f-6c72-4a19-b2a4-e59d79a0183a</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276C885</paraID>
      <start>0</start>
      <end>2</end>
      <status>unmodified</status>
      <modifiedWord/>
      <trackRevisions>false</trackRevisions>
    </reviewItem>
    <reviewItem>
      <errorID>ba9f43ee-f922-405e-91bc-ea03fda1d20c</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314EAF63</paraID>
      <start>0</start>
      <end>2</end>
      <status>unmodified</status>
      <modifiedWord/>
      <trackRevisions>false</trackRevisions>
    </reviewItem>
    <reviewItem>
      <errorID>9321fcd1-ed40-457a-8cad-bc9df86d3af3</errorID>
      <errorWord>涌水处理站</errorWord>
      <group>L1_Knowledge</group>
      <groupName>知识性问题</groupName>
      <ability>L2_Term</ability>
      <abilityName>专业术语</abilityName>
      <candidateList>
        <item>污水处理站</item>
      </candidateList>
      <explain/>
      <paraID>2CBCE277</paraID>
      <start>0</start>
      <end>5</end>
      <status>unmodified</status>
      <modifiedWord/>
      <trackRevisions>false</trackRevisions>
    </reviewItem>
    <reviewItem>
      <errorID>282bbbb8-713d-499a-9c06-cba1cbd7bd29</errorID>
      <errorWord>（</errorWord>
      <group>L1_Format</group>
      <groupName>格式问题</groupName>
      <ability>L2_HalfPunc</ability>
      <abilityName>全半角检查</abilityName>
      <candidateList>
        <item>(</item>
      </candidateList>
      <explain>文本全半角错误。</explain>
      <paraID>7B5789C3</paraID>
      <start>0</start>
      <end>1</end>
      <status>unmodified</status>
      <modifiedWord/>
      <trackRevisions>false</trackRevisions>
    </reviewItem>
    <reviewItem>
      <errorID>5079f3da-4171-4b39-b2c4-76ca25673996</errorID>
      <errorWord>）</errorWord>
      <group>L1_Format</group>
      <groupName>格式问题</groupName>
      <ability>L2_HalfPunc</ability>
      <abilityName>全半角检查</abilityName>
      <candidateList>
        <item>)</item>
      </candidateList>
      <explain>文本全半角错误。</explain>
      <paraID>7B5789C3</paraID>
      <start>5</start>
      <end>6</end>
      <status>unmodified</status>
      <modifiedWord/>
      <trackRevisions>false</trackRevisions>
    </reviewItem>
    <reviewItem>
      <errorID>40a3b08e-66da-4c93-981e-ec1064383af4</errorID>
      <errorWord>（</errorWord>
      <group>L1_Format</group>
      <groupName>格式问题</groupName>
      <ability>L2_HalfPunc</ability>
      <abilityName>全半角检查</abilityName>
      <candidateList>
        <item>(</item>
      </candidateList>
      <explain>文本全半角错误。</explain>
      <paraID>2402E078</paraID>
      <start>0</start>
      <end>1</end>
      <status>unmodified</status>
      <modifiedWord/>
      <trackRevisions>false</trackRevisions>
    </reviewItem>
    <reviewItem>
      <errorID>4cd8e3bc-0b4b-4f6f-8892-69783fb0629f</errorID>
      <errorWord>）</errorWord>
      <group>L1_Format</group>
      <groupName>格式问题</groupName>
      <ability>L2_HalfPunc</ability>
      <abilityName>全半角检查</abilityName>
      <candidateList>
        <item>)</item>
      </candidateList>
      <explain>文本全半角错误。</explain>
      <paraID>2402E078</paraID>
      <start>5</start>
      <end>6</end>
      <status>unmodified</status>
      <modifiedWord/>
      <trackRevisions>false</trackRevisions>
    </reviewItem>
    <reviewItem>
      <errorID>9ddddef1-22ca-46eb-95d6-a89ef4a3af52</errorID>
      <errorWord>时候</errorWord>
      <group>L1_Word</group>
      <groupName>字词问题</groupName>
      <ability>L2_Typo</ability>
      <abilityName>字词错误</abilityName>
      <candidateList>
        <item>时</item>
      </candidateList>
      <explain>（時）shí❶〈名〉指比较长的一段时间：古～｜宋～｜盛极一～。❷〈名〉规定的时候：按～｜准～｜八点出发，过～不候。❸季节：四～｜农～｜应～。❹当前；现在：～下｜～新｜～事。❺时俗；时尚：入～｜合～。❻时辰：卯～｜辰～。❼〈量〉计时的单位，小时（点）：上午八～。❽时机：失～｜待～而动。❾〈副〉时常：～～｜～有出现。❿〈副〉叠用，跟“时而…时而…”相同；有时候：～断～续｜～快～慢。注意“时…时…”后面通常用单音词，“时而…时而…”没有限制。⑪名一种语法范畴，表示动词所指动作在什么时候发生。很多语言的动词分现在时、过去时和将来时，有些语言分得更细。⑫（Shí）〈名〉姓。</explain>
      <paraID>15B4C229</paraID>
      <start>161</start>
      <end>162</end>
      <status>modified</status>
      <modifiedWord>时</modifiedWord>
      <trackRevisions>false</trackRevisions>
    </reviewItem>
    <reviewItem>
      <errorID>c1c99fc9-1504-4f39-8cdb-590a8c1e0206</errorID>
      <errorWord>-</errorWord>
      <group>L1_Format</group>
      <groupName>格式问题</groupName>
      <ability>L2_HalfPunc</ability>
      <abilityName>全半角检查</abilityName>
      <candidateList>
        <item>－</item>
      </candidateList>
      <explain>文本全半角错误。</explain>
      <paraID>3AE29ABD</paraID>
      <start>186</start>
      <end>187</end>
      <status>unmodified</status>
      <modifiedWord/>
      <trackRevisions>false</trackRevisions>
    </reviewItem>
    <reviewItem>
      <errorID>782f65b0-6906-43ef-9e21-977a74555de0</errorID>
      <errorWord>-</errorWord>
      <group>L1_Format</group>
      <groupName>格式问题</groupName>
      <ability>L2_HalfPunc</ability>
      <abilityName>全半角检查</abilityName>
      <candidateList>
        <item>－</item>
      </candidateList>
      <explain>文本全半角错误。</explain>
      <paraID>3AE29ABD</paraID>
      <start>188</start>
      <end>189</end>
      <status>unmodified</status>
      <modifiedWord/>
      <trackRevisions>false</trackRevisions>
    </reviewItem>
    <reviewItem>
      <errorID>d0aac772-f423-4de0-b334-471a881c2511</errorID>
      <errorWord>减小</errorWord>
      <group>L1_Word</group>
      <groupName>字词问题</groupName>
      <ability>L2_Typo</ability>
      <abilityName>字词错误</abilityName>
      <candidateList>
        <item>减少</item>
      </candidateList>
      <explain>存在字形相近字词的误用。</explain>
      <paraID>22DB497C</paraID>
      <start>39</start>
      <end>41</end>
      <status>modified</status>
      <modifiedWord>减少</modifiedWord>
      <trackRevisions>false</trackRevisions>
    </reviewItem>
    <reviewItem>
      <errorID>37370383-d633-42d9-92af-e7c054096940</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64598D94</paraID>
      <start>0</start>
      <end>2</end>
      <status>unmodified</status>
      <modifiedWord/>
      <trackRevisions>false</trackRevisions>
    </reviewItem>
    <reviewItem>
      <errorID>88e0e753-0a1f-452e-81ad-630200724103</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1724C4D2</paraID>
      <start>0</start>
      <end>2</end>
      <status>unmodified</status>
      <modifiedWord/>
      <trackRevisions>false</trackRevisions>
    </reviewItem>
    <reviewItem>
      <errorID>7866eb66-a671-453f-96dc-c72a61456f56</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38F3E9F7</paraID>
      <start>0</start>
      <end>2</end>
      <status>unmodified</status>
      <modifiedWord/>
      <trackRevisions>false</trackRevisions>
    </reviewItem>
    <reviewItem>
      <errorID>05609817-d627-4452-845c-e9f0d95df96c</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3863C210</paraID>
      <start>0</start>
      <end>2</end>
      <status>unmodified</status>
      <modifiedWord/>
      <trackRevisions>false</trackRevisions>
    </reviewItem>
    <reviewItem>
      <errorID>26346650-839e-4879-8d0d-b318165eb621</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6BA1E479</paraID>
      <start>0</start>
      <end>2</end>
      <status>unmodified</status>
      <modifiedWord/>
      <trackRevisions>false</trackRevisions>
    </reviewItem>
    <reviewItem>
      <errorID>4c116f43-1e69-4b7f-b419-86d74eec6098</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51C3A0C7</paraID>
      <start>0</start>
      <end>2</end>
      <status>unmodified</status>
      <modifiedWord/>
      <trackRevisions>false</trackRevisions>
    </reviewItem>
    <reviewItem>
      <errorID>4afa7b2e-7094-49c8-9762-fa16ac91e1af</errorID>
      <errorWord>7、</errorWord>
      <group>L1_Format</group>
      <groupName>格式问题</groupName>
      <ability>L2_Ordinal</ability>
      <abilityName>序号格式</abilityName>
      <candidateList>
        <item>7.</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55AE6649</paraID>
      <start>0</start>
      <end>2</end>
      <status>unmodified</status>
      <modifiedWord/>
      <trackRevisions>false</trackRevisions>
    </reviewItem>
    <reviewItem>
      <errorID>c0c0eea5-3419-42f7-9166-37d278a426d0</errorID>
      <errorWord>涌水处理站</errorWord>
      <group>L1_Knowledge</group>
      <groupName>知识性问题</groupName>
      <ability>L2_Term</ability>
      <abilityName>专业术语</abilityName>
      <candidateList>
        <item>污水处理站</item>
      </candidateList>
      <explain/>
      <paraID>6563B96D</paraID>
      <start>52</start>
      <end>57</end>
      <status>unmodified</status>
      <modifiedWord/>
      <trackRevisions>false</trackRevisions>
    </reviewItem>
    <reviewItem>
      <errorID>1646b41e-4c8a-4694-bc9e-d376e3e35d97</errorID>
      <errorWord>8、</errorWord>
      <group>L1_Format</group>
      <groupName>格式问题</groupName>
      <ability>L2_Ordinal</ability>
      <abilityName>序号格式</abilityName>
      <candidateList>
        <item>8.</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38E8D31</paraID>
      <start>0</start>
      <end>2</end>
      <status>unmodified</status>
      <modifiedWord/>
      <trackRevisions>false</trackRevisions>
    </reviewItem>
    <reviewItem>
      <errorID>920b2b60-f02e-4ee6-8dfc-e4f6671de15d</errorID>
      <errorWord>，</errorWord>
      <group>L1_Format</group>
      <groupName>格式问题</groupName>
      <ability>L2_HalfPunc</ability>
      <abilityName>全半角检查</abilityName>
      <candidateList>
        <item>, </item>
      </candidateList>
      <explain>文本全半角错误。</explain>
      <paraID>3C02CAF3</paraID>
      <start>1</start>
      <end>2</end>
      <status>unmodified</status>
      <modifiedWord/>
      <trackRevisions>false</trackRevisions>
    </reviewItem>
    <reviewItem>
      <errorID>b513e4ce-4d10-4765-aaa0-c4a9476f6a4e</errorID>
      <errorWord>交有</errorWord>
      <group>L1_Word</group>
      <groupName>字词问题</groupName>
      <ability>L2_Typo</ability>
      <abilityName>字词错误</abilityName>
      <candidateList>
        <item>交由</item>
      </candidateList>
      <explain>存在发音相同字词的误用。</explain>
      <paraID>5B101584</paraID>
      <start>0</start>
      <end>2</end>
      <status>ignored</status>
      <modifiedWord/>
      <trackRevisions>false</trackRevisions>
    </reviewItem>
    <reviewItem>
      <errorID>83319daf-9bc2-4aec-a671-aa77fdd97308</errorID>
      <errorWord>交有</errorWord>
      <group>L1_Word</group>
      <groupName>字词问题</groupName>
      <ability>L2_Typo</ability>
      <abilityName>字词错误</abilityName>
      <candidateList>
        <item>交由</item>
      </candidateList>
      <explain>存在发音相同字词的误用。</explain>
      <paraID> F6AD0FA</paraID>
      <start>0</start>
      <end>2</end>
      <status>unmodified</status>
      <modifiedWord/>
      <trackRevisions>false</trackRevisions>
    </reviewItem>
    <reviewItem>
      <errorID>b85d5236-c751-41e7-97dd-2ed9a3395e94</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70193595</paraID>
      <start>0</start>
      <end>2</end>
      <status>ignored</status>
      <modifiedWord/>
      <trackRevisions>false</trackRevisions>
    </reviewItem>
    <reviewItem>
      <errorID>eb6fc9ed-c174-48e5-a614-f3fb78792e2e</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5C4FAC49</paraID>
      <start>0</start>
      <end>2</end>
      <status>unmodified</status>
      <modifiedWord/>
      <trackRevisions>false</trackRevisions>
    </reviewItem>
    <reviewItem>
      <errorID>8bcb807f-6639-4a32-a629-b63c7657b745</errorID>
      <errorWord>期</errorWord>
      <group>L1_Word</group>
      <groupName>字词问题</groupName>
      <ability>L2_Typo</ability>
      <abilityName>字词错误</abilityName>
      <candidateList>
        <item>期间</item>
      </candidateList>
      <explain>〈名〉某个时期里面：农忙～｜春节～｜抗战～。</explain>
      <paraID>180E643C</paraID>
      <start>34</start>
      <end>35</end>
      <status>unmodified</status>
      <modifiedWord/>
      <trackRevisions>false</trackRevisions>
    </reviewItem>
    <reviewItem>
      <errorID>4d0ae4c6-a7d0-466d-a04c-372734876145</errorID>
      <errorWord>，。</errorWord>
      <group>L1_Punc</group>
      <groupName>标点问题</groupName>
      <ability>L2_Punc</ability>
      <abilityName>标点符号检查</abilityName>
      <candidateList>
        <item>，</item>
      </candidateList>
      <explain/>
      <paraID>180E643C</paraID>
      <start>66</start>
      <end>68</end>
      <status>unmodified</status>
      <modifiedWord/>
      <trackRevisions>false</trackRevisions>
    </reviewItem>
    <reviewItem>
      <errorID>d9618746-bf68-43b4-89a5-ec057b4bd1f5</errorID>
      <errorWord>回水系统</errorWord>
      <group>L1_Knowledge</group>
      <groupName>知识性问题</groupName>
      <ability>L2_Term</ability>
      <abilityName>专业术语</abilityName>
      <candidateList>
        <item>泄水系统</item>
      </candidateList>
      <explain/>
      <paraID>66D50316</paraID>
      <start>19</start>
      <end>23</end>
      <status>unmodified</status>
      <modifiedWord/>
      <trackRevisions>false</trackRevisions>
    </reviewItem>
    <reviewItem>
      <errorID>948e6f64-990c-4a28-8f73-396e4f5f6234</errorID>
      <errorWord>漫流</errorWord>
      <group>L1_Word</group>
      <groupName>字词问题</groupName>
      <ability>L2_Typo</ability>
      <abilityName>字词错误</abilityName>
      <candidateList>
        <item>径流</item>
      </candidateList>
      <explain>〈名〉降水除蒸发的、被土地吸收的和被拦堵的以外，沿着地面流走的水叫径流。渗入地下的也可以形成地下径流。</explain>
      <paraID>66D50316</paraID>
      <start>55</start>
      <end>57</end>
      <status>unmodified</status>
      <modifiedWord/>
      <trackRevisions>false</trackRevisions>
    </reviewItem>
    <reviewItem>
      <errorID>b17b9e80-5937-41d1-ab96-71dba57c811d</errorID>
      <errorWord>涌水处理站</errorWord>
      <group>L1_Knowledge</group>
      <groupName>知识性问题</groupName>
      <ability>L2_Term</ability>
      <abilityName>专业术语</abilityName>
      <candidateList>
        <item>污水处理站</item>
      </candidateList>
      <explain/>
      <paraID>5FD2099A</paraID>
      <start>12</start>
      <end>17</end>
      <status>unmodified</status>
      <modifiedWord/>
      <trackRevisions>false</trackRevisions>
    </reviewItem>
    <reviewItem>
      <errorID>9295ef75-e8ea-463c-8049-57b6ddd5a7bb</errorID>
      <errorWord>也是</errorWord>
      <group>L1_Word</group>
      <groupName>字词问题</groupName>
      <ability>L2_Typo</ability>
      <abilityName>字词错误</abilityName>
      <candidateList>
        <item>也</item>
      </candidateList>
      <explain>〈副〉❶表示同样：水库可以灌溉、发电，～可以养鱼。❷单用或叠用，强调两事并列或对待：他会英语，～会法语｜游客里面～有坐车的，～有步行的。❸叠用，表示无论这样或那样，结果都相同：你去我～去，你不去我～去｜他左想～不是，右想～不是。❹用在转折或让步的句子里（常跟上文的“虽然、即使”等呼应），隐含结果相同的意思：虽然雨下得很大，他～来了｜即使你不说，我～知道（你说了，我知道；你不说，我也同样知道）。❺表示委婉：你～得对人宽容点儿嘛｜这事儿～只好如此了。❻表示强调（有时跟上文的“连”字呼应）：七八岁的孩子～学会电脑了｜连爷爷～乐得合不拢嘴。</explain>
      <paraID>5FD2099A</paraID>
      <start>57</start>
      <end>59</end>
      <status>unmodified</status>
      <modifiedWord/>
      <trackRevisions>false</trackRevisions>
    </reviewItem>
    <reviewItem>
      <errorID>af9036bd-a93d-412c-91ef-ffbca46c5d3a</errorID>
      <errorWord>防渗处理</errorWord>
      <group>L1_Knowledge</group>
      <groupName>知识性问题</groupName>
      <ability>L2_Term</ability>
      <abilityName>专业术语</abilityName>
      <candidateList>
        <item>防蚀处理</item>
      </candidateList>
      <explain/>
      <paraID>5FD2099A</paraID>
      <start>65</start>
      <end>69</end>
      <status>unmodified</status>
      <modifiedWord/>
      <trackRevisions>false</trackRevisions>
    </reviewItem>
    <reviewItem>
      <errorID>96141978-9ecf-434d-9670-414530edeccb</errorID>
      <errorWord>建设项目在</errorWord>
      <group>L1_Word</group>
      <groupName>字词问题</groupName>
      <ability>L2_Typo</ability>
      <abilityName>字词错误</abilityName>
      <candidateList>
        <item>建设项目</item>
      </candidateList>
      <explain/>
      <paraID>3176C2FC</paraID>
      <start>46</start>
      <end>51</end>
      <status>unmodified</status>
      <modifiedWord/>
      <trackRevisions>false</trackRevisions>
    </reviewItem>
    <reviewItem>
      <errorID>11e782bc-e431-4dbe-a2d5-ff3141d9c167</errorID>
      <errorWord>物质数量</errorWord>
      <group>L1_Knowledge</group>
      <groupName>知识性问题</groupName>
      <ability>L2_Term</ability>
      <abilityName>专业术语</abilityName>
      <candidateList>
        <item>物质的量</item>
      </candidateList>
      <explain/>
      <paraID>1EFE8FB2</paraID>
      <start>14</start>
      <end>18</end>
      <status>unmodified</status>
      <modifiedWord/>
      <trackRevisions>false</trackRevisions>
    </reviewItem>
    <reviewItem>
      <errorID>7447a0ff-2593-4e20-a134-313601346e7a</errorID>
      <errorWord>)</errorWord>
      <group>L1_Format</group>
      <groupName>格式问题</groupName>
      <ability>L2_HalfPunc</ability>
      <abilityName>全半角检查</abilityName>
      <candidateList>
        <item>）</item>
      </candidateList>
      <explain>文本全半角错误。</explain>
      <paraID>705C3514</paraID>
      <start>8</start>
      <end>9</end>
      <status>unmodified</status>
      <modifiedWord/>
      <trackRevisions>false</trackRevisions>
    </reviewItem>
    <reviewItem>
      <errorID>260feac1-f3ee-44cb-b775-ebc246ae3caa</errorID>
      <errorWord>致冷剂</errorWord>
      <group>L1_Word</group>
      <groupName>字词问题</groupName>
      <ability>L2_Typo</ability>
      <abilityName>字词错误</abilityName>
      <candidateList>
        <item>制冷剂</item>
      </candidateList>
      <explain/>
      <paraID>2CD0842A</paraID>
      <start>11</start>
      <end>14</end>
      <status>modified</status>
      <modifiedWord>制冷剂</modifiedWord>
      <trackRevisions>false</trackRevisions>
    </reviewItem>
    <reviewItem>
      <errorID>01ee6976-436d-49ad-9a17-2e44c01c3db8</errorID>
      <errorWord>紫绀</errorWord>
      <group>L1_Knowledge</group>
      <groupName>知识性问题</groupName>
      <ability>L2_Term</ability>
      <abilityName>专业术语</abilityName>
      <candidateList>
        <item>发绀</item>
      </candidateList>
      <explain>医学名词[紫绀]为不规范表述或旧称，其规范书面表述为[发绀]。</explain>
      <paraID>735EDD3F</paraID>
      <start>67</start>
      <end>69</end>
      <status>unmodified</status>
      <modifiedWord/>
      <trackRevisions>false</trackRevisions>
    </reviewItem>
    <reviewItem>
      <errorID>4a10bbb8-6c07-48fd-8323-76e22d632a9e</errorID>
      <errorWord>：</errorWord>
      <group>L1_Format</group>
      <groupName>格式问题</groupName>
      <ability>L2_HalfPunc</ability>
      <abilityName>全半角检查</abilityName>
      <candidateList>
        <item>:</item>
      </candidateList>
      <explain>文本全半角错误。</explain>
      <paraID>106AD647</paraID>
      <start>4</start>
      <end>5</end>
      <status>unmodified</status>
      <modifiedWord/>
      <trackRevisions>false</trackRevisions>
    </reviewItem>
    <reviewItem>
      <errorID>425cd58f-f306-435c-a0a9-3226fa9cc9ff</errorID>
      <errorWord>：</errorWord>
      <group>L1_Format</group>
      <groupName>格式问题</groupName>
      <ability>L2_HalfPunc</ability>
      <abilityName>全半角检查</abilityName>
      <candidateList>
        <item>:</item>
      </candidateList>
      <explain>文本全半角错误。</explain>
      <paraID>28CAB45E</paraID>
      <start>4</start>
      <end>5</end>
      <status>unmodified</status>
      <modifiedWord/>
      <trackRevisions>false</trackRevisions>
    </reviewItem>
    <reviewItem>
      <errorID>95af1593-2c7a-4363-91c4-bbccded54563</errorID>
      <errorWord>震动</errorWord>
      <group>L1_Word</group>
      <groupName>字词问题</groupName>
      <ability>L2_Typo</ability>
      <abilityName>字词错误</abilityName>
      <candidateList>
        <item>振动</item>
      </candidateList>
      <explain>存在发音相同字词的误用。</explain>
      <paraID>4B95342F</paraID>
      <start>176</start>
      <end>178</end>
      <status>unmodified</status>
      <modifiedWord/>
      <trackRevisions>false</trackRevisions>
    </reviewItem>
    <reviewItem>
      <errorID>5e9989ee-e08c-410d-ae88-eaaa385d4991</errorID>
      <errorWord>刺激症</errorWord>
      <group>L1_Knowledge</group>
      <groupName>知识性问题</groupName>
      <ability>L2_Term</ability>
      <abilityName>专业术语</abilityName>
      <candidateList>
        <item>刺激征</item>
      </candidateList>
      <explain>医学名词[刺激症]为不规范表述或旧称，其规范书面表述为[刺激征]。</explain>
      <paraID> 330FA5F</paraID>
      <start>71</start>
      <end>74</end>
      <status>unmodified</status>
      <modifiedWord/>
      <trackRevisions>false</trackRevisions>
    </reviewItem>
    <reviewItem>
      <errorID>14813f08-72eb-46fd-80b6-4dc3df9dfae2</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3FA73535</paraID>
      <start>0</start>
      <end>2</end>
      <status>unmodified</status>
      <modifiedWord/>
      <trackRevisions>false</trackRevisions>
    </reviewItem>
    <reviewItem>
      <errorID>b116f8fa-121f-4521-bb93-646d57246267</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234BE234</paraID>
      <start>0</start>
      <end>2</end>
      <status>unmodified</status>
      <modifiedWord/>
      <trackRevisions>false</trackRevisions>
    </reviewItem>
    <reviewItem>
      <errorID>63c902aa-6dba-46a3-adbf-50e7dd6c095a</errorID>
      <errorWord>泄露</errorWord>
      <group>L1_Word</group>
      <groupName>字词问题</groupName>
      <ability>L2_Typo</ability>
      <abilityName>字词错误</abilityName>
      <candidateList>
        <item>泄漏</item>
      </candidateList>
      <explain>存在发音相同字词的误用。</explain>
      <paraID>1272BF98</paraID>
      <start>8</start>
      <end>10</end>
      <status>unmodified</status>
      <modifiedWord/>
      <trackRevisions>false</trackRevisions>
    </reviewItem>
    <reviewItem>
      <errorID>a3efbbbd-25d5-4d75-92c4-c38b99e70ddf</errorID>
      <errorWord>程</errorWord>
      <group>L1_Word</group>
      <groupName>字词问题</groupName>
      <ability>L2_Typo</ability>
      <abilityName>字词错误</abilityName>
      <candidateList>
        <item>程中</item>
      </candidateList>
      <explain/>
      <paraID>3FC8C875</paraID>
      <start>77</start>
      <end>78</end>
      <status>unmodified</status>
      <modifiedWord/>
      <trackRevisions>false</trackRevisions>
    </reviewItem>
    <reviewItem>
      <errorID>a9c974c4-251c-4bdd-9c31-de084fd8435e</errorID>
      <errorWord>防治</errorWord>
      <group>L1_Word</group>
      <groupName>字词问题</groupName>
      <ability>L2_Typo</ability>
      <abilityName>字词错误</abilityName>
      <candidateList>
        <item>防止</item>
      </candidateList>
      <explain>〈动〉预先设法制止（坏事发生）：～煤气中毒｜～交通事故。</explain>
      <paraID> BD80B5A</paraID>
      <start>20</start>
      <end>22</end>
      <status>modified</status>
      <modifiedWord>防止</modifiedWord>
      <trackRevisions>false</trackRevisions>
    </reviewItem>
    <reviewItem>
      <errorID>a1d792db-1f2a-4112-b853-6622fef757f2</errorID>
      <errorWord>设</errorWord>
      <group>L1_Word</group>
      <groupName>字词问题</groupName>
      <ability>L2_Typo</ability>
      <abilityName>字词错误</abilityName>
      <candidateList>
        <item>设有</item>
      </candidateList>
      <explain/>
      <paraID>661058EC</paraID>
      <start>5</start>
      <end>6</end>
      <status>unmodified</status>
      <modifiedWord/>
      <trackRevisions>false</trackRevisions>
    </reviewItem>
    <reviewItem>
      <errorID>a7ab3a07-127b-4c12-ba1c-43a8c86a4604</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396C8EAF</paraID>
      <start>93</start>
      <end>94</end>
      <status>unmodified</status>
      <modifiedWord/>
      <trackRevisions>false</trackRevisions>
    </reviewItem>
    <reviewItem>
      <errorID>8b5d5ce9-515e-4cee-b515-e4a8bd17d0bf</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396C8EAF</paraID>
      <start>130</start>
      <end>131</end>
      <status>unmodified</status>
      <modifiedWord/>
      <trackRevisions>false</trackRevisions>
    </reviewItem>
    <reviewItem>
      <errorID>088fdbe2-7390-4685-8225-0476a4d99a64</errorID>
      <errorWord>提高</errorWord>
      <group>L1_Word</group>
      <groupName>字词问题</groupName>
      <ability>L2_Typo</ability>
      <abilityName>字词错误</abilityName>
      <candidateList>
        <item>增强</item>
      </candidateList>
      <explain>“提高～意识”搭配不当，建议修改为“增强～意识”。</explain>
      <paraID>14A5724A</paraID>
      <start>9</start>
      <end>11</end>
      <status>unmodified</status>
      <modifiedWord/>
      <trackRevisions>false</trackRevisions>
    </reviewItem>
    <reviewItem>
      <errorID>be4fee6c-c75f-48b8-b15d-2eb92f3c2d96</errorID>
      <errorWord>活动息</errorWord>
      <group>L1_Word</group>
      <groupName>字词问题</groupName>
      <ability>L2_Typo</ability>
      <abilityName>字词错误</abilityName>
      <candidateList>
        <item>活动</item>
      </candidateList>
      <explain>❶〈动〉（肢体）〈动〉弹；运动：坐久了应该站起来～～｜出去散散步，～一下筋骨。❷〈动〉为某种目的而行动：抗战时这一带常有游击队～。❸〈动〉〈动〉摇；不稳定：这个桌子直～｜门牙～了。❹〈形〉灵活；不固定：～模型｜～房屋｜条文规定得比较～。❺〈名〉为达到某种目的而采取的行动：野外～｜文娱～｜体育～｜政治～。❻〈动〉指钻营、说情、行贿：他为逃避纳税四处～。</explain>
      <paraID>51346CF1</paraID>
      <start>35</start>
      <end>37</end>
      <status>modified</status>
      <modifiedWord>活动</modifiedWord>
      <trackRevisions>false</trackRevisions>
    </reviewItem>
    <reviewItem>
      <errorID>a0da06ea-6886-491f-8647-66d729da15f0</errorID>
      <errorWord>零乱</errorWord>
      <group>L1_Word</group>
      <groupName>字词问题</groupName>
      <ability>L2_Typo</ability>
      <abilityName>字词错误</abilityName>
      <candidateList>
        <item>凌乱</item>
      </candidateList>
      <explain>存在发音相同字词的误用。</explain>
      <paraID>19BCC796</paraID>
      <start>77</start>
      <end>79</end>
      <status>modified</status>
      <modifiedWord>凌乱</modifiedWord>
      <trackRevisions>false</trackRevisions>
    </reviewItem>
    <reviewItem>
      <errorID>1d719b29-0c4b-4ce5-82df-17e41436d30d</errorID>
      <errorWord>期</errorWord>
      <group>L1_Word</group>
      <groupName>字词问题</groupName>
      <ability>L2_Typo</ability>
      <abilityName>字词错误</abilityName>
      <candidateList>
        <item>期间</item>
      </candidateList>
      <explain>〈名〉某个时期里面：农忙～｜春节～｜抗战～。</explain>
      <paraID>73EA37C8</paraID>
      <start>233</start>
      <end>234</end>
      <status>unmodified</status>
      <modifiedWord/>
      <trackRevisions>false</trackRevisions>
    </reviewItem>
    <reviewItem>
      <errorID>4e03c45b-5dba-49e9-9e2d-82f6c70a461a</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40916B44</paraID>
      <start>0</start>
      <end>2</end>
      <status>unmodified</status>
      <modifiedWord/>
      <trackRevisions>false</trackRevisions>
    </reviewItem>
    <reviewItem>
      <errorID>3bea1f40-af94-4a0d-bfa9-c6a1e12b2def</errorID>
      <errorWord>评价</errorWord>
      <group>L1_Word</group>
      <groupName>字词问题</groupName>
      <ability>L2_Typo</ability>
      <abilityName>字词错误</abilityName>
      <candidateList>
        <item>平价</item>
      </candidateList>
      <explain/>
      <paraID>25CCE007</paraID>
      <start>200</start>
      <end>202</end>
      <status>unmodified</status>
      <modifiedWord/>
      <trackRevisions>false</trackRevisions>
    </reviewItem>
    <reviewItem>
      <errorID>e1250a12-e887-46d4-baa6-a317a6375afa</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3FBB3B98</paraID>
      <start>0</start>
      <end>2</end>
      <status>unmodified</status>
      <modifiedWord/>
      <trackRevisions>false</trackRevisions>
    </reviewItem>
    <reviewItem>
      <errorID>0c40ee65-49d0-42e3-b12c-eac16384abcf</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8579991</paraID>
      <start>0</start>
      <end>2</end>
      <status>unmodified</status>
      <modifiedWord/>
      <trackRevisions>false</trackRevisions>
    </reviewItem>
    <reviewItem>
      <errorID>40b27ef2-6495-4c34-a17e-254682f576f5</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74510D91</paraID>
      <start>0</start>
      <end>2</end>
      <status>unmodified</status>
      <modifiedWord/>
      <trackRevisions>false</trackRevisions>
    </reviewItem>
    <reviewItem>
      <errorID>7acea581-572f-4f06-86be-ec36ef7318b8</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492491B</paraID>
      <start>296</start>
      <end>297</end>
      <status>unmodified</status>
      <modifiedWord/>
      <trackRevisions>false</trackRevisions>
    </reviewItem>
    <reviewItem>
      <errorID>c7509c7a-dbd9-491c-b2d4-b5ec565e41f8</errorID>
      <errorWord>鰓</errorWord>
      <group>L1_Word</group>
      <groupName>字词问题</groupName>
      <ability>L2_Fanti</ability>
      <abilityName>繁转简</abilityName>
      <candidateList>
        <item>鳃</item>
      </candidateList>
      <explain/>
      <paraID>33C7188C</paraID>
      <start>31</start>
      <end>32</end>
      <status>unmodified</status>
      <modifiedWord/>
      <trackRevisions>false</trackRevisions>
    </reviewItem>
    <reviewItem>
      <errorID>cf475fa5-7b1e-454a-8379-1b6448935b1b</errorID>
      <errorWord>国家林业局</errorWord>
      <group>L1_Knowledge</group>
      <groupName>知识性问题</groupName>
      <ability>L2_Organization</ability>
      <abilityName>机构检查</abilityName>
      <candidateList>
        <item>国家林业和草原局</item>
      </candidateList>
      <explain>2018年3月，中共中央印发了《深化党和国家机构改革方案》，将国家林业局的职责，整合到新组建的国家林业和草原局。</explain>
      <paraID> 235E359</paraID>
      <start>59</start>
      <end>67</end>
      <status>modified</status>
      <modifiedWord>国家林业和草原局</modifiedWord>
      <trackRevisions>false</trackRevisions>
    </reviewItem>
    <reviewItem>
      <errorID>aa801c0d-cc62-4a82-8968-0ba0db311a7a</errorID>
      <errorWord>阻抗</errorWord>
      <group>L1_Word</group>
      <groupName>字词问题</groupName>
      <ability>L2_Typo</ability>
      <abilityName>字词错误</abilityName>
      <candidateList>
        <item>抵抗</item>
      </candidateList>
      <explain/>
      <paraID>7BE5CBD7</paraID>
      <start>45</start>
      <end>47</end>
      <status>modified</status>
      <modifiedWord>抵抗</modifiedWord>
      <trackRevisions>false</trackRevisions>
    </reviewItem>
    <reviewItem>
      <errorID>c3eeb61e-0676-47ae-92f5-52a17d90b842</errorID>
      <errorWord>完</errorWord>
      <group>L1_Word</group>
      <groupName>字词问题</groupName>
      <ability>L2_Typo</ability>
      <abilityName>字词错误</abilityName>
      <candidateList>
        <item>完成</item>
      </candidateList>
      <explain>〈动〉按照预期的目的结束；做成：～任务｜～作业｜计划完得成。</explain>
      <paraID> C3054C5</paraID>
      <start>109</start>
      <end>110</end>
      <status>unmodified</status>
      <modifiedWord/>
      <trackRevisions>false</trackRevisions>
    </reviewItem>
    <reviewItem>
      <errorID>e7f54db9-4c8a-41fb-a50f-4ea5f0068d7b</errorID>
      <errorWord>最优化</errorWord>
      <group>L1_Word</group>
      <groupName>字词问题</groupName>
      <ability>L2_Typo</ability>
      <abilityName>字词错误</abilityName>
      <candidateList>
        <item>优化</item>
      </candidateList>
      <explain/>
      <paraID> C3054C5</paraID>
      <start>196</start>
      <end>199</end>
      <status>unmodified</status>
      <modifiedWord/>
      <trackRevisions>false</trackRevisions>
    </reviewItem>
    <reviewItem>
      <errorID>b0b335a6-14fc-427d-9cae-a1d9bd1a39e4</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1E5AD442</paraID>
      <start>0</start>
      <end>2</end>
      <status>unmodified</status>
      <modifiedWord/>
      <trackRevisions>false</trackRevisions>
    </reviewItem>
    <reviewItem>
      <errorID>b125720b-da9a-47b4-90b2-063f7b497a8a</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18FBB70D</paraID>
      <start>0</start>
      <end>2</end>
      <status>unmodified</status>
      <modifiedWord/>
      <trackRevisions>false</trackRevisions>
    </reviewItem>
    <reviewItem>
      <errorID>69ae0fcb-7f27-48c1-8b5c-84c0058476ed</errorID>
      <errorWord>森林法实施条例</errorWord>
      <group>L1_Knowledge</group>
      <groupName>知识性问题</groupName>
      <ability>L2_Knowledge</ability>
      <abilityName>其他知识</abilityName>
      <candidateList>
        <item>中华人民共和国森林法实施条例</item>
      </candidateList>
      <explain>当前法律法规名称使用简称，请注意是否应当使用全称。</explain>
      <paraID>67E5B316</paraID>
      <start>31</start>
      <end>45</end>
      <status>modified</status>
      <modifiedWord>中华人民共和国森林法实施条例</modifiedWord>
      <trackRevisions>false</trackRevisions>
    </reviewItem>
    <reviewItem>
      <errorID>2859b808-8626-4185-a692-4ae794a9a910</errorID>
      <errorWord>[2021]5号</errorWord>
      <group>L1_Knowledge</group>
      <groupName>知识性问题</groupName>
      <ability>L2_Knowledge</ability>
      <abilityName>其他知识</abilityName>
      <candidateList>
        <item>〔2021〕5号</item>
      </candidateList>
      <explain>发文字号格式错误。</explain>
      <paraID>67E5B316</paraID>
      <start>116</start>
      <end>124</end>
      <status>modified</status>
      <modifiedWord>〔2021〕5号</modifiedWord>
      <trackRevisions>false</trackRevisions>
    </reviewItem>
    <reviewItem>
      <errorID>6ab57b7d-f608-4567-b4c8-5b439480e4d6</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4F049860</paraID>
      <start>0</start>
      <end>2</end>
      <status>unmodified</status>
      <modifiedWord/>
      <trackRevisions>false</trackRevisions>
    </reviewItem>
    <reviewItem>
      <errorID>20a1215b-51a4-41ec-96f3-84c9faba74b8</errorID>
      <errorWord>生境</errorWord>
      <group>L1_Word</group>
      <groupName>字词问题</groupName>
      <ability>L2_Typo</ability>
      <abilityName>字词错误</abilityName>
      <candidateList>
        <item>生物</item>
      </candidateList>
      <explain/>
      <paraID>1773DF48</paraID>
      <start>9</start>
      <end>11</end>
      <status>unmodified</status>
      <modifiedWord/>
      <trackRevisions>false</trackRevisions>
    </reviewItem>
    <reviewItem>
      <errorID>cde72826-320e-401f-8d96-ea0bfa500c4c</errorID>
      <errorWord>提高</errorWord>
      <group>L1_Word</group>
      <groupName>字词问题</groupName>
      <ability>L2_Typo</ability>
      <abilityName>字词错误</abilityName>
      <candidateList>
        <item>增强</item>
      </candidateList>
      <explain>“提高～意识”搭配不当，建议修改为“增强～意识”。</explain>
      <paraID>35013F94</paraID>
      <start>31</start>
      <end>33</end>
      <status>unmodified</status>
      <modifiedWord/>
      <trackRevisions>false</trackRevisions>
    </reviewItem>
    <reviewItem>
      <errorID>c6967e1a-4ec7-4f5c-92b7-45dde04aa397</errorID>
      <errorWord>减震措施</errorWord>
      <group>L1_Knowledge</group>
      <groupName>知识性问题</groupName>
      <ability>L2_Term</ability>
      <abilityName>专业术语</abilityName>
      <candidateList>
        <item>减振措施</item>
      </candidateList>
      <explain/>
      <paraID>720B4FA1</paraID>
      <start>80</start>
      <end>84</end>
      <status>unmodified</status>
      <modifiedWord/>
      <trackRevisions>false</trackRevisions>
    </reviewItem>
    <reviewItem>
      <errorID>d23af5df-1f29-4690-a6fd-b5e1700b9fd3</errorID>
      <errorWord>沉砂池</errorWord>
      <group>L1_Word</group>
      <groupName>字词问题</groupName>
      <ability>L2_Typo</ability>
      <abilityName>字词错误</abilityName>
      <candidateList>
        <item>沉沙池</item>
      </candidateList>
      <explain>存在发音相同字词的误用。</explain>
      <paraID>7DCDE291</paraID>
      <start>94</start>
      <end>97</end>
      <status>unmodified</status>
      <modifiedWord/>
      <trackRevisions>false</trackRevisions>
    </reviewItem>
    <reviewItem>
      <errorID>7bfc9f6d-3932-419c-87bd-bba4e8527a53</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24E58AC4</paraID>
      <start>0</start>
      <end>2</end>
      <status>unmodified</status>
      <modifiedWord/>
      <trackRevisions>false</trackRevisions>
    </reviewItem>
    <reviewItem>
      <errorID>67dc61d9-4ce6-4c16-bad8-4b645984809b</errorID>
      <errorWord>播散</errorWord>
      <group>L1_Word</group>
      <groupName>字词问题</groupName>
      <ability>L2_Typo</ability>
      <abilityName>字词错误</abilityName>
      <candidateList>
        <item>播撒</item>
      </candidateList>
      <explain/>
      <paraID>2084758A</paraID>
      <start>196</start>
      <end>198</end>
      <status>modified</status>
      <modifiedWord>播撒</modifiedWord>
      <trackRevisions>false</trackRevisions>
    </reviewItem>
    <reviewItem>
      <errorID>c9e13d04-8eb6-463c-9297-8e0dd586bb7c</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37CC3C93</paraID>
      <start>0</start>
      <end>2</end>
      <status>unmodified</status>
      <modifiedWord/>
      <trackRevisions>false</trackRevisions>
    </reviewItem>
    <reviewItem>
      <errorID>0c74f27f-cbab-43a0-8db0-d4260428d9e0</errorID>
      <errorWord>法律、法规</errorWord>
      <group>L1_Word</group>
      <groupName>字词问题</groupName>
      <ability>L2_Typo</ability>
      <abilityName>字词错误</abilityName>
      <candidateList>
        <item>法律法规</item>
      </candidateList>
      <explain/>
      <paraID>22A47A0C</paraID>
      <start>97</start>
      <end>102</end>
      <status>unmodified</status>
      <modifiedWord/>
      <trackRevisions>false</trackRevisions>
    </reviewItem>
    <reviewItem>
      <errorID>7ced00f7-5f42-4197-a560-31b33e0b7a24</errorID>
      <errorWord>，</errorWord>
      <group>L1_Word</group>
      <groupName>字词问题</groupName>
      <ability>L2_Typo</ability>
      <abilityName>字词错误</abilityName>
      <candidateList>
        <item>，在</item>
      </candidateList>
      <explain/>
      <paraID>3A4B6977</paraID>
      <start>17</start>
      <end>18</end>
      <status>unmodified</status>
      <modifiedWord/>
      <trackRevisions>false</trackRevisions>
    </reviewItem>
    <reviewItem>
      <errorID>73d89181-c1db-41b6-96eb-e987c6a321b4</errorID>
      <errorWord>，</errorWord>
      <group>L1_Word</group>
      <groupName>字词问题</groupName>
      <ability>L2_Typo</ability>
      <abilityName>字词错误</abilityName>
      <candidateList>
        <item>，在</item>
      </candidateList>
      <explain/>
      <paraID>1C21F0CF</paraID>
      <start>20</start>
      <end>21</end>
      <status>unmodified</status>
      <modifiedWord/>
      <trackRevisions>false</trackRevisions>
    </reviewItem>
    <reviewItem>
      <errorID>9f1c6312-697b-4d5d-a40e-1894a2211f54</errorID>
      <errorWord>期</errorWord>
      <group>L1_Word</group>
      <groupName>字词问题</groupName>
      <ability>L2_Typo</ability>
      <abilityName>字词错误</abilityName>
      <candidateList>
        <item>期间</item>
      </candidateList>
      <explain>〈名〉某个时期里面：农忙～｜春节～｜抗战～。</explain>
      <paraID>7B32D0B8</paraID>
      <start>5</start>
      <end>6</end>
      <status>unmodified</status>
      <modifiedWord/>
      <trackRevisions>false</trackRevisions>
    </reviewItem>
    <reviewItem>
      <errorID>6390a860-eca5-4a81-a5c2-b898452584e2</errorID>
      <errorWord>矿时</errorWord>
      <group>L1_Word</group>
      <groupName>字词问题</groupName>
      <ability>L2_Typo</ability>
      <abilityName>字词错误</abilityName>
      <candidateList>
        <item>矿石</item>
      </candidateList>
      <explain>存在发音相同字词的误用。</explain>
      <paraID>76E21940</paraID>
      <start>102</start>
      <end>104</end>
      <status>modified</status>
      <modifiedWord>矿石</modifiedWord>
      <trackRevisions>false</trackRevisions>
    </reviewItem>
    <reviewItem>
      <errorID>f248d3f5-9a36-4809-9faf-18585b7b38e8</errorID>
      <errorWord>别</errorWord>
      <group>L1_Word</group>
      <groupName>字词问题</groupName>
      <ability>L2_Typo</ability>
      <abilityName>字词错误</abilityName>
      <candidateList>
        <item>别和</item>
      </candidateList>
      <explain/>
      <paraID>4D1B4038</paraID>
      <start>62</start>
      <end>63</end>
      <status>unmodified</status>
      <modifiedWord/>
      <trackRevisions>false</trackRevisions>
    </reviewItem>
    <reviewItem>
      <errorID>4d3e216f-953c-45b0-934f-36316b8b429c</errorID>
      <errorWord>提高</errorWord>
      <group>L1_Word</group>
      <groupName>字词问题</groupName>
      <ability>L2_Typo</ability>
      <abilityName>字词错误</abilityName>
      <candidateList>
        <item>增强</item>
      </candidateList>
      <explain>“提高～意识”搭配不当，建议修改为“增强～意识”。</explain>
      <paraID>  ED84C8</paraID>
      <start>53</start>
      <end>55</end>
      <status>unmodified</status>
      <modifiedWord/>
      <trackRevisions>false</trackRevisions>
    </reviewItem>
    <reviewItem>
      <errorID>a0d1ae95-cd3a-4903-88e5-a70f000d89cc</errorID>
      <errorWord>期</errorWord>
      <group>L1_Word</group>
      <groupName>字词问题</groupName>
      <ability>L2_Typo</ability>
      <abilityName>字词错误</abilityName>
      <candidateList>
        <item>期间</item>
      </candidateList>
      <explain>〈名〉某个时期里面：农忙～｜春节～｜抗战～。</explain>
      <paraID>  ED84C8</paraID>
      <start>73</start>
      <end>74</end>
      <status>unmodified</status>
      <modifiedWord/>
      <trackRevisions>false</trackRevisions>
    </reviewItem>
    <reviewItem>
      <errorID>849b628b-5bbb-4937-9633-b741a6350d77</errorID>
      <errorWord>拌合</errorWord>
      <group>L1_Word</group>
      <groupName>字词问题</groupName>
      <ability>L2_Typo</ability>
      <abilityName>字词错误</abilityName>
      <candidateList>
        <item>拌和</item>
      </candidateList>
      <explain>存在发音相同字词的误用。</explain>
      <paraID>3FA68D22</paraID>
      <start>27</start>
      <end>29</end>
      <status>unmodified</status>
      <modifiedWord/>
      <trackRevisions>false</trackRevisions>
    </reviewItem>
    <reviewItem>
      <errorID>b7d51848-6535-423a-a4d0-5a1a558a3d77</errorID>
      <errorWord>工</errorWord>
      <group>L1_Word</group>
      <groupName>字词问题</groupName>
      <ability>L2_Typo</ability>
      <abilityName>字词错误</abilityName>
      <candidateList>
        <item>工现</item>
      </candidateList>
      <explain/>
      <paraID>3FA68D22</paraID>
      <start>33</start>
      <end>34</end>
      <status>unmodified</status>
      <modifiedWord/>
      <trackRevisions>false</trackRevisions>
    </reviewItem>
    <reviewItem>
      <errorID>d611b31e-6aa2-4db8-8618-2be60abbd488</errorID>
      <errorWord>的</errorWord>
      <group>L1_Word</group>
      <groupName>字词问题</groupName>
      <ability>L2_DDD</ability>
      <abilityName>的地得用法</abilityName>
      <candidateList>
        <item>地</item>
      </candidateList>
      <explain>“地”常用于连接修饰语与动词性中心语，表示动作的方式、状态或程度。</explain>
      <paraID>75277ADA</paraID>
      <start>28</start>
      <end>29</end>
      <status>unmodified</status>
      <modifiedWord/>
      <trackRevisions>false</trackRevisions>
    </reviewItem>
    <reviewItem>
      <errorID>9f5a8d0e-9aeb-41ad-9ea0-6191fdaf9ab0</errorID>
      <errorWord>排放限制</errorWord>
      <group>L1_Word</group>
      <groupName>字词问题</groupName>
      <ability>L2_Typo</ability>
      <abilityName>字词错误</abilityName>
      <candidateList>
        <item>排放限值</item>
      </candidateList>
      <explain/>
      <paraID>2620B308</paraID>
      <start>127</start>
      <end>131</end>
      <status>modified</status>
      <modifiedWord>排放限值</modifiedWord>
      <trackRevisions>false</trackRevisions>
    </reviewItem>
    <reviewItem>
      <errorID>93a1e7b1-eb69-49f7-a8a5-b14d5aa4b611</errorID>
      <errorWord>拌合和</errorWord>
      <group>L1_Word</group>
      <groupName>字词问题</groupName>
      <ability>L2_Typo</ability>
      <abilityName>字词错误</abilityName>
      <candidateList>
        <item>拌合</item>
      </candidateList>
      <explain/>
      <paraID>4514A22F</paraID>
      <start>50</start>
      <end>53</end>
      <status>unmodified</status>
      <modifiedWord/>
      <trackRevisions>false</trackRevisions>
    </reviewItem>
    <reviewItem>
      <errorID>e8404edc-b6aa-4c40-b302-66f4eea93928</errorID>
      <errorWord>涌水处理站</errorWord>
      <group>L1_Knowledge</group>
      <groupName>知识性问题</groupName>
      <ability>L2_Term</ability>
      <abilityName>专业术语</abilityName>
      <candidateList>
        <item>污水处理站</item>
      </candidateList>
      <explain/>
      <paraID>48B878FA</paraID>
      <start>204</start>
      <end>209</end>
      <status>unmodified</status>
      <modifiedWord/>
      <trackRevisions>false</trackRevisions>
    </reviewItem>
    <reviewItem>
      <errorID>826a8bc3-095e-41de-8484-193a1804dd3c</errorID>
      <errorWord>:</errorWord>
      <group>L1_Format</group>
      <groupName>格式问题</groupName>
      <ability>L2_HalfPunc</ability>
      <abilityName>全半角检查</abilityName>
      <candidateList>
        <item>：</item>
      </candidateList>
      <explain>文本全半角错误。</explain>
      <paraID>70E4938B</paraID>
      <start>4</start>
      <end>5</end>
      <status>unmodified</status>
      <modifiedWord/>
      <trackRevisions>false</trackRevisions>
    </reviewItem>
    <reviewItem>
      <errorID>5c1caf7d-61fd-43e3-97ec-9b2b4f7375a5</errorID>
      <errorWord>KW</errorWord>
      <group>L1_Word</group>
      <groupName>字词问题</groupName>
      <ability>L2_Typo</ability>
      <abilityName>字词错误</abilityName>
      <candidateList>
        <item>kW</item>
      </candidateList>
      <explain/>
      <paraID>70E4938B</paraID>
      <start>75</start>
      <end>77</end>
      <status>modified</status>
      <modifiedWord>kW</modifiedWord>
      <trackRevisions>false</trackRevisions>
    </reviewItem>
    <reviewItem>
      <errorID>47bf7380-e351-4d11-8bd2-a2f641dd87df</errorID>
      <errorWord>-</errorWord>
      <group>L1_Format</group>
      <groupName>格式问题</groupName>
      <ability>L2_HalfPunc</ability>
      <abilityName>全半角检查</abilityName>
      <candidateList>
        <item>－</item>
      </candidateList>
      <explain>文本全半角错误。</explain>
      <paraID>68263FD6</paraID>
      <start>5</start>
      <end>6</end>
      <status>unmodified</status>
      <modifiedWord/>
      <trackRevisions>false</trackRevisions>
    </reviewItem>
    <reviewItem>
      <errorID>a05e5e6a-64a8-498a-b397-e44ba5cbd6e0</errorID>
      <errorWord>70%-90%</errorWord>
      <group>L1_Knowledge</group>
      <groupName>知识性问题</groupName>
      <ability>L2_Knowledge</ability>
      <abilityName>其他知识</abilityName>
      <candidateList>
        <item>70%—90%</item>
      </candidateList>
      <explain>1. “70%-90%”中的单位“%”仅出现在后一个数字上，容易引起歧义；根据《现代汉语标点符号数字用法规范手册》，数字表示范围两边需要使用统一的格式。2. 根据标点国标 4.13 中的规则，数字、时间或地域连接符应使用（视觉上更长的）“—”或“～”。</explain>
      <paraID>3BE8200C</paraID>
      <start>225</start>
      <end>232</end>
      <status>unmodified</status>
      <modifiedWord/>
      <trackRevisions>false</trackRevisions>
    </reviewItem>
    <reviewItem>
      <errorID>597ceb82-a4aa-4664-be63-ebf372f5cc44</errorID>
      <errorWord>10%-20%</errorWord>
      <group>L1_Knowledge</group>
      <groupName>知识性问题</groupName>
      <ability>L2_Knowledge</ability>
      <abilityName>其他知识</abilityName>
      <candidateList>
        <item>10%—20%</item>
      </candidateList>
      <explain>1. “10%-20%”中的单位“%”仅出现在后一个数字上，容易引起歧义；根据《现代汉语标点符号数字用法规范手册》，数字表示范围两边需要使用统一的格式。2. 根据标点国标 4.13 中的规则，数字、时间或地域连接符应使用（视觉上更长的）“—”或“～”。</explain>
      <paraID>1013833A</paraID>
      <start>217</start>
      <end>224</end>
      <status>unmodified</status>
      <modifiedWord/>
      <trackRevisions>false</trackRevisions>
    </reviewItem>
    <reviewItem>
      <errorID>c6c43a70-4090-49c0-b299-9c9b7b2e7a2c</errorID>
      <errorWord>桥连</errorWord>
      <group>L1_Word</group>
      <groupName>字词问题</groupName>
      <ability>L2_Typo</ability>
      <abilityName>字词错误</abilityName>
      <candidateList>
        <item>桥联</item>
      </candidateList>
      <explain/>
      <paraID>74AED613</paraID>
      <start>73</start>
      <end>75</end>
      <status>unmodified</status>
      <modifiedWord/>
      <trackRevisions>false</trackRevisions>
    </reviewItem>
    <reviewItem>
      <errorID>8b1840a8-17ad-4b86-9e2a-146bede9b1dd</errorID>
      <errorWord>来自于</errorWord>
      <group>L1_Word</group>
      <groupName>字词问题</groupName>
      <ability>L2_Typo</ability>
      <abilityName>字词错误</abilityName>
      <candidateList>
        <item>来自</item>
      </candidateList>
      <explain/>
      <paraID>5BBA42DD</paraID>
      <start>25</start>
      <end>28</end>
      <status>unmodified</status>
      <modifiedWord/>
      <trackRevisions>false</trackRevisions>
    </reviewItem>
    <reviewItem>
      <errorID>8135a634-9451-4010-8e19-6b0947310754</errorID>
      <errorWord>总体水量</errorWord>
      <group>L1_Knowledge</group>
      <groupName>知识性问题</groupName>
      <ability>L2_Term</ability>
      <abilityName>专业术语</abilityName>
      <candidateList>
        <item>总排水量</item>
      </candidateList>
      <explain/>
      <paraID>5BBA42DD</paraID>
      <start>96</start>
      <end>100</end>
      <status>unmodified</status>
      <modifiedWord/>
      <trackRevisions>false</trackRevisions>
    </reviewItem>
    <reviewItem>
      <errorID>29145b53-cb5d-4f1d-a940-23d283a7568a</errorID>
      <errorWord>水质检测</errorWord>
      <group>L1_Word</group>
      <groupName>字词问题</groupName>
      <ability>L2_Typo</ability>
      <abilityName>字词错误</abilityName>
      <candidateList>
        <item>水质监测</item>
      </candidateList>
      <explain/>
      <paraID>6CDFFC27</paraID>
      <start>25</start>
      <end>29</end>
      <status>unmodified</status>
      <modifiedWord/>
      <trackRevisions>false</trackRevisions>
    </reviewItem>
    <reviewItem>
      <errorID>45c5a3bf-cd2a-4b3e-8910-20e4515e6058</errorID>
      <errorWord>：</errorWord>
      <group>L1_Format</group>
      <groupName>格式问题</groupName>
      <ability>L2_HalfPunc</ability>
      <abilityName>全半角检查</abilityName>
      <candidateList>
        <item>:</item>
      </candidateList>
      <explain>文本全半角错误。</explain>
      <paraID>5682AC5F</paraID>
      <start>38</start>
      <end>39</end>
      <status>unmodified</status>
      <modifiedWord/>
      <trackRevisions>false</trackRevisions>
    </reviewItem>
    <reviewItem>
      <errorID>fafb905f-3acb-4ef7-bb29-441ed194df3f</errorID>
      <errorWord>拌和</errorWord>
      <group>L1_Word</group>
      <groupName>字词问题</groupName>
      <ability>L2_Typo</ability>
      <abilityName>字词错误</abilityName>
      <candidateList>
        <item>拌合</item>
      </candidateList>
      <explain/>
      <paraID>37FF9B61</paraID>
      <start>6</start>
      <end>8</end>
      <status>unmodified</status>
      <modifiedWord/>
      <trackRevisions>false</trackRevisions>
    </reviewItem>
    <reviewItem>
      <errorID>b3697ecc-1aac-4fc3-91f3-33fc230a446c</errorID>
      <errorWord>为地下水</errorWord>
      <group>L1_Word</group>
      <groupName>字词问题</groupName>
      <ability>L2_Typo</ability>
      <abilityName>字词错误</abilityName>
      <candidateList>
        <item>内地下水</item>
      </candidateList>
      <explain/>
      <paraID>4EB600A6</paraID>
      <start>45</start>
      <end>49</end>
      <status>unmodified</status>
      <modifiedWord/>
      <trackRevisions>false</trackRevisions>
    </reviewItem>
    <reviewItem>
      <errorID>9b8efebb-e371-4c2e-8e01-78ba482afde9</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5DC4DE59</paraID>
      <start>0</start>
      <end>2</end>
      <status>unmodified</status>
      <modifiedWord/>
      <trackRevisions>false</trackRevisions>
    </reviewItem>
    <reviewItem>
      <errorID>6e702910-b2bc-4202-936e-7fc8fb0852c1</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301EDFE7</paraID>
      <start>0</start>
      <end>2</end>
      <status>unmodified</status>
      <modifiedWord/>
      <trackRevisions>false</trackRevisions>
    </reviewItem>
    <reviewItem>
      <errorID>7d5080ff-8a74-4923-96db-2aded68995be</errorID>
      <errorWord>黏土</errorWord>
      <group>L1_Word</group>
      <groupName>字词问题</groupName>
      <ability>L2_Typo</ability>
      <abilityName>字词错误</abilityName>
      <candidateList>
        <item>粘土</item>
      </candidateList>
      <explain/>
      <paraID>6D368102</paraID>
      <start>9</start>
      <end>11</end>
      <status>unmodified</status>
      <modifiedWord/>
      <trackRevisions>false</trackRevisions>
    </reviewItem>
    <reviewItem>
      <errorID>6c75f67c-e80f-4d95-ac2f-056c78ccc8c3</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6D368102</paraID>
      <start>28</start>
      <end>29</end>
      <status>unmodified</status>
      <modifiedWord/>
      <trackRevisions>false</trackRevisions>
    </reviewItem>
    <reviewItem>
      <errorID>93bec5b2-dee8-412c-a242-4c270a0c2db5</errorID>
      <errorWord>黏土</errorWord>
      <group>L1_Word</group>
      <groupName>字词问题</groupName>
      <ability>L2_Typo</ability>
      <abilityName>字词错误</abilityName>
      <candidateList>
        <item>粘土</item>
      </candidateList>
      <explain/>
      <paraID>2439B5DB</paraID>
      <start>36</start>
      <end>38</end>
      <status>unmodified</status>
      <modifiedWord/>
      <trackRevisions>false</trackRevisions>
    </reviewItem>
    <reviewItem>
      <errorID>0ae31737-b332-4b36-a3a3-5a32bd4bc474</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2439B5DB</paraID>
      <start>55</start>
      <end>56</end>
      <status>unmodified</status>
      <modifiedWord/>
      <trackRevisions>false</trackRevisions>
    </reviewItem>
    <reviewItem>
      <errorID>bbc89c61-94c3-42ea-a7d6-cd856d887904</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56F61C29</paraID>
      <start>40</start>
      <end>41</end>
      <status>unmodified</status>
      <modifiedWord/>
      <trackRevisions>false</trackRevisions>
    </reviewItem>
    <reviewItem>
      <errorID>c9d8825b-b6ec-47a2-80ba-38e759bf18bb</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56F61C29</paraID>
      <start>102</start>
      <end>103</end>
      <status>unmodified</status>
      <modifiedWord/>
      <trackRevisions>false</trackRevisions>
    </reviewItem>
    <reviewItem>
      <errorID>09905831-91fc-4e03-b5ab-9a0aac9cb98f</errorID>
      <errorWord>的</errorWord>
      <group>L1_Word</group>
      <groupName>字词问题</groupName>
      <ability>L2_DDD</ability>
      <abilityName>的地得用法</abilityName>
      <candidateList>
        <item>地</item>
      </candidateList>
      <explain>“地”常用于连接修饰语与动词性中心语，表示动作的方式、状态或程度。</explain>
      <paraID>68E46792</paraID>
      <start>90</start>
      <end>91</end>
      <status>unmodified</status>
      <modifiedWord/>
      <trackRevisions>false</trackRevisions>
    </reviewItem>
    <reviewItem>
      <errorID>82180d33-d91d-4044-90b0-dbe3c96883a5</errorID>
      <errorWord>公告版</errorWord>
      <group>L1_Word</group>
      <groupName>字词问题</groupName>
      <ability>L2_Typo</ability>
      <abilityName>字词错误</abilityName>
      <candidateList>
        <item>公告板</item>
      </candidateList>
      <explain/>
      <paraID>186FCF7E</paraID>
      <start>66</start>
      <end>69</end>
      <status>modified</status>
      <modifiedWord>公告板</modifiedWord>
      <trackRevisions>false</trackRevisions>
    </reviewItem>
    <reviewItem>
      <errorID>e7bf7382-a38b-4c85-8a74-948c8766c7fe</errorID>
      <errorWord>涌水处理站</errorWord>
      <group>L1_Knowledge</group>
      <groupName>知识性问题</groupName>
      <ability>L2_Term</ability>
      <abilityName>专业术语</abilityName>
      <candidateList>
        <item>污水处理站</item>
      </candidateList>
      <explain/>
      <paraID>17F1E8D8</paraID>
      <start>114</start>
      <end>119</end>
      <status>unmodified</status>
      <modifiedWord/>
      <trackRevisions>false</trackRevisions>
    </reviewItem>
    <reviewItem>
      <errorID>ded1ceb3-20d4-4bac-969b-53b8642bff33</errorID>
      <errorWord>水质中</errorWord>
      <group>L1_Word</group>
      <groupName>字词问题</groupName>
      <ability>L2_Typo</ability>
      <abilityName>字词错误</abilityName>
      <candidateList>
        <item>水质</item>
      </candidateList>
      <explain/>
      <paraID> 34C0606</paraID>
      <start>73</start>
      <end>76</end>
      <status>unmodified</status>
      <modifiedWord/>
      <trackRevisions>false</trackRevisions>
    </reviewItem>
    <reviewItem>
      <errorID>bfffc4cc-06c9-4494-828d-ac720742d0a7</errorID>
      <errorWord>上报给</errorWord>
      <group>L1_Word</group>
      <groupName>字词问题</groupName>
      <ability>L2_Typo</ability>
      <abilityName>字词错误</abilityName>
      <candidateList>
        <item>上报</item>
      </candidateList>
      <explain/>
      <paraID> 34C0606</paraID>
      <start>184</start>
      <end>187</end>
      <status>unmodified</status>
      <modifiedWord/>
      <trackRevisions>false</trackRevisions>
    </reviewItem>
    <reviewItem>
      <errorID>2d7021c2-134d-4fd5-a741-3fea960a4882</errorID>
      <errorWord>基建开挖</errorWord>
      <group>L1_Knowledge</group>
      <groupName>知识性问题</groupName>
      <ability>L2_Term</ability>
      <abilityName>专业术语</abilityName>
      <candidateList>
        <item>基坑开挖</item>
      </candidateList>
      <explain/>
      <paraID>71D7069B</paraID>
      <start>2</start>
      <end>6</end>
      <status>unmodified</status>
      <modifiedWord/>
      <trackRevisions>false</trackRevisions>
    </reviewItem>
    <reviewItem>
      <errorID>76c73a26-6363-4edd-ba6f-4796e02cc6dd</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635ABFD1</paraID>
      <start>0</start>
      <end>2</end>
      <status>unmodified</status>
      <modifiedWord/>
      <trackRevisions>false</trackRevisions>
    </reviewItem>
    <reviewItem>
      <errorID>e6303c53-631f-4e9f-bc00-55dfb2465661</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1964F4C</paraID>
      <start>0</start>
      <end>2</end>
      <status>unmodified</status>
      <modifiedWord/>
      <trackRevisions>false</trackRevisions>
    </reviewItem>
    <reviewItem>
      <errorID>75bfef38-754f-459d-b29f-fe2127c758c5</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331CC898</paraID>
      <start>0</start>
      <end>2</end>
      <status>unmodified</status>
      <modifiedWord/>
      <trackRevisions>false</trackRevisions>
    </reviewItem>
    <reviewItem>
      <errorID>2b9d04a3-f1dc-45b1-b793-dc986972f775</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66B3BBFB</paraID>
      <start>0</start>
      <end>2</end>
      <status>unmodified</status>
      <modifiedWord/>
      <trackRevisions>false</trackRevisions>
    </reviewItem>
    <reviewItem>
      <errorID>1e511d2c-71f5-46a5-9220-6aedfdde1562</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6B76991C</paraID>
      <start>0</start>
      <end>2</end>
      <status>unmodified</status>
      <modifiedWord/>
      <trackRevisions>false</trackRevisions>
    </reviewItem>
    <reviewItem>
      <errorID>6020ac37-e25a-4a0b-9a21-d7c11f7d2316</errorID>
      <errorWord>定期需</errorWord>
      <group>L1_Word</group>
      <groupName>字词问题</groupName>
      <ability>L2_Typo</ability>
      <abilityName>字词错误</abilityName>
      <candidateList>
        <item>定期</item>
      </candidateList>
      <explain/>
      <paraID>45AD40A6</paraID>
      <start>22</start>
      <end>24</end>
      <status>modified</status>
      <modifiedWord>定期</modifiedWord>
      <trackRevisions>false</trackRevisions>
    </reviewItem>
    <reviewItem>
      <errorID>3eac52e5-718d-4d0d-b3d8-ba1a37f90f26</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68A6E6C3</paraID>
      <start>0</start>
      <end>2</end>
      <status>unmodified</status>
      <modifiedWord/>
      <trackRevisions>false</trackRevisions>
    </reviewItem>
    <reviewItem>
      <errorID>d3b3cdfb-409f-4532-aa75-da086c5d5547</errorID>
      <errorWord>7、</errorWord>
      <group>L1_Format</group>
      <groupName>格式问题</groupName>
      <ability>L2_Ordinal</ability>
      <abilityName>序号格式</abilityName>
      <candidateList>
        <item>7.</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55F04588</paraID>
      <start>0</start>
      <end>2</end>
      <status>unmodified</status>
      <modifiedWord/>
      <trackRevisions>false</trackRevisions>
    </reviewItem>
    <reviewItem>
      <errorID>d2276287-78c1-4a3b-929b-eae7812f779a</errorID>
      <errorWord>8、</errorWord>
      <group>L1_Format</group>
      <groupName>格式问题</groupName>
      <ability>L2_Ordinal</ability>
      <abilityName>序号格式</abilityName>
      <candidateList>
        <item>8.</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1FF40928</paraID>
      <start>0</start>
      <end>2</end>
      <status>unmodified</status>
      <modifiedWord/>
      <trackRevisions>false</trackRevisions>
    </reviewItem>
    <reviewItem>
      <errorID>22266f14-ba53-49e4-88c7-749c03068afa</errorID>
      <errorWord>《环境影响评价技术导则  土壤环境》（试行）</errorWord>
      <group>L1_Knowledge</group>
      <groupName>知识性问题</groupName>
      <ability>L2_Knowledge</ability>
      <abilityName>其他知识</abilityName>
      <candidateList>
        <item>《环境影响评价技术导则  土壤环境（试行）》</item>
      </candidateList>
      <explain>疑似政策文件、法律法规名称等书写不规范，请注意检查。</explain>
      <paraID>2627AC3D</paraID>
      <start>2</start>
      <end>24</end>
      <status>unmodified</status>
      <modifiedWord/>
      <trackRevisions>false</trackRevisions>
    </reviewItem>
    <reviewItem>
      <errorID>5986e36e-2756-4e2e-827c-27644057713a</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C269C14</paraID>
      <start>0</start>
      <end>2</end>
      <status>unmodified</status>
      <modifiedWord/>
      <trackRevisions>false</trackRevisions>
    </reviewItem>
    <reviewItem>
      <errorID>426a5c28-6f96-42b7-bad7-0c311fdbd352</errorID>
      <errorWord>尽可能减小</errorWord>
      <group>L1_Word</group>
      <groupName>字词问题</groupName>
      <ability>L2_Typo</ability>
      <abilityName>字词错误</abilityName>
      <candidateList>
        <item>尽可能减少</item>
      </candidateList>
      <explain/>
      <paraID>54771F15</paraID>
      <start>163</start>
      <end>168</end>
      <status>unmodified</status>
      <modifiedWord/>
      <trackRevisions>false</trackRevisions>
    </reviewItem>
    <reviewItem>
      <errorID>06d9f347-e38f-4bfa-8d28-aa89cd353804</errorID>
      <errorWord>的</errorWord>
      <group>L1_Word</group>
      <groupName>字词问题</groupName>
      <ability>L2_DDD</ability>
      <abilityName>的地得用法</abilityName>
      <candidateList>
        <item>地</item>
      </candidateList>
      <explain>“地”常用于连接修饰语与动词性中心语，表示动作的方式、状态或程度。</explain>
      <paraID>1F8C0990</paraID>
      <start>7</start>
      <end>8</end>
      <status>unmodified</status>
      <modifiedWord/>
      <trackRevisions>false</trackRevisions>
    </reviewItem>
    <reviewItem>
      <errorID>df8d3894-3f81-4f1f-b017-69ec320a42cc</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1A5A1D5E</paraID>
      <start>0</start>
      <end>2</end>
      <status>unmodified</status>
      <modifiedWord/>
      <trackRevisions>false</trackRevisions>
    </reviewItem>
    <reviewItem>
      <errorID>63de120a-80dd-4a10-b87a-694e42722612</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17D33F82</paraID>
      <start>34</start>
      <end>35</end>
      <status>unmodified</status>
      <modifiedWord/>
      <trackRevisions>false</trackRevisions>
    </reviewItem>
    <reviewItem>
      <errorID>fb12921d-b97e-4169-8ac8-071eb7761f15</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1A72055A</paraID>
      <start>0</start>
      <end>2</end>
      <status>unmodified</status>
      <modifiedWord/>
      <trackRevisions>false</trackRevisions>
    </reviewItem>
    <reviewItem>
      <errorID>02ad0dee-ab7e-4688-a850-7ba8882aa1e1</errorID>
      <errorWord>《土壤环境质量标准 建设用地土壤污染风险管控标准》（试行）</errorWord>
      <group>L1_Knowledge</group>
      <groupName>知识性问题</groupName>
      <ability>L2_Knowledge</ability>
      <abilityName>其他知识</abilityName>
      <candidateList>
        <item>《土壤环境质量标准 建设用地土壤污染风险管控标准（试行）》</item>
      </candidateList>
      <explain>疑似政策文件、法律法规名称等书写不规范，请注意检查。</explain>
      <paraID> 3F08000</paraID>
      <start>8</start>
      <end>37</end>
      <status>unmodified</status>
      <modifiedWord/>
      <trackRevisions>false</trackRevisions>
    </reviewItem>
    <reviewItem>
      <errorID>594a1355-1b4b-4b59-bfe4-def9f059ffd1</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66CE9EEB</paraID>
      <start>0</start>
      <end>2</end>
      <status>unmodified</status>
      <modifiedWord/>
      <trackRevisions>false</trackRevisions>
    </reviewItem>
    <reviewItem>
      <errorID>a6d02599-bf4d-4252-9ff2-2790308aa63a</errorID>
      <errorWord>设</errorWord>
      <group>L1_Word</group>
      <groupName>字词问题</groupName>
      <ability>L2_Typo</ability>
      <abilityName>字词错误</abilityName>
      <candidateList>
        <item>设置</item>
      </candidateList>
      <explain>〈动〉❶设立：这座剧院是为儿童～的。❷安放；安装：～障碍。</explain>
      <paraID>59FC6492</paraID>
      <start>52</start>
      <end>53</end>
      <status>unmodified</status>
      <modifiedWord/>
      <trackRevisions>false</trackRevisions>
    </reviewItem>
    <reviewItem>
      <errorID>5613dc1e-513e-4e36-98de-26121d73f155</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6197889C</paraID>
      <start>0</start>
      <end>2</end>
      <status>unmodified</status>
      <modifiedWord/>
      <trackRevisions>false</trackRevisions>
    </reviewItem>
    <reviewItem>
      <errorID>012b91d0-726e-418a-b041-adda00056da0</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42D6456</paraID>
      <start>112</start>
      <end>113</end>
      <status>unmodified</status>
      <modifiedWord/>
      <trackRevisions>false</trackRevisions>
    </reviewItem>
    <reviewItem>
      <errorID>897290dd-3e18-4336-b01c-06c32c1bce01</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5407FA87</paraID>
      <start>0</start>
      <end>2</end>
      <status>unmodified</status>
      <modifiedWord/>
      <trackRevisions>false</trackRevisions>
    </reviewItem>
    <reviewItem>
      <errorID>3957e3cc-fa25-4b16-b0e1-bbfd6a4b4fc3</errorID>
      <errorWord>，</errorWord>
      <group>L1_Word</group>
      <groupName>字词问题</groupName>
      <ability>L2_Typo</ability>
      <abilityName>字词错误</abilityName>
      <candidateList>
        <item>，在</item>
      </candidateList>
      <explain/>
      <paraID>586D0109</paraID>
      <start>98</start>
      <end>99</end>
      <status>unmodified</status>
      <modifiedWord/>
      <trackRevisions>false</trackRevisions>
    </reviewItem>
    <reviewItem>
      <errorID>d12c7ed5-8708-4f3a-b0c0-c8f97c3c66ac</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196D088D</paraID>
      <start>0</start>
      <end>2</end>
      <status>unmodified</status>
      <modifiedWord/>
      <trackRevisions>false</trackRevisions>
    </reviewItem>
    <reviewItem>
      <errorID>b8abe8df-b2ec-43b2-806d-f46435db257d</errorID>
      <errorWord>涌水处理站</errorWord>
      <group>L1_Knowledge</group>
      <groupName>知识性问题</groupName>
      <ability>L2_Term</ability>
      <abilityName>专业术语</abilityName>
      <candidateList>
        <item>污水处理站</item>
      </candidateList>
      <explain/>
      <paraID>4F4A2768</paraID>
      <start>2</start>
      <end>7</end>
      <status>unmodified</status>
      <modifiedWord/>
      <trackRevisions>false</trackRevisions>
    </reviewItem>
    <reviewItem>
      <errorID>ed710b51-f0b4-4ac8-8c02-5a6e8b277398</errorID>
      <errorWord>涌水处理站</errorWord>
      <group>L1_Knowledge</group>
      <groupName>知识性问题</groupName>
      <ability>L2_Term</ability>
      <abilityName>专业术语</abilityName>
      <candidateList>
        <item>污水处理站</item>
      </candidateList>
      <explain/>
      <paraID>4F4A2768</paraID>
      <start>161</start>
      <end>166</end>
      <status>unmodified</status>
      <modifiedWord/>
      <trackRevisions>false</trackRevisions>
    </reviewItem>
    <reviewItem>
      <errorID>50feb693-c86f-4975-be26-ca6d9d05f5d7</errorID>
      <errorWord>，总</errorWord>
      <group>L1_Word</group>
      <groupName>字词问题</groupName>
      <ability>L2_Typo</ability>
      <abilityName>字词错误</abilityName>
      <candidateList>
        <item>，</item>
      </candidateList>
      <explain/>
      <paraID>4F4A2768</paraID>
      <start>177</start>
      <end>179</end>
      <status>unmodified</status>
      <modifiedWord/>
      <trackRevisions>false</trackRevisions>
    </reviewItem>
    <reviewItem>
      <errorID>9f93e51c-ef50-40d3-a8fd-ad6ad09a04d5</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5736A6EB</paraID>
      <start>0</start>
      <end>2</end>
      <status>unmodified</status>
      <modifiedWord/>
      <trackRevisions>false</trackRevisions>
    </reviewItem>
    <reviewItem>
      <errorID>b24ab827-46c2-4097-ab7c-16620979c6ae</errorID>
      <errorWord>最小</errorWord>
      <group>L1_Word</group>
      <groupName>字词问题</groupName>
      <ability>L2_Typo</ability>
      <abilityName>字词错误</abilityName>
      <candidateList>
        <item>最低</item>
      </candidateList>
      <explain/>
      <paraID>7D52660A</paraID>
      <start>61</start>
      <end>63</end>
      <status>unmodified</status>
      <modifiedWord/>
      <trackRevisions>false</trackRevisions>
    </reviewItem>
    <reviewItem>
      <errorID>e3abd855-666d-4995-8d68-49bd60c79a43</errorID>
      <errorWord>安全防火</errorWord>
      <group>L1_Word</group>
      <groupName>字词问题</groupName>
      <ability>L2_Typo</ability>
      <abilityName>字词错误</abilityName>
      <candidateList>
        <item>安全防护</item>
      </candidateList>
      <explain/>
      <paraID>6D20F1A0</paraID>
      <start>126</start>
      <end>130</end>
      <status>unmodified</status>
      <modifiedWord/>
      <trackRevisions>false</trackRevisions>
    </reviewItem>
    <reviewItem>
      <errorID>2568527d-b87c-4b74-b43d-ef26d78feb1c</errorID>
      <errorWord>设</errorWord>
      <group>L1_Word</group>
      <groupName>字词问题</groupName>
      <ability>L2_Typo</ability>
      <abilityName>字词错误</abilityName>
      <candidateList>
        <item>设立</item>
      </candidateList>
      <explain/>
      <paraID>228522CD</paraID>
      <start>5</start>
      <end>6</end>
      <status>unmodified</status>
      <modifiedWord/>
      <trackRevisions>false</trackRevisions>
    </reviewItem>
    <reviewItem>
      <errorID>246b5c9e-6c1d-480a-b143-772fc8546a94</errorID>
      <errorWord>人</errorWord>
      <group>L1_Word</group>
      <groupName>字词问题</groupName>
      <ability>L2_Typo</ability>
      <abilityName>字词错误</abilityName>
      <candidateList>
        <item>人员</item>
      </candidateList>
      <explain>〈名〉担任某种职务的人：机关工作～｜值班～｜～配备。</explain>
      <paraID>49288695</paraID>
      <start>69</start>
      <end>70</end>
      <status>unmodified</status>
      <modifiedWord/>
      <trackRevisions>false</trackRevisions>
    </reviewItem>
    <reviewItem>
      <errorID>9fdfba58-d67a-4a61-bd76-aa9bb42fe968</errorID>
      <errorWord>检测</errorWord>
      <group>L1_Word</group>
      <groupName>字词问题</groupName>
      <ability>L2_Typo</ability>
      <abilityName>字词错误</abilityName>
      <candidateList>
        <item>监测</item>
      </candidateList>
      <explain/>
      <paraID>704A1F5E</paraID>
      <start>2</start>
      <end>4</end>
      <status>unmodified</status>
      <modifiedWord/>
      <trackRevisions>false</trackRevisions>
    </reviewItem>
    <reviewItem>
      <errorID>c90dbde9-0328-40b0-a439-9b9e85910e3c</errorID>
      <errorWord>家</errorWord>
      <group>L1_Word</group>
      <groupName>字词问题</groupName>
      <ability>L2_Typo</ability>
      <abilityName>字词错误</abilityName>
      <candidateList>
        <item>家和</item>
      </candidateList>
      <explain/>
      <paraID>5FB167A6</paraID>
      <start>15</start>
      <end>16</end>
      <status>unmodified</status>
      <modifiedWord/>
      <trackRevisions>false</trackRevisions>
    </reviewItem>
    <reviewItem>
      <errorID>d387f17b-68fc-49cb-9226-ed6afd09dc68</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3D9A4CF7</paraID>
      <start>0</start>
      <end>2</end>
      <status>unmodified</status>
      <modifiedWord/>
      <trackRevisions>false</trackRevisions>
    </reviewItem>
    <reviewItem>
      <errorID>f85d12c5-7287-46bd-b0b5-4b3029fe8821</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41DD912E</paraID>
      <start>0</start>
      <end>2</end>
      <status>unmodified</status>
      <modifiedWord/>
      <trackRevisions>false</trackRevisions>
    </reviewItem>
    <reviewItem>
      <errorID>6d7209f9-2e3e-44f7-abc0-34e7f4032eae</errorID>
      <errorWord>，</errorWord>
      <group>L1_Word</group>
      <groupName>字词问题</groupName>
      <ability>L2_Typo</ability>
      <abilityName>字词错误</abilityName>
      <candidateList>
        <item>，在</item>
      </candidateList>
      <explain/>
      <paraID>76C72A4A</paraID>
      <start>144</start>
      <end>145</end>
      <status>unmodified</status>
      <modifiedWord/>
      <trackRevisions>false</trackRevisions>
    </reviewItem>
    <reviewItem>
      <errorID>67ca4438-ee03-4a6f-8b54-fc6e1492ced0</errorID>
      <errorWord>）</errorWord>
      <group>L1_Word</group>
      <groupName>字词问题</groupName>
      <ability>L2_Typo</ability>
      <abilityName>字词错误</abilityName>
      <candidateList>
        <item>）和</item>
      </candidateList>
      <explain/>
      <paraID>3AAFF801</paraID>
      <start>28</start>
      <end>29</end>
      <status>unmodified</status>
      <modifiedWord/>
      <trackRevisions>false</trackRevisions>
    </reviewItem>
    <reviewItem>
      <errorID>87044d47-6c78-4679-b9a9-9910fecd9d48</errorID>
      <errorWord>政</errorWord>
      <group>L1_Word</group>
      <groupName>字词问题</groupName>
      <ability>L2_Typo</ability>
      <abilityName>字词错误</abilityName>
      <candidateList>
        <item>政府</item>
      </candidateList>
      <explain/>
      <paraID>431F763D</paraID>
      <start>2</start>
      <end>3</end>
      <status>unmodified</status>
      <modifiedWord/>
      <trackRevisions>false</trackRevisions>
    </reviewItem>
    <reviewItem>
      <errorID>f681a3db-04d0-4c61-8ff0-21b2ec4d5120</errorID>
      <errorWord>营运</errorWord>
      <group>L1_Word</group>
      <groupName>字词问题</groupName>
      <ability>L2_Typo</ability>
      <abilityName>字词错误</abilityName>
      <candidateList>
        <item>运营</item>
      </candidateList>
      <explain/>
      <paraID>6F35287F</paraID>
      <start>136</start>
      <end>138</end>
      <status>unmodified</status>
      <modifiedWord/>
      <trackRevisions>false</trackRevisions>
    </reviewItem>
    <reviewItem>
      <errorID>dc55ec3c-c8be-4969-8ac7-fe45b292e584</errorID>
      <errorWord>涌水处理站</errorWord>
      <group>L1_Knowledge</group>
      <groupName>知识性问题</groupName>
      <ability>L2_Term</ability>
      <abilityName>专业术语</abilityName>
      <candidateList>
        <item>污水处理站</item>
      </candidateList>
      <explain/>
      <paraID>62B7D037</paraID>
      <start>141</start>
      <end>146</end>
      <status>unmodified</status>
      <modifiedWord/>
      <trackRevisions>false</trackRevisions>
    </reviewItem>
    <reviewItem>
      <errorID>27d40c67-f45a-4b14-9879-aba1703a8f20</errorID>
      <errorWord>期</errorWord>
      <group>L1_Word</group>
      <groupName>字词问题</groupName>
      <ability>L2_Typo</ability>
      <abilityName>字词错误</abilityName>
      <candidateList>
        <item>期间</item>
      </candidateList>
      <explain>〈名〉某个时期里面：农忙～｜春节～｜抗战～。</explain>
      <paraID>4167E11B</paraID>
      <start>2</start>
      <end>3</end>
      <status>unmodified</status>
      <modifiedWord/>
      <trackRevisions>false</trackRevisions>
    </reviewItem>
    <reviewItem>
      <errorID>d0ae0d4e-bb72-4ece-b063-e103ec9b0c55</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F8C942E</paraID>
      <start>0</start>
      <end>2</end>
      <status>unmodified</status>
      <modifiedWord/>
      <trackRevisions>false</trackRevisions>
    </reviewItem>
    <reviewItem>
      <errorID>752640b0-ffdf-47f0-8aa1-ddae8f30ec96</errorID>
      <errorWord>或者</errorWord>
      <group>L1_Word</group>
      <groupName>字词问题</groupName>
      <ability>L2_Typo</ability>
      <abilityName>字词错误</abilityName>
      <candidateList>
        <item>或</item>
      </candidateList>
      <explain>❶〈副〉或许；也许：慰问团已经起程，明日上午～可到达。❷〈连〉或者v▲：～多～少｜不解决桥～船的问题，过河就是一句空话｜他生怕我没听清～不注意，所以又嘱咐了一遍。❸〈书〉〈代〉指示代词。某人；有的人：～告之曰。❹〈书〉副稍微：不可～缺｜不可～忽。</explain>
      <paraID> F8C942E</paraID>
      <start>8</start>
      <end>10</end>
      <status>unmodified</status>
      <modifiedWord/>
      <trackRevisions>false</trackRevisions>
    </reviewItem>
    <reviewItem>
      <errorID>f72506f8-ce66-45c8-95e3-697c4408b331</errorID>
      <errorWord>（</errorWord>
      <group>L1_Punc</group>
      <groupName>标点问题</groupName>
      <ability>L2_Punc</ability>
      <abilityName>标点符号检查</abilityName>
      <candidateList>
        <item/>
      </candidateList>
      <explain>同一形式括号套用。</explain>
      <paraID>294E005D</paraID>
      <start>96</start>
      <end>97</end>
      <status>unmodified</status>
      <modifiedWord/>
      <trackRevisions>false</trackRevisions>
    </reviewItem>
    <reviewItem>
      <errorID>bc56eebb-6f9b-4663-bb07-e9b56db4ef70</errorID>
      <errorWord>(</errorWord>
      <group>L1_Punc</group>
      <groupName>标点问题</groupName>
      <ability>L2_Punc</ability>
      <abilityName>标点符号检查</abilityName>
      <candidateList/>
      <explain>同一形式括号套用。</explain>
      <paraID>294E005D</paraID>
      <start>103</start>
      <end>104</end>
      <status>unmodified</status>
      <modifiedWord/>
      <trackRevisions>false</trackRevisions>
    </reviewItem>
    <reviewItem>
      <errorID>5d4814ab-0e6d-4951-98e8-b90374675270</errorID>
      <errorWord>)</errorWord>
      <group>L1_Punc</group>
      <groupName>标点问题</groupName>
      <ability>L2_Punc</ability>
      <abilityName>标点符号检查</abilityName>
      <candidateList/>
      <explain>同一形式括号套用。</explain>
      <paraID>294E005D</paraID>
      <start>105</start>
      <end>106</end>
      <status>unmodified</status>
      <modifiedWord/>
      <trackRevisions>false</trackRevisions>
    </reviewItem>
    <reviewItem>
      <errorID>f675e4b2-4c0d-43b4-a397-44d524677379</errorID>
      <errorWord>(</errorWord>
      <group>L1_Punc</group>
      <groupName>标点问题</groupName>
      <ability>L2_Punc</ability>
      <abilityName>标点符号检查</abilityName>
      <candidateList/>
      <explain>同一形式括号套用。</explain>
      <paraID>294E005D</paraID>
      <start>113</start>
      <end>114</end>
      <status>unmodified</status>
      <modifiedWord/>
      <trackRevisions>false</trackRevisions>
    </reviewItem>
    <reviewItem>
      <errorID>456c498b-1d86-466e-ae2a-4b3f6e1272a7</errorID>
      <errorWord>)</errorWord>
      <group>L1_Punc</group>
      <groupName>标点问题</groupName>
      <ability>L2_Punc</ability>
      <abilityName>标点符号检查</abilityName>
      <candidateList/>
      <explain>同一形式括号套用。</explain>
      <paraID>294E005D</paraID>
      <start>115</start>
      <end>116</end>
      <status>unmodified</status>
      <modifiedWord/>
      <trackRevisions>false</trackRevisions>
    </reviewItem>
    <reviewItem>
      <errorID>90127002-e4e0-41e9-a66b-5a1ac01b6a44</errorID>
      <errorWord>）</errorWord>
      <group>L1_Punc</group>
      <groupName>标点问题</groupName>
      <ability>L2_Punc</ability>
      <abilityName>标点符号检查</abilityName>
      <candidateList/>
      <explain>同一形式括号套用。</explain>
      <paraID>294E005D</paraID>
      <start>116</start>
      <end>117</end>
      <status>unmodified</status>
      <modifiedWord/>
      <trackRevisions>false</trackRevisions>
    </reviewItem>
    <reviewItem>
      <errorID>b657af3a-1276-4a8b-ac8d-c0b77cfb3208</errorID>
      <errorWord>减小</errorWord>
      <group>L1_Word</group>
      <groupName>字词问题</groupName>
      <ability>L2_Typo</ability>
      <abilityName>字词错误</abilityName>
      <candidateList>
        <item>减少</item>
      </candidateList>
      <explain>存在字形相近字词的误用。</explain>
      <paraID>434E5004</paraID>
      <start>78</start>
      <end>80</end>
      <status>unmodified</status>
      <modifiedWord/>
      <trackRevisions>false</trackRevisions>
    </reviewItem>
    <reviewItem>
      <errorID>3f551bbe-3c18-4b47-8978-38650921c11f</errorID>
      <errorWord>可</errorWord>
      <group>L1_Word</group>
      <groupName>字词问题</groupName>
      <ability>L2_Typo</ability>
      <abilityName>字词错误</abilityName>
      <candidateList>
        <item>可以</item>
      </candidateList>
      <explain>〈口〉〈形〉❶好；不坏；过得去：这篇文章写得还～。❷厉害：你这张嘴真～｜天气实在热得～。</explain>
      <paraID>20F12DEF</paraID>
      <start>6</start>
      <end>7</end>
      <status>unmodified</status>
      <modifiedWord/>
      <trackRevisions>false</trackRevisions>
    </reviewItem>
    <reviewItem>
      <errorID>a8653163-2eae-41cb-8f21-eb45b1a7b821</errorID>
      <errorWord>可</errorWord>
      <group>L1_Word</group>
      <groupName>字词问题</groupName>
      <ability>L2_Typo</ability>
      <abilityName>字词错误</abilityName>
      <candidateList>
        <item>可以</item>
      </candidateList>
      <explain>〈口〉〈形〉❶好；不坏；过得去：这篇文章写得还～。❷厉害：你这张嘴真～｜天气实在热得～。</explain>
      <paraID>4336D702</paraID>
      <start>6</start>
      <end>7</end>
      <status>unmodified</status>
      <modifiedWord/>
      <trackRevisions>false</trackRevisions>
    </reviewItem>
    <reviewItem>
      <errorID>fcdcbda0-f996-422b-a755-d7eae1f73b18</errorID>
      <errorWord>好的</errorWord>
      <group>L1_Word</group>
      <groupName>字词问题</groupName>
      <ability>L2_Typo</ability>
      <abilityName>字词错误</abilityName>
      <candidateList>
        <item>好地</item>
      </candidateList>
      <explain/>
      <paraID>23F5DAD2</paraID>
      <start>93</start>
      <end>95</end>
      <status>unmodified</status>
      <modifiedWord/>
      <trackRevisions>false</trackRevisions>
    </reviewItem>
    <reviewItem>
      <errorID>9f6f746b-c382-4d39-9dfe-f3cfd78cae8e</errorID>
      <errorWord>法律、法规</errorWord>
      <group>L1_Word</group>
      <groupName>字词问题</groupName>
      <ability>L2_Typo</ability>
      <abilityName>字词错误</abilityName>
      <candidateList>
        <item>法律法规</item>
      </candidateList>
      <explain/>
      <paraID>75EDD384</paraID>
      <start>25</start>
      <end>30</end>
      <status>unmodified</status>
      <modifiedWord/>
      <trackRevisions>false</trackRevisions>
    </reviewItem>
    <reviewItem>
      <errorID>41aa5c2c-fb45-4826-9e98-140ee859ceac</errorID>
      <errorWord>提高</errorWord>
      <group>L1_Word</group>
      <groupName>字词问题</groupName>
      <ability>L2_Typo</ability>
      <abilityName>字词错误</abilityName>
      <candidateList>
        <item>增强</item>
      </candidateList>
      <explain>“提高～意识”搭配不当，建议修改为“增强～意识”。</explain>
      <paraID>354DB088</paraID>
      <start>20</start>
      <end>22</end>
      <status>unmodified</status>
      <modifiedWord/>
      <trackRevisions>false</trackRevisions>
    </reviewItem>
    <reviewItem>
      <errorID>89bab63a-2c24-4ddb-8408-abee057e6a5a</errorID>
      <errorWord>拌合</errorWord>
      <group>L1_Word</group>
      <groupName>字词问题</groupName>
      <ability>L2_Typo</ability>
      <abilityName>字词错误</abilityName>
      <candidateList>
        <item>拌和</item>
      </candidateList>
      <explain/>
      <paraID>5C7CD7FE</paraID>
      <start>22</start>
      <end>24</end>
      <status>unmodified</status>
      <modifiedWord/>
      <trackRevisions>false</trackRevisions>
    </reviewItem>
    <reviewItem>
      <errorID>82d9f2ab-a4b7-4ce0-a074-917f7620cbf7</errorID>
      <errorWord>[1999]24号</errorWord>
      <group>L1_Knowledge</group>
      <groupName>知识性问题</groupName>
      <ability>L2_Knowledge</ability>
      <abilityName>其他知识</abilityName>
      <candidateList>
        <item>〔1999〕24号</item>
      </candidateList>
      <explain>发文字号格式错误。</explain>
      <paraID>3848F1A5</paraID>
      <start>25</start>
      <end>34</end>
      <status>modified</status>
      <modifiedWord>〔1999〕24号</modifiedWord>
      <trackRevisions>false</trackRevisions>
    </reviewItem>
    <reviewItem>
      <errorID>483ba7f1-f8e3-429d-ba75-47f7697205a3</errorID>
      <errorWord>[1999]24号</errorWord>
      <group>L1_Knowledge</group>
      <groupName>知识性问题</groupName>
      <ability>L2_Knowledge</ability>
      <abilityName>其他知识</abilityName>
      <candidateList>
        <item>〔1999〕24号</item>
      </candidateList>
      <explain>发文字号格式错误。</explain>
      <paraID>5BCE6D89</paraID>
      <start>18</start>
      <end>27</end>
      <status>modified</status>
      <modifiedWord>〔1999〕24号</modifiedWord>
      <trackRevisions>false</trackRevisions>
    </reviewItem>
    <reviewItem>
      <errorID>8e90dcae-75d9-4a4c-9473-f5f9cfd4f6b2</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564EA260</paraID>
      <start>0</start>
      <end>2</end>
      <status>unmodified</status>
      <modifiedWord/>
      <trackRevisions>false</trackRevisions>
    </reviewItem>
    <reviewItem>
      <errorID>dcd11037-2f82-44c4-a743-f0b042a6af05</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2DD67303</paraID>
      <start>0</start>
      <end>2</end>
      <status>unmodified</status>
      <modifiedWord/>
      <trackRevisions>false</trackRevisions>
    </reviewItem>
    <reviewItem>
      <errorID>32824845-f413-4995-918d-aaa14ee9048e</errorID>
      <errorWord>季</errorWord>
      <group>L1_Word</group>
      <groupName>字词问题</groupName>
      <ability>L2_Typo</ability>
      <abilityName>字词错误</abilityName>
      <candidateList>
        <item>季度</item>
      </candidateList>
      <explain/>
      <paraID>2019BE44</paraID>
      <start>6</start>
      <end>7</end>
      <status>unmodified</status>
      <modifiedWord/>
      <trackRevisions>false</trackRevisions>
    </reviewItem>
    <reviewItem>
      <errorID>d0b26f2e-5f5c-4a2f-8dfc-3e61d63de765</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28924F76</paraID>
      <start>0</start>
      <end>2</end>
      <status>unmodified</status>
      <modifiedWord/>
      <trackRevisions>false</trackRevisions>
    </reviewItem>
    <reviewItem>
      <errorID>2fa20ba2-8635-4d57-ba55-48dabd5e26de</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2B3226CC</paraID>
      <start>0</start>
      <end>2</end>
      <status>unmodified</status>
      <modifiedWord/>
      <trackRevisions>false</trackRevisions>
    </reviewItem>
    <reviewItem>
      <errorID>453f414a-6ac2-41ed-a77d-a0166ff25fef</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2E57924C</paraID>
      <start>0</start>
      <end>2</end>
      <status>unmodified</status>
      <modifiedWord/>
      <trackRevisions>false</trackRevisions>
    </reviewItem>
    <reviewItem>
      <errorID>eda5f5b4-84af-4a31-9b9c-d69dbd0b95b3</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5AFCD582</paraID>
      <start>0</start>
      <end>2</end>
      <status>unmodified</status>
      <modifiedWord/>
      <trackRevisions>false</trackRevisions>
    </reviewItem>
    <reviewItem>
      <errorID>a7d65ff7-70e7-4f70-8bb1-07c3de35acf2</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4E7A2CE</paraID>
      <start>0</start>
      <end>2</end>
      <status>unmodified</status>
      <modifiedWord/>
      <trackRevisions>false</trackRevisions>
    </reviewItem>
    <reviewItem>
      <errorID>0fbfe071-3aa0-47d8-8369-c0f3d597c79a</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533C973E</paraID>
      <start>0</start>
      <end>2</end>
      <status>unmodified</status>
      <modifiedWord/>
      <trackRevisions>false</trackRevisions>
    </reviewItem>
    <reviewItem>
      <errorID>86f346aa-b5e9-4a5d-91ae-4a4ad57d11e1</errorID>
      <errorWord>[2018]22号</errorWord>
      <group>L1_Knowledge</group>
      <groupName>知识性问题</groupName>
      <ability>L2_Knowledge</ability>
      <abilityName>其他知识</abilityName>
      <candidateList>
        <item>〔2018〕22号</item>
      </candidateList>
      <explain>发文字号格式错误。</explain>
      <paraID>454256BE</paraID>
      <start>25</start>
      <end>34</end>
      <status>modified</status>
      <modifiedWord>〔2018〕22号</modifiedWord>
      <trackRevisions>false</trackRevisions>
    </reviewItem>
    <reviewItem>
      <errorID>68782074-32de-42d6-976b-2afc28eb0e1d</errorID>
      <errorWord>涌水处理站</errorWord>
      <group>L1_Knowledge</group>
      <groupName>知识性问题</groupName>
      <ability>L2_Term</ability>
      <abilityName>专业术语</abilityName>
      <candidateList>
        <item>污水处理站</item>
      </candidateList>
      <explain/>
      <paraID>1E86A9D8</paraID>
      <start>51</start>
      <end>56</end>
      <status>unmodified</status>
      <modifiedWord/>
      <trackRevisions>false</trackRevisions>
    </reviewItem>
    <reviewItem>
      <errorID>38380e6d-069d-48ca-8408-628955a6bec0</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10C719E8</paraID>
      <start>28</start>
      <end>29</end>
      <status>unmodified</status>
      <modifiedWord/>
      <trackRevisions>false</trackRevisions>
    </reviewItem>
    <reviewItem>
      <errorID>816c9eb0-4284-4b79-8301-b8891e7f93c0</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10C719E8</paraID>
      <start>81</start>
      <end>82</end>
      <status>unmodified</status>
      <modifiedWord/>
      <trackRevisions>false</trackRevisions>
    </reviewItem>
    <reviewItem>
      <errorID>6ebad4d4-c4f4-4f56-89e9-0097cc1b8f45</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553969EB</paraID>
      <start>118</start>
      <end>119</end>
      <status>unmodified</status>
      <modifiedWord/>
      <trackRevisions>false</trackRevisions>
    </reviewItem>
    <reviewItem>
      <errorID>9ad8c8bf-2a6a-47c1-a9aa-3ac7f31ce20d</errorID>
      <errorWord>检测项目</errorWord>
      <group>L1_Word</group>
      <groupName>字词问题</groupName>
      <ability>L2_Typo</ability>
      <abilityName>字词错误</abilityName>
      <candidateList>
        <item>监测项目</item>
      </candidateList>
      <explain/>
      <paraID>3A812FE7</paraID>
      <start>15</start>
      <end>19</end>
      <status>unmodified</status>
      <modifiedWord/>
      <trackRevisions>false</trackRevisions>
    </reviewItem>
    <reviewItem>
      <errorID>fb3896c9-e9e3-4114-9677-937318dfa1c4</errorID>
      <errorWord>(</errorWord>
      <group>L1_Format</group>
      <groupName>格式问题</groupName>
      <ability>L2_HalfPunc</ability>
      <abilityName>全半角检查</abilityName>
      <candidateList>
        <item>（</item>
      </candidateList>
      <explain>文本全半角错误。</explain>
      <paraID>4793FDF2</paraID>
      <start>32</start>
      <end>33</end>
      <status>unmodified</status>
      <modifiedWord/>
      <trackRevisions>false</trackRevisions>
    </reviewItem>
    <reviewItem>
      <errorID>47ba454e-8865-4eda-8e16-4858edeac08f</errorID>
      <errorWord>(</errorWord>
      <group>L1_Format</group>
      <groupName>格式问题</groupName>
      <ability>L2_HalfPunc</ability>
      <abilityName>全半角检查</abilityName>
      <candidateList>
        <item>（</item>
      </candidateList>
      <explain>文本全半角错误。</explain>
      <paraID>4793FDF2</paraID>
      <start>48</start>
      <end>49</end>
      <status>unmodified</status>
      <modifiedWord/>
      <trackRevisions>false</trackRevisions>
    </reviewItem>
    <reviewItem>
      <errorID>76f9e0f7-d425-4be9-849b-45671048958d</errorID>
      <errorWord>建设项目在</errorWord>
      <group>L1_Word</group>
      <groupName>字词问题</groupName>
      <ability>L2_Typo</ability>
      <abilityName>字词错误</abilityName>
      <candidateList>
        <item>建设项目</item>
      </candidateList>
      <explain/>
      <paraID>5A47B77A</paraID>
      <start>46</start>
      <end>51</end>
      <status>unmodified</status>
      <modifiedWord/>
      <trackRevisions>false</trackRevisions>
    </reviewItem>
    <reviewItem>
      <errorID>7650cffe-6569-4baa-b538-40bcc2e7ff66</errorID>
      <errorWord>涌水处理站</errorWord>
      <group>L1_Knowledge</group>
      <groupName>知识性问题</groupName>
      <ability>L2_Term</ability>
      <abilityName>专业术语</abilityName>
      <candidateList>
        <item>污水处理站</item>
      </candidateList>
      <explain/>
      <paraID>2D35FDC1</paraID>
      <start>142</start>
      <end>147</end>
      <status>unmodified</status>
      <modifiedWord/>
      <trackRevisions>false</trackRevisions>
    </reviewItem>
    <reviewItem>
      <errorID>27c1f371-515a-4117-bcf7-fbd989ddff0f</errorID>
      <errorWord>减小</errorWord>
      <group>L1_Word</group>
      <groupName>字词问题</groupName>
      <ability>L2_Typo</ability>
      <abilityName>字词错误</abilityName>
      <candidateList>
        <item>减少</item>
      </candidateList>
      <explain>存在字形相近字词的误用。</explain>
      <paraID>1284705C</paraID>
      <start>145</start>
      <end>147</end>
      <status>unmodified</status>
      <modifiedWord/>
      <trackRevisions>false</trackRevisions>
    </reviewItem>
    <reviewItem>
      <errorID>24c87298-dd60-4bd7-a600-a61383fa3644</errorID>
      <errorWord>程</errorWord>
      <group>L1_Word</group>
      <groupName>字词问题</groupName>
      <ability>L2_Typo</ability>
      <abilityName>字词错误</abilityName>
      <candidateList>
        <item>程中</item>
      </candidateList>
      <explain/>
      <paraID>5F501741</paraID>
      <start>77</start>
      <end>78</end>
      <status>unmodified</status>
      <modifiedWord/>
      <trackRevisions>false</trackRevisions>
    </reviewItem>
    <reviewItem>
      <errorID>ea640eca-33f2-464b-8a30-c48e6b7a39f1</errorID>
      <errorWord>完</errorWord>
      <group>L1_Word</group>
      <groupName>字词问题</groupName>
      <ability>L2_Typo</ability>
      <abilityName>字词错误</abilityName>
      <candidateList>
        <item>完成</item>
      </candidateList>
      <explain>〈动〉按照预期的目的结束；做成：～任务｜～作业｜计划完得成。</explain>
      <paraID>7B7B1BC7</paraID>
      <start>109</start>
      <end>110</end>
      <status>unmodified</status>
      <modifiedWord/>
      <trackRevisions>false</trackRevisions>
    </reviewItem>
    <reviewItem>
      <errorID>cee31d39-1826-41f2-b9a9-78c56091092c</errorID>
      <errorWord>最优化</errorWord>
      <group>L1_Word</group>
      <groupName>字词问题</groupName>
      <ability>L2_Typo</ability>
      <abilityName>字词错误</abilityName>
      <candidateList>
        <item>优化</item>
      </candidateList>
      <explain/>
      <paraID>7B7B1BC7</paraID>
      <start>196</start>
      <end>199</end>
      <status>unmodified</status>
      <modifiedWord/>
      <trackRevisions>false</trackRevisions>
    </reviewItem>
    <reviewItem>
      <errorID>6d28c271-ea80-49ae-8a1e-2cbfd46d63d8</errorID>
      <errorWord>等对</errorWord>
      <group>L1_Word</group>
      <groupName>字词问题</groupName>
      <ability>L2_Typo</ability>
      <abilityName>字词错误</abilityName>
      <candidateList>
        <item>等</item>
      </candidateList>
      <explain>〈助〉❶〈书〉用在人称代词或指人的名词后面，表示复数：我～｜彼～。❷表示列举未尽（可以叠用）：北京、天津～地｜纸张文具～～。❸列举后煞尾：长江、黄河、黑龙江、珠江～四大河流。</explain>
      <paraID>5D267191</paraID>
      <start>100</start>
      <end>102</end>
      <status>unmodified</status>
      <modifiedWord/>
      <trackRevisions>false</trackRevisions>
    </reviewItem>
    <reviewItem>
      <errorID>2fe606ea-b12e-40bb-a04b-5ecfe8fe7e39</errorID>
      <errorWord>涌水处理站</errorWord>
      <group>L1_Knowledge</group>
      <groupName>知识性问题</groupName>
      <ability>L2_Term</ability>
      <abilityName>专业术语</abilityName>
      <candidateList>
        <item>污水处理站</item>
      </candidateList>
      <explain/>
      <paraID>64FF012A</paraID>
      <start>62</start>
      <end>67</end>
      <status>unmodified</status>
      <modifiedWord/>
      <trackRevisions>false</trackRevisions>
    </reviewItem>
    <reviewItem>
      <errorID>ae9e866c-742a-462c-b00f-c7e4033541af</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39924BD4</paraID>
      <start>88</start>
      <end>89</end>
      <status>unmodified</status>
      <modifiedWord/>
      <trackRevisions>false</trackRevisions>
    </reviewItem>
    <reviewItem>
      <errorID>61e604ec-0a2f-4d35-a6e5-9ef20a087d12</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39924BD4</paraID>
      <start>288</start>
      <end>289</end>
      <status>unmodified</status>
      <modifiedWord/>
      <trackRevisions>false</trackRevisions>
    </reviewItem>
    <reviewItem>
      <errorID>12d2ca57-0b12-4724-88f0-7a8328f1bc8d</errorID>
      <errorWord>的</errorWord>
      <group>L1_Word</group>
      <groupName>字词问题</groupName>
      <ability>L2_DDD</ability>
      <abilityName>的地得用法</abilityName>
      <candidateList>
        <item>地</item>
      </candidateList>
      <explain>“地”常用于连接修饰语与动词性中心语，表示动作的方式、状态或程度。</explain>
      <paraID>7F58A673</paraID>
      <start>28</start>
      <end>29</end>
      <status>unmodified</status>
      <modifiedWord/>
      <trackRevisions>false</trackRevisions>
    </reviewItem>
    <reviewItem>
      <errorID>a75d9885-3be1-478a-aeec-c7174fda7074</errorID>
      <errorWord>排放限制</errorWord>
      <group>L1_Word</group>
      <groupName>字词问题</groupName>
      <ability>L2_Typo</ability>
      <abilityName>字词错误</abilityName>
      <candidateList>
        <item>排放限值</item>
      </candidateList>
      <explain/>
      <paraID>7499AAD9</paraID>
      <start>127</start>
      <end>131</end>
      <status>modified</status>
      <modifiedWord>排放限值</modifiedWord>
      <trackRevisions>false</trackRevisions>
    </reviewItem>
    <reviewItem>
      <errorID>dc1abf41-710b-4e76-b183-dea9a610c7ed</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2DD82EE</paraID>
      <start>0</start>
      <end>2</end>
      <status>unmodified</status>
      <modifiedWord/>
      <trackRevisions>false</trackRevisions>
    </reviewItem>
    <reviewItem>
      <errorID>e94184f6-294e-4096-98dc-5dd66ee3ba75</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170A758C</paraID>
      <start>0</start>
      <end>2</end>
      <status>unmodified</status>
      <modifiedWord/>
      <trackRevisions>false</trackRevisions>
    </reviewItem>
    <reviewItem>
      <errorID>677a3c05-3dc2-401e-ae85-c974d0b8e671</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70AE3EA5</paraID>
      <start>0</start>
      <end>2</end>
      <status>unmodified</status>
      <modifiedWord/>
      <trackRevisions>false</trackRevisions>
    </reviewItem>
    <reviewItem>
      <errorID>3e3829a6-7b1c-4bc7-8e7a-22815a55f3a7</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23845DA0</paraID>
      <start>0</start>
      <end>2</end>
      <status>unmodified</status>
      <modifiedWord/>
      <trackRevisions>false</trackRevisions>
    </reviewItem>
    <reviewItem>
      <errorID>aeb5b899-c87d-49bd-87af-fd075bd968c9</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3746662</paraID>
      <start>0</start>
      <end>2</end>
      <status>unmodified</status>
      <modifiedWord/>
      <trackRevisions>false</trackRevisions>
    </reviewItem>
    <reviewItem>
      <errorID>b9bb5bfa-d98d-43b6-8e47-966c874a5e61</errorID>
      <errorWord>7、</errorWord>
      <group>L1_Format</group>
      <groupName>格式问题</groupName>
      <ability>L2_Ordinal</ability>
      <abilityName>序号格式</abilityName>
      <candidateList>
        <item>7.</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2E5A523A</paraID>
      <start>0</start>
      <end>2</end>
      <status>unmodified</status>
      <modifiedWord/>
      <trackRevisions>false</trackRevisions>
    </reviewItem>
    <reviewItem>
      <errorID>45ed972d-2557-4c23-8ec1-5f6c8625125b</errorID>
      <errorWord>8、</errorWord>
      <group>L1_Format</group>
      <groupName>格式问题</groupName>
      <ability>L2_Ordinal</ability>
      <abilityName>序号格式</abilityName>
      <candidateList>
        <item>8.</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3E4458C2</paraID>
      <start>0</start>
      <end>2</end>
      <status>unmodified</status>
      <modifiedWord/>
      <trackRevisions>false</trackRevisions>
    </reviewItem>
    <reviewItem>
      <errorID>cb149f72-ad1e-4264-987d-99a99414e3af</errorID>
      <errorWord>日在</errorWord>
      <group>L1_Word</group>
      <groupName>字词问题</groupName>
      <ability>L2_Typo</ability>
      <abilityName>字词错误</abilityName>
      <candidateList>
        <item>日</item>
      </candidateList>
      <explain/>
      <paraID>4DEF94A8</paraID>
      <start>137</start>
      <end>139</end>
      <status>unmodified</status>
      <modifiedWord/>
      <trackRevisions>false</trackRevisions>
    </reviewItem>
    <reviewItem>
      <errorID>676a6d5b-8ebd-4230-99d0-f80de20ec10b</errorID>
      <errorWord>环保治理</errorWord>
      <group>L1_Word</group>
      <groupName>字词问题</groupName>
      <ability>L2_Typo</ability>
      <abilityName>字词错误</abilityName>
      <candidateList>
        <item>环境治理</item>
      </candidateList>
      <explain/>
      <paraID>4E0F7B2C</paraID>
      <start>33</start>
      <end>37</end>
      <status>unmodified</status>
      <modifiedWord/>
      <trackRevisions>false</trackRevisions>
    </reviewItem>
    <reviewItem>
      <errorID>a1d2ef50-1e5b-4270-90c0-c022dc37e70c</errorID>
      <errorWord>期</errorWord>
      <group>L1_Word</group>
      <groupName>字词问题</groupName>
      <ability>L2_Typo</ability>
      <abilityName>字词错误</abilityName>
      <candidateList>
        <item>期间</item>
      </candidateList>
      <explain>〈名〉某个时期里面：农忙～｜春节～｜抗战～。</explain>
      <paraID>4E0F7B2C</paraID>
      <start>128</start>
      <end>129</end>
      <status>unmodified</status>
      <modifiedWord/>
      <trackRevisions>false</trackRevisions>
    </reviewItem>
    <reviewItem>
      <errorID>25d5f78c-9f02-4637-90b8-aaf225fc73a8</errorID>
      <errorWord>；</errorWord>
      <group>L1_Word</group>
      <groupName>字词问题</groupName>
      <ability>L2_Typo</ability>
      <abilityName>字词错误</abilityName>
      <candidateList>
        <item>；在</item>
      </candidateList>
      <explain/>
      <paraID>7FAEC057</paraID>
      <start>55</start>
      <end>56</end>
      <status>unmodified</status>
      <modifiedWord/>
      <trackRevisions>false</trackRevisions>
    </reviewItem>
    <reviewItem>
      <errorID>839784ae-f677-470e-ae57-964b7c474aea</errorID>
      <errorWord>[2006]25号</errorWord>
      <group>L1_Knowledge</group>
      <groupName>知识性问题</groupName>
      <ability>L2_Knowledge</ability>
      <abilityName>其他知识</abilityName>
      <candidateList>
        <item>〔2006〕25号</item>
      </candidateList>
      <explain>发文字号格式错误。</explain>
      <paraID>2A5796DF</paraID>
      <start>39</start>
      <end>48</end>
      <status>modified</status>
      <modifiedWord>〔2006〕25号</modifiedWord>
      <trackRevisions>false</trackRevisions>
    </reviewItem>
    <reviewItem>
      <errorID>568dcb64-1b79-455a-b1df-a263c39b1fe2</errorID>
      <errorWord>[2008]1号</errorWord>
      <group>L1_Knowledge</group>
      <groupName>知识性问题</groupName>
      <ability>L2_Knowledge</ability>
      <abilityName>其他知识</abilityName>
      <candidateList>
        <item>〔2008〕1号</item>
      </candidateList>
      <explain>发文字号格式错误。</explain>
      <paraID>630E6D5C</paraID>
      <start>45</start>
      <end>53</end>
      <status>modified</status>
      <modifiedWord>〔2008〕1号</modifiedWord>
      <trackRevisions>false</trackRevisions>
    </reviewItem>
    <reviewItem>
      <errorID>65498075-69cd-4da0-b0aa-f03e69631baf</errorID>
      <errorWord>[2011]234号</errorWord>
      <group>L1_Knowledge</group>
      <groupName>知识性问题</groupName>
      <ability>L2_Knowledge</ability>
      <abilityName>其他知识</abilityName>
      <candidateList>
        <item>〔2011〕234号</item>
      </candidateList>
      <explain>发文字号格式错误。</explain>
      <paraID>5294797D</paraID>
      <start>41</start>
      <end>51</end>
      <status>modified</status>
      <modifiedWord>〔2011〕234号</modifiedWord>
      <trackRevisions>false</trackRevisions>
    </reviewItem>
    <reviewItem>
      <errorID>56e7baba-7f2d-4176-8354-88f61e31c450</errorID>
      <errorWord>[2013]154号</errorWord>
      <group>L1_Knowledge</group>
      <groupName>知识性问题</groupName>
      <ability>L2_Knowledge</ability>
      <abilityName>其他知识</abilityName>
      <candidateList>
        <item>〔2013〕154号</item>
      </candidateList>
      <explain>发文字号格式错误。</explain>
      <paraID>1A144EE3</paraID>
      <start>43</start>
      <end>53</end>
      <status>modified</status>
      <modifiedWord>〔2013〕154号</modifiedWord>
      <trackRevisions>false</trackRevisions>
    </reviewItem>
    <reviewItem>
      <errorID>2905e476-0b72-4f7d-8714-5fa301c88def</errorID>
      <errorWord>实验</errorWord>
      <group>L1_Word</group>
      <groupName>字词问题</groupName>
      <ability>L2_Typo</ability>
      <abilityName>字词错误</abilityName>
      <candidateList>
        <item>试验</item>
      </candidateList>
      <explain/>
      <paraID>4D7C4C9C</paraID>
      <start>7</start>
      <end>9</end>
      <status>unmodified</status>
      <modifiedWord/>
      <trackRevisions>false</trackRevisions>
    </reviewItem>
    <reviewItem>
      <errorID>a6c30bbb-d74f-4511-a431-9506f559b4ac</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36E9FCC6</paraID>
      <start>0</start>
      <end>2</end>
      <status>unmodified</status>
      <modifiedWord/>
      <trackRevisions>false</trackRevisions>
    </reviewItem>
    <reviewItem>
      <errorID>5f30d76c-5419-4fc2-885f-c65da1d4af87</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726CEB0B</paraID>
      <start>0</start>
      <end>2</end>
      <status>unmodified</status>
      <modifiedWord/>
      <trackRevisions>false</trackRevisions>
    </reviewItem>
    <reviewItem>
      <errorID>3b5947e8-8432-4fde-a43e-28461a7a8183</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6C242BD6</paraID>
      <start>0</start>
      <end>2</end>
      <status>unmodified</status>
      <modifiedWord/>
      <trackRevisions>false</trackRevisions>
    </reviewItem>
    <reviewItem>
      <errorID>3e648946-a001-43e4-b1f2-c8117dca1b78</errorID>
      <errorWord>土壤检测</errorWord>
      <group>L1_Word</group>
      <groupName>字词问题</groupName>
      <ability>L2_Typo</ability>
      <abilityName>字词错误</abilityName>
      <candidateList>
        <item>土壤监测</item>
      </candidateList>
      <explain/>
      <paraID>269FAA2A</paraID>
      <start>11</start>
      <end>15</end>
      <status>unmodified</status>
      <modifiedWord/>
      <trackRevisions>false</trackRevisions>
    </reviewItem>
    <reviewItem>
      <errorID>28fa5469-035c-4e16-8dc0-bba74bb0b3ca</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28E63841</paraID>
      <start>3</start>
      <end>4</end>
      <status>unmodified</status>
      <modifiedWord/>
      <trackRevisions>false</trackRevisions>
    </reviewItem>
    <reviewItem>
      <errorID>b349fc68-93ca-4c03-a1de-b275588861a9</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4A5CA1D9</paraID>
      <start>3</start>
      <end>4</end>
      <status>unmodified</status>
      <modifiedWord/>
      <trackRevisions>false</trackRevisions>
    </reviewItem>
    <reviewItem>
      <errorID>4fc9bc38-2af2-4d08-b0d5-bc3b53a598b6</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187BDEEF</paraID>
      <start>3</start>
      <end>4</end>
      <status>unmodified</status>
      <modifiedWord/>
      <trackRevisions>false</trackRevisions>
    </reviewItem>
    <reviewItem>
      <errorID>e6e3470d-392a-444a-96ff-dd590f796161</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49F5DDB</paraID>
      <start>3</start>
      <end>4</end>
      <status>unmodified</status>
      <modifiedWord/>
      <trackRevisions>false</trackRevisions>
    </reviewItem>
    <reviewItem>
      <errorID>8a5dcb68-a5bf-4f7b-bf50-b49b40fa60ce</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67BDB470</paraID>
      <start>3</start>
      <end>4</end>
      <status>unmodified</status>
      <modifiedWord/>
      <trackRevisions>false</trackRevisions>
    </reviewItem>
    <reviewItem>
      <errorID>fdea395d-e3b3-43db-9502-790218c60640</errorID>
      <errorWord>～</errorWord>
      <group>L1_Format</group>
      <groupName>格式问题</groupName>
      <ability>L2_HalfPunc</ability>
      <abilityName>全半角检查</abilityName>
      <candidateList>
        <item>~</item>
      </candidateList>
      <explain>文本全半角错误。</explain>
      <paraID> 89FFF25</paraID>
      <start>3</start>
      <end>4</end>
      <status>unmodified</status>
      <modifiedWord/>
      <trackRevisions>false</trackRevisions>
    </reviewItem>
    <reviewItem>
      <errorID>ebc46779-9fcb-428a-b145-c05a492970b8</errorID>
      <errorWord>＜</errorWord>
      <group>L1_Format</group>
      <groupName>格式问题</groupName>
      <ability>L2_HalfPunc</ability>
      <abilityName>全半角检查</abilityName>
      <candidateList>
        <item>&lt;</item>
      </candidateList>
      <explain>文本全半角错误。</explain>
      <paraID>3B24409E</paraID>
      <start>0</start>
      <end>1</end>
      <status>unmodified</status>
      <modifiedWord/>
      <trackRevisions>false</trackRevisions>
    </reviewItem>
    <reviewItem>
      <errorID>1b70d082-256e-489b-b16f-0b97334eca20</errorID>
      <errorWord>＜</errorWord>
      <group>L1_Format</group>
      <groupName>格式问题</groupName>
      <ability>L2_HalfPunc</ability>
      <abilityName>全半角检查</abilityName>
      <candidateList>
        <item>&lt;</item>
      </candidateList>
      <explain>文本全半角错误。</explain>
      <paraID>7EBAA126</paraID>
      <start>1</start>
      <end>2</end>
      <status>unmodified</status>
      <modifiedWord/>
      <trackRevisions>false</trackRevisions>
    </reviewItem>
    <reviewItem>
      <errorID>787245c1-4e12-44fd-a5d8-05aec1404331</errorID>
      <errorWord>＜</errorWord>
      <group>L1_Format</group>
      <groupName>格式问题</groupName>
      <ability>L2_HalfPunc</ability>
      <abilityName>全半角检查</abilityName>
      <candidateList>
        <item>&lt;</item>
      </candidateList>
      <explain>文本全半角错误。</explain>
      <paraID> 4AB722E</paraID>
      <start>3</start>
      <end>4</end>
      <status>unmodified</status>
      <modifiedWord/>
      <trackRevisions>false</trackRevisions>
    </reviewItem>
    <reviewItem>
      <errorID>c5dea43d-3b89-4d12-9012-ccd5b2d7e5d1</errorID>
      <errorWord>＜</errorWord>
      <group>L1_Format</group>
      <groupName>格式问题</groupName>
      <ability>L2_HalfPunc</ability>
      <abilityName>全半角检查</abilityName>
      <candidateList>
        <item>&lt;</item>
      </candidateList>
      <explain>文本全半角错误。</explain>
      <paraID>5187850B</paraID>
      <start>4</start>
      <end>5</end>
      <status>unmodified</status>
      <modifiedWord/>
      <trackRevisions>false</trackRevisions>
    </reviewItem>
    <reviewItem>
      <errorID>c45c9716-9ffb-464e-af03-b9cad0b07e45</errorID>
      <errorWord>（</errorWord>
      <group>L1_Punc</group>
      <groupName>标点问题</groupName>
      <ability>L2_Punc</ability>
      <abilityName>标点符号检查</abilityName>
      <candidateList/>
      <explain>同一形式括号套用。</explain>
      <paraID>73E63047</paraID>
      <start>65</start>
      <end>66</end>
      <status>unmodified</status>
      <modifiedWord/>
      <trackRevisions>false</trackRevisions>
    </reviewItem>
    <reviewItem>
      <errorID>c979f53e-7f5c-4d0a-8a15-00c857774d20</errorID>
      <errorWord>）</errorWord>
      <group>L1_Punc</group>
      <groupName>标点问题</groupName>
      <ability>L2_Punc</ability>
      <abilityName>标点符号检查</abilityName>
      <candidateList/>
      <explain>同一形式括号套用。</explain>
      <paraID>73E63047</paraID>
      <start>67</start>
      <end>68</end>
      <status>unmodified</status>
      <modifiedWord/>
      <trackRevisions>false</trackRevisions>
    </reviewItem>
    <reviewItem>
      <errorID>c33d4f5b-3170-4084-a3b8-3829ac94c500</errorID>
      <errorWord>年</errorWord>
      <group>L1_Word</group>
      <groupName>字词问题</groupName>
      <ability>L2_Typo</ability>
      <abilityName>字词错误</abilityName>
      <candidateList>
        <item>年度</item>
      </candidateList>
      <explain/>
      <paraID>4FEB0B7B</paraID>
      <start>2</start>
      <end>3</end>
      <status>unmodified</status>
      <modifiedWord/>
      <trackRevisions>false</trackRevisions>
    </reviewItem>
    <reviewItem>
      <errorID>162ed377-adb7-44cf-a0a0-3a0ed126e5ff</errorID>
      <errorWord>上线</errorWord>
      <group>L1_Word</group>
      <groupName>字词问题</groupName>
      <ability>L2_Typo</ability>
      <abilityName>字词错误</abilityName>
      <candidateList>
        <item>上限</item>
      </candidateList>
      <explain/>
      <paraID>1EBB3329</paraID>
      <start>137</start>
      <end>139</end>
      <status>unmodified</status>
      <modifiedWord/>
      <trackRevisions>false</trackRevisions>
    </reviewItem>
    <reviewItem>
      <errorID>92a8f049-878c-46ed-bdf4-eca7bc69466f</errorID>
      <errorWord>～</errorWord>
      <group>L1_Format</group>
      <groupName>格式问题</groupName>
      <ability>L2_HalfPunc</ability>
      <abilityName>全半角检查</abilityName>
      <candidateList>
        <item>~</item>
      </candidateList>
      <explain>文本全半角错误。</explain>
      <paraID>38BD1F46</paraID>
      <start>10</start>
      <end>11</end>
      <status>unmodified</status>
      <modifiedWord/>
      <trackRevisions>false</trackRevisions>
    </reviewItem>
    <reviewItem>
      <errorID>5d1db2d7-bcaf-4703-87ca-b827489dd1a6</errorID>
      <errorWord>～</errorWord>
      <group>L1_Format</group>
      <groupName>格式问题</groupName>
      <ability>L2_HalfPunc</ability>
      <abilityName>全半角检查</abilityName>
      <candidateList>
        <item>~</item>
      </candidateList>
      <explain>文本全半角错误。</explain>
      <paraID>38BD1F46</paraID>
      <start>19</start>
      <end>20</end>
      <status>unmodified</status>
      <modifiedWord/>
      <trackRevisions>false</trackRevisions>
    </reviewItem>
    <reviewItem>
      <errorID>24668b03-1378-4ca1-b058-3abdafafe031</errorID>
      <errorWord>环境影响评级</errorWord>
      <group>L1_Knowledge</group>
      <groupName>知识性问题</groupName>
      <ability>L2_Term</ability>
      <abilityName>专业术语</abilityName>
      <candidateList>
        <item>环境影响评价</item>
      </candidateList>
      <explain/>
      <paraID>5CEC3A8B</paraID>
      <start>12</start>
      <end>18</end>
      <status>modified</status>
      <modifiedWord>环境影响评价</modifiedWord>
      <trackRevisions>false</trackRevisions>
    </reviewItem>
  </reviewItems>
  <config/>
</contractReview>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3065B60-EBBF-42C2-B11F-F4EC5C899486}">
  <ds:schemaRefs/>
</ds:datastoreItem>
</file>

<file path=customXml/itemProps3.xml><?xml version="1.0" encoding="utf-8"?>
<ds:datastoreItem xmlns:ds="http://schemas.openxmlformats.org/officeDocument/2006/customXml" ds:itemID="{F68E7B48-5E5F-4F61-8B7F-22AFEB613969}">
  <ds:schemaRefs/>
</ds:datastoreItem>
</file>

<file path=docProps/app.xml><?xml version="1.0" encoding="utf-8"?>
<Properties xmlns="http://schemas.openxmlformats.org/officeDocument/2006/extended-properties" xmlns:vt="http://schemas.openxmlformats.org/officeDocument/2006/docPropsVTypes">
  <Template>Normal.dotm</Template>
  <Pages>247</Pages>
  <Words>2380</Words>
  <Characters>2837</Characters>
  <Lines>1225</Lines>
  <Paragraphs>345</Paragraphs>
  <TotalTime>1544</TotalTime>
  <ScaleCrop>false</ScaleCrop>
  <LinksUpToDate>false</LinksUpToDate>
  <CharactersWithSpaces>2972</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2026-07-13T02:27:00Z</dcterms:created>
  <dc:creator>Administrator</dc:creator>
  <cp:lastModifiedBy>章广徳</cp:lastModifiedBy>
  <cp:lastPrinted>2026-06-29T05:48:00Z</cp:lastPrinted>
  <dcterms:modified xsi:type="dcterms:W3CDTF">2026-07-16T05:49:57Z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D34412ECD397450786FEC0C3826297DA_13</vt:lpwstr>
  </property>
  <property fmtid="{D5CDD505-2E9C-101B-9397-08002B2CF9AE}" pid="4" name="KSOTemplateDocerSaveRecord">
    <vt:lpwstr>eyJoZGlkIjoiYWFlNTIxMzRmNGJkNjBkZGNkMzk0Mzc1Y2JiYmUxZjIiLCJ1c2VySWQiOiIxMDI4MTE5NDQwIn0=</vt:lpwstr>
  </property>
</Properties>
</file>